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75F5" w:rsidRPr="00952AE3" w:rsidRDefault="00E60AF0" w:rsidP="000A537D">
      <w:pPr>
        <w:pStyle w:val="NormalWeb"/>
        <w:widowControl w:val="0"/>
        <w:suppressAutoHyphens/>
        <w:autoSpaceDE w:val="0"/>
        <w:spacing w:before="0" w:beforeAutospacing="0" w:after="0" w:afterAutospacing="0"/>
        <w:ind w:right="44"/>
        <w:jc w:val="center"/>
        <w:rPr>
          <w:rFonts w:ascii="Bookman Old Style" w:hAnsi="Bookman Old Style" w:cs="Book Antiqua"/>
          <w:b/>
          <w:bCs/>
          <w:sz w:val="32"/>
          <w:szCs w:val="32"/>
        </w:rPr>
      </w:pPr>
      <w:r w:rsidRPr="00952AE3">
        <w:rPr>
          <w:rFonts w:ascii="Bookman Old Style" w:hAnsi="Bookman Old Style" w:cs="Book Antiqua"/>
          <w:b/>
          <w:bCs/>
          <w:sz w:val="32"/>
          <w:szCs w:val="32"/>
        </w:rPr>
        <w:t>DETALLE DE OFICINAS QUE DEBERÁN ABRIR DURANTE</w:t>
      </w:r>
    </w:p>
    <w:p w:rsidR="006675F5" w:rsidRPr="00952AE3" w:rsidRDefault="000A537D" w:rsidP="000A537D">
      <w:pPr>
        <w:pStyle w:val="NormalWeb"/>
        <w:widowControl w:val="0"/>
        <w:suppressAutoHyphens/>
        <w:autoSpaceDE w:val="0"/>
        <w:spacing w:before="0" w:beforeAutospacing="0" w:after="0" w:afterAutospacing="0"/>
        <w:ind w:right="44"/>
        <w:jc w:val="center"/>
        <w:rPr>
          <w:rFonts w:ascii="Bookman Old Style" w:hAnsi="Bookman Old Style" w:cs="Book Antiqua"/>
          <w:b/>
          <w:bCs/>
          <w:sz w:val="32"/>
          <w:szCs w:val="32"/>
        </w:rPr>
      </w:pPr>
      <w:r w:rsidRPr="00952AE3">
        <w:rPr>
          <w:rFonts w:ascii="Bookman Old Style" w:hAnsi="Bookman Old Style" w:cs="Book Antiqua"/>
          <w:b/>
          <w:bCs/>
          <w:sz w:val="32"/>
          <w:szCs w:val="32"/>
        </w:rPr>
        <w:t xml:space="preserve">EL CIERRE </w:t>
      </w:r>
      <w:r w:rsidR="00E60AF0" w:rsidRPr="00952AE3">
        <w:rPr>
          <w:rFonts w:ascii="Bookman Old Style" w:hAnsi="Bookman Old Style" w:cs="Book Antiqua"/>
          <w:b/>
          <w:bCs/>
          <w:sz w:val="32"/>
          <w:szCs w:val="32"/>
        </w:rPr>
        <w:t>COLECTIV</w:t>
      </w:r>
      <w:r w:rsidRPr="00952AE3">
        <w:rPr>
          <w:rFonts w:ascii="Bookman Old Style" w:hAnsi="Bookman Old Style" w:cs="Book Antiqua"/>
          <w:b/>
          <w:bCs/>
          <w:sz w:val="32"/>
          <w:szCs w:val="32"/>
        </w:rPr>
        <w:t>O</w:t>
      </w:r>
      <w:r w:rsidR="006675F5" w:rsidRPr="00952AE3">
        <w:rPr>
          <w:rFonts w:ascii="Bookman Old Style" w:hAnsi="Bookman Old Style" w:cs="Book Antiqua"/>
          <w:b/>
          <w:bCs/>
          <w:sz w:val="32"/>
          <w:szCs w:val="32"/>
        </w:rPr>
        <w:t xml:space="preserve"> </w:t>
      </w:r>
      <w:r w:rsidR="00E60AF0" w:rsidRPr="00952AE3">
        <w:rPr>
          <w:rFonts w:ascii="Bookman Old Style" w:hAnsi="Bookman Old Style" w:cs="Book Antiqua"/>
          <w:b/>
          <w:bCs/>
          <w:sz w:val="32"/>
          <w:szCs w:val="32"/>
        </w:rPr>
        <w:t xml:space="preserve">DE </w:t>
      </w:r>
      <w:r w:rsidR="003D51C7" w:rsidRPr="00952AE3">
        <w:rPr>
          <w:rFonts w:ascii="Bookman Old Style" w:hAnsi="Bookman Old Style" w:cs="Book Antiqua"/>
          <w:b/>
          <w:bCs/>
          <w:sz w:val="32"/>
          <w:szCs w:val="32"/>
        </w:rPr>
        <w:t>FIN 20</w:t>
      </w:r>
      <w:r w:rsidR="00B67D3A" w:rsidRPr="00952AE3">
        <w:rPr>
          <w:rFonts w:ascii="Bookman Old Style" w:hAnsi="Bookman Old Style" w:cs="Book Antiqua"/>
          <w:b/>
          <w:bCs/>
          <w:sz w:val="32"/>
          <w:szCs w:val="32"/>
        </w:rPr>
        <w:t>2</w:t>
      </w:r>
      <w:r w:rsidR="007F1AAC" w:rsidRPr="00952AE3">
        <w:rPr>
          <w:rFonts w:ascii="Bookman Old Style" w:hAnsi="Bookman Old Style" w:cs="Book Antiqua"/>
          <w:b/>
          <w:bCs/>
          <w:sz w:val="32"/>
          <w:szCs w:val="32"/>
        </w:rPr>
        <w:t>3</w:t>
      </w:r>
      <w:r w:rsidR="00367506" w:rsidRPr="00952AE3">
        <w:rPr>
          <w:rFonts w:ascii="Bookman Old Style" w:hAnsi="Bookman Old Style" w:cs="Book Antiqua"/>
          <w:b/>
          <w:bCs/>
          <w:sz w:val="32"/>
          <w:szCs w:val="32"/>
        </w:rPr>
        <w:t>, PRINCIPIO</w:t>
      </w:r>
      <w:r w:rsidR="003D51C7" w:rsidRPr="00952AE3">
        <w:rPr>
          <w:rFonts w:ascii="Bookman Old Style" w:hAnsi="Bookman Old Style" w:cs="Book Antiqua"/>
          <w:b/>
          <w:bCs/>
          <w:sz w:val="32"/>
          <w:szCs w:val="32"/>
        </w:rPr>
        <w:t xml:space="preserve"> 202</w:t>
      </w:r>
      <w:r w:rsidR="007F1AAC" w:rsidRPr="00952AE3">
        <w:rPr>
          <w:rFonts w:ascii="Bookman Old Style" w:hAnsi="Bookman Old Style" w:cs="Book Antiqua"/>
          <w:b/>
          <w:bCs/>
          <w:sz w:val="32"/>
          <w:szCs w:val="32"/>
        </w:rPr>
        <w:t>4</w:t>
      </w:r>
    </w:p>
    <w:p w:rsidR="00E60AF0" w:rsidRPr="00952AE3" w:rsidRDefault="003D51C7" w:rsidP="000A537D">
      <w:pPr>
        <w:pStyle w:val="NormalWeb"/>
        <w:widowControl w:val="0"/>
        <w:suppressAutoHyphens/>
        <w:autoSpaceDE w:val="0"/>
        <w:spacing w:before="0" w:beforeAutospacing="0" w:after="0" w:afterAutospacing="0"/>
        <w:ind w:right="44"/>
        <w:jc w:val="center"/>
        <w:rPr>
          <w:rFonts w:asciiTheme="minorHAnsi" w:hAnsiTheme="minorHAnsi" w:cs="Book Antiqua"/>
          <w:b/>
          <w:bCs/>
          <w:sz w:val="28"/>
          <w:szCs w:val="28"/>
        </w:rPr>
      </w:pPr>
      <w:r w:rsidRPr="00952AE3">
        <w:rPr>
          <w:rFonts w:ascii="Bookman Old Style" w:hAnsi="Bookman Old Style" w:cs="Book Antiqua"/>
          <w:b/>
          <w:bCs/>
          <w:sz w:val="32"/>
          <w:szCs w:val="32"/>
        </w:rPr>
        <w:t xml:space="preserve"> Y </w:t>
      </w:r>
      <w:r w:rsidR="00FB3705" w:rsidRPr="00952AE3">
        <w:rPr>
          <w:rFonts w:ascii="Bookman Old Style" w:hAnsi="Bookman Old Style" w:cs="Book Antiqua"/>
          <w:b/>
          <w:bCs/>
          <w:sz w:val="32"/>
          <w:szCs w:val="32"/>
        </w:rPr>
        <w:t xml:space="preserve">SEMANA SANTA </w:t>
      </w:r>
      <w:r w:rsidR="0040752E" w:rsidRPr="00952AE3">
        <w:rPr>
          <w:rFonts w:ascii="Bookman Old Style" w:hAnsi="Bookman Old Style" w:cs="Book Antiqua"/>
          <w:b/>
          <w:bCs/>
          <w:sz w:val="32"/>
          <w:szCs w:val="32"/>
        </w:rPr>
        <w:t>20</w:t>
      </w:r>
      <w:r w:rsidRPr="00952AE3">
        <w:rPr>
          <w:rFonts w:ascii="Bookman Old Style" w:hAnsi="Bookman Old Style" w:cs="Book Antiqua"/>
          <w:b/>
          <w:bCs/>
          <w:sz w:val="32"/>
          <w:szCs w:val="32"/>
        </w:rPr>
        <w:t>2</w:t>
      </w:r>
      <w:r w:rsidR="007F1AAC" w:rsidRPr="00952AE3">
        <w:rPr>
          <w:rFonts w:ascii="Bookman Old Style" w:hAnsi="Bookman Old Style" w:cs="Book Antiqua"/>
          <w:b/>
          <w:bCs/>
          <w:sz w:val="32"/>
          <w:szCs w:val="32"/>
        </w:rPr>
        <w:t>4</w:t>
      </w:r>
    </w:p>
    <w:p w:rsidR="00E60AF0" w:rsidRPr="00952AE3" w:rsidRDefault="0040752E" w:rsidP="0040752E">
      <w:pPr>
        <w:pStyle w:val="NormalWeb"/>
        <w:spacing w:before="0" w:beforeAutospacing="0" w:after="0" w:afterAutospacing="0"/>
        <w:ind w:right="44"/>
        <w:jc w:val="center"/>
        <w:rPr>
          <w:rFonts w:asciiTheme="minorHAnsi" w:hAnsiTheme="minorHAnsi" w:cs="Book Antiqua"/>
          <w:b/>
          <w:bCs/>
          <w:sz w:val="28"/>
          <w:szCs w:val="28"/>
        </w:rPr>
      </w:pPr>
      <w:r w:rsidRPr="00952AE3">
        <w:rPr>
          <w:rFonts w:asciiTheme="minorHAnsi" w:hAnsiTheme="minorHAnsi" w:cs="Book Antiqua"/>
          <w:b/>
          <w:bCs/>
          <w:i/>
          <w:sz w:val="28"/>
          <w:szCs w:val="28"/>
        </w:rPr>
        <w:t xml:space="preserve"> </w:t>
      </w:r>
    </w:p>
    <w:p w:rsidR="00E60AF0" w:rsidRPr="00952AE3" w:rsidRDefault="00E60AF0" w:rsidP="00E60AF0">
      <w:pPr>
        <w:pStyle w:val="NormalWeb"/>
        <w:spacing w:before="0" w:beforeAutospacing="0" w:after="0" w:afterAutospacing="0"/>
        <w:jc w:val="both"/>
        <w:rPr>
          <w:rFonts w:asciiTheme="minorHAnsi" w:hAnsiTheme="minorHAnsi" w:cs="Book Antiqua"/>
        </w:rPr>
      </w:pPr>
    </w:p>
    <w:p w:rsidR="00E60AF0" w:rsidRPr="00952AE3" w:rsidRDefault="00E60AF0" w:rsidP="0040752E">
      <w:pPr>
        <w:pStyle w:val="NormalWeb"/>
        <w:suppressAutoHyphens/>
        <w:spacing w:before="0" w:beforeAutospacing="0" w:after="0" w:afterAutospacing="0"/>
        <w:ind w:left="360"/>
        <w:jc w:val="center"/>
        <w:rPr>
          <w:rFonts w:ascii="Bookman Old Style" w:hAnsi="Bookman Old Style" w:cs="Book Antiqua"/>
          <w:b/>
          <w:bCs/>
          <w:sz w:val="28"/>
          <w:szCs w:val="28"/>
          <w:u w:val="single"/>
        </w:rPr>
      </w:pPr>
      <w:r w:rsidRPr="00952AE3">
        <w:rPr>
          <w:rFonts w:ascii="Bookman Old Style" w:hAnsi="Bookman Old Style" w:cs="Book Antiqua"/>
          <w:b/>
          <w:bCs/>
          <w:sz w:val="28"/>
          <w:szCs w:val="28"/>
          <w:u w:val="single"/>
        </w:rPr>
        <w:t>ÁMBITO AUXILIAR DE JUSTICIA</w:t>
      </w:r>
    </w:p>
    <w:p w:rsidR="006675F5" w:rsidRPr="00952AE3" w:rsidRDefault="006675F5" w:rsidP="0040752E">
      <w:pPr>
        <w:pStyle w:val="NormalWeb"/>
        <w:suppressAutoHyphens/>
        <w:spacing w:before="0" w:beforeAutospacing="0" w:after="0" w:afterAutospacing="0"/>
        <w:ind w:left="360"/>
        <w:jc w:val="center"/>
        <w:rPr>
          <w:rFonts w:ascii="Bookman Old Style" w:hAnsi="Bookman Old Style" w:cs="Book Antiqua"/>
          <w:b/>
          <w:bCs/>
          <w:sz w:val="28"/>
          <w:szCs w:val="28"/>
          <w:u w:val="single"/>
        </w:rPr>
      </w:pPr>
    </w:p>
    <w:p w:rsidR="00E60AF0" w:rsidRPr="00952AE3" w:rsidRDefault="00E60AF0" w:rsidP="0040752E">
      <w:pPr>
        <w:pStyle w:val="NormalWeb"/>
        <w:suppressAutoHyphens/>
        <w:spacing w:before="0" w:beforeAutospacing="0" w:after="0" w:afterAutospacing="0"/>
        <w:jc w:val="both"/>
        <w:rPr>
          <w:rFonts w:ascii="Bookman Old Style" w:hAnsi="Bookman Old Style" w:cs="Book Antiqua"/>
          <w:b/>
          <w:bCs/>
          <w:sz w:val="28"/>
          <w:szCs w:val="28"/>
          <w:u w:val="single"/>
        </w:rPr>
      </w:pPr>
    </w:p>
    <w:p w:rsidR="00E60AF0" w:rsidRPr="00952AE3" w:rsidRDefault="00E60AF0" w:rsidP="00970625">
      <w:pPr>
        <w:pStyle w:val="NormalWeb"/>
        <w:numPr>
          <w:ilvl w:val="0"/>
          <w:numId w:val="4"/>
        </w:numPr>
        <w:suppressAutoHyphens/>
        <w:spacing w:before="0" w:beforeAutospacing="0" w:after="0" w:afterAutospacing="0"/>
        <w:jc w:val="both"/>
        <w:rPr>
          <w:rFonts w:ascii="Bookman Old Style" w:hAnsi="Bookman Old Style" w:cs="Book Antiqua"/>
          <w:b/>
          <w:bCs/>
          <w:sz w:val="28"/>
          <w:szCs w:val="28"/>
          <w:u w:val="single"/>
        </w:rPr>
      </w:pPr>
      <w:r w:rsidRPr="00952AE3">
        <w:rPr>
          <w:rFonts w:ascii="Bookman Old Style" w:hAnsi="Bookman Old Style" w:cs="Book Antiqua"/>
          <w:b/>
          <w:bCs/>
          <w:sz w:val="28"/>
          <w:szCs w:val="28"/>
          <w:u w:val="single"/>
        </w:rPr>
        <w:t>MINISTERIO PÚBLICO</w:t>
      </w:r>
    </w:p>
    <w:p w:rsidR="00E60AF0" w:rsidRPr="00952AE3" w:rsidRDefault="00E60AF0" w:rsidP="0040752E">
      <w:pPr>
        <w:pStyle w:val="NormalWeb"/>
        <w:suppressAutoHyphens/>
        <w:spacing w:before="0" w:beforeAutospacing="0" w:after="0" w:afterAutospacing="0"/>
        <w:ind w:left="360"/>
        <w:jc w:val="both"/>
        <w:rPr>
          <w:rFonts w:ascii="Bookman Old Style" w:hAnsi="Bookman Old Style" w:cs="Book Antiqua"/>
          <w:b/>
          <w:bCs/>
          <w:sz w:val="28"/>
          <w:szCs w:val="28"/>
          <w:u w:val="single"/>
        </w:rPr>
      </w:pPr>
    </w:p>
    <w:p w:rsidR="00825334" w:rsidRPr="00952AE3" w:rsidRDefault="00825334" w:rsidP="00E60AF0">
      <w:pPr>
        <w:pStyle w:val="NormalWeb"/>
        <w:spacing w:before="0" w:beforeAutospacing="0" w:after="0" w:afterAutospacing="0"/>
        <w:jc w:val="both"/>
        <w:rPr>
          <w:rFonts w:asciiTheme="minorHAnsi" w:hAnsiTheme="minorHAnsi" w:cs="Book Antiqua"/>
          <w:bCs/>
        </w:rPr>
      </w:pP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Fiscalía Adjunta </w:t>
      </w:r>
      <w:r w:rsidR="00711EEF" w:rsidRPr="00952AE3">
        <w:rPr>
          <w:rFonts w:ascii="Bookman Old Style" w:hAnsi="Bookman Old Style" w:cs="Book Antiqua"/>
          <w:b/>
          <w:bCs/>
        </w:rPr>
        <w:t xml:space="preserve">I </w:t>
      </w:r>
      <w:r w:rsidRPr="00952AE3">
        <w:rPr>
          <w:rFonts w:ascii="Bookman Old Style" w:hAnsi="Bookman Old Style" w:cs="Book Antiqua"/>
          <w:b/>
          <w:bCs/>
        </w:rPr>
        <w:t>Circuito Judicial San José</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Adjunt</w:t>
      </w:r>
      <w:r w:rsidR="009F7D53" w:rsidRPr="00952AE3">
        <w:rPr>
          <w:rFonts w:ascii="Bookman Old Style" w:hAnsi="Bookman Old Style" w:cs="Book Antiqua"/>
          <w:b/>
          <w:bCs/>
        </w:rPr>
        <w:t>a Contra la Violencia de Genero</w:t>
      </w:r>
      <w:r w:rsidR="009F7D53" w:rsidRPr="00952AE3">
        <w:rPr>
          <w:rFonts w:ascii="Bookman Old Style" w:hAnsi="Bookman Old Style" w:cs="Book Antiqua"/>
          <w:b/>
          <w:bCs/>
          <w:vertAlign w:val="superscript"/>
        </w:rPr>
        <w:footnoteReference w:id="1"/>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Adjunta de Delitos Económicos y Tributarios</w:t>
      </w:r>
    </w:p>
    <w:p w:rsidR="00B23B81" w:rsidRPr="00952AE3" w:rsidRDefault="00B23B81"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contra el Narcotráfico y Delitos Conexos</w:t>
      </w:r>
    </w:p>
    <w:p w:rsidR="00E2198C" w:rsidRPr="00952AE3" w:rsidRDefault="00E2198C"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Adjunta de Legitimación de Capitales</w:t>
      </w:r>
    </w:p>
    <w:p w:rsidR="00825334" w:rsidRPr="00952AE3" w:rsidRDefault="00825334" w:rsidP="00C939F2">
      <w:pPr>
        <w:pStyle w:val="NormalWeb"/>
        <w:numPr>
          <w:ilvl w:val="0"/>
          <w:numId w:val="2"/>
        </w:numPr>
        <w:suppressAutoHyphens/>
        <w:spacing w:before="0" w:beforeAutospacing="0" w:after="0" w:afterAutospacing="0"/>
        <w:ind w:left="993" w:hanging="426"/>
        <w:jc w:val="both"/>
        <w:rPr>
          <w:rFonts w:ascii="Bookman Old Style" w:hAnsi="Bookman Old Style" w:cs="Book Antiqua"/>
          <w:b/>
          <w:bCs/>
        </w:rPr>
      </w:pPr>
      <w:r w:rsidRPr="00952AE3">
        <w:rPr>
          <w:rFonts w:ascii="Bookman Old Style" w:hAnsi="Bookman Old Style" w:cs="Book Antiqua"/>
          <w:b/>
          <w:bCs/>
        </w:rPr>
        <w:t>Fiscalía Adjunta de Atención Vespertina, Detenidos, Victimas, Flagrancias y Asuntos no Complejos</w:t>
      </w:r>
    </w:p>
    <w:p w:rsidR="00C939F2" w:rsidRPr="00952AE3" w:rsidRDefault="00C939F2" w:rsidP="00C939F2">
      <w:pPr>
        <w:pStyle w:val="NormalWeb"/>
        <w:suppressAutoHyphens/>
        <w:spacing w:before="0" w:beforeAutospacing="0" w:after="0" w:afterAutospacing="0"/>
        <w:ind w:left="567"/>
        <w:jc w:val="both"/>
        <w:rPr>
          <w:rFonts w:ascii="Bookman Old Style" w:hAnsi="Bookman Old Style" w:cs="Book Antiqua"/>
          <w:b/>
          <w:bCs/>
        </w:rPr>
      </w:pPr>
      <w:r w:rsidRPr="00952AE3">
        <w:rPr>
          <w:rFonts w:ascii="Bookman Old Style" w:hAnsi="Bookman Old Style" w:cs="Book Antiqua"/>
          <w:b/>
          <w:bCs/>
        </w:rPr>
        <w:t xml:space="preserve"> </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Fiscalía Adjunta </w:t>
      </w:r>
      <w:r w:rsidR="00711EEF" w:rsidRPr="00952AE3">
        <w:rPr>
          <w:rFonts w:ascii="Bookman Old Style" w:hAnsi="Bookman Old Style" w:cs="Book Antiqua"/>
          <w:b/>
          <w:bCs/>
        </w:rPr>
        <w:t>II</w:t>
      </w:r>
      <w:r w:rsidRPr="00952AE3">
        <w:rPr>
          <w:rFonts w:ascii="Bookman Old Style" w:hAnsi="Bookman Old Style" w:cs="Book Antiqua"/>
          <w:b/>
          <w:bCs/>
        </w:rPr>
        <w:t xml:space="preserve"> Circuito Judicial San José</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Adjunta de Pavas</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Puriscal</w:t>
      </w:r>
    </w:p>
    <w:p w:rsidR="00074EAC" w:rsidRPr="00952AE3" w:rsidRDefault="00074EAC"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Fiscalía Adjunta </w:t>
      </w:r>
      <w:r w:rsidR="00711EEF" w:rsidRPr="00952AE3">
        <w:rPr>
          <w:rFonts w:ascii="Bookman Old Style" w:hAnsi="Bookman Old Style" w:cs="Book Antiqua"/>
          <w:b/>
          <w:bCs/>
        </w:rPr>
        <w:t>III</w:t>
      </w:r>
      <w:r w:rsidRPr="00952AE3">
        <w:rPr>
          <w:rFonts w:ascii="Bookman Old Style" w:hAnsi="Bookman Old Style" w:cs="Book Antiqua"/>
          <w:b/>
          <w:bCs/>
        </w:rPr>
        <w:t xml:space="preserve"> Circuito Judicial de San José, Sede Desamparados</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Hatillo</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Fiscalía Adjunta del </w:t>
      </w:r>
      <w:r w:rsidR="00711EEF" w:rsidRPr="00952AE3">
        <w:rPr>
          <w:rFonts w:ascii="Bookman Old Style" w:hAnsi="Bookman Old Style" w:cs="Book Antiqua"/>
          <w:b/>
          <w:bCs/>
        </w:rPr>
        <w:t>I</w:t>
      </w:r>
      <w:r w:rsidRPr="00952AE3">
        <w:rPr>
          <w:rFonts w:ascii="Bookman Old Style" w:hAnsi="Bookman Old Style" w:cs="Book Antiqua"/>
          <w:b/>
          <w:bCs/>
        </w:rPr>
        <w:t xml:space="preserve"> Circuito Judicial Zona Sur (Pérez Zeledón) </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Buenos Aires</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Fiscalía Adjunta </w:t>
      </w:r>
      <w:r w:rsidR="00711EEF" w:rsidRPr="00952AE3">
        <w:rPr>
          <w:rFonts w:ascii="Bookman Old Style" w:hAnsi="Bookman Old Style" w:cs="Book Antiqua"/>
          <w:b/>
          <w:bCs/>
        </w:rPr>
        <w:t>II</w:t>
      </w:r>
      <w:r w:rsidRPr="00952AE3">
        <w:rPr>
          <w:rFonts w:ascii="Bookman Old Style" w:hAnsi="Bookman Old Style" w:cs="Book Antiqua"/>
          <w:b/>
          <w:bCs/>
        </w:rPr>
        <w:t xml:space="preserve"> Circuito Judicial Zona Sur (Corredores)</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Golfito</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Osa</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Coto Brus</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Puerto Jiménez</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Fiscalía Adjunta </w:t>
      </w:r>
      <w:r w:rsidR="00711EEF" w:rsidRPr="00952AE3">
        <w:rPr>
          <w:rFonts w:ascii="Bookman Old Style" w:hAnsi="Bookman Old Style" w:cs="Book Antiqua"/>
          <w:b/>
          <w:bCs/>
        </w:rPr>
        <w:t>I</w:t>
      </w:r>
      <w:r w:rsidRPr="00952AE3">
        <w:rPr>
          <w:rFonts w:ascii="Bookman Old Style" w:hAnsi="Bookman Old Style" w:cs="Book Antiqua"/>
          <w:b/>
          <w:bCs/>
        </w:rPr>
        <w:t xml:space="preserve"> Circuito Judicial Alajuela</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Atenas</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Fiscalía Adjunta </w:t>
      </w:r>
      <w:r w:rsidR="00711EEF" w:rsidRPr="00952AE3">
        <w:rPr>
          <w:rFonts w:ascii="Bookman Old Style" w:hAnsi="Bookman Old Style" w:cs="Book Antiqua"/>
          <w:b/>
          <w:bCs/>
        </w:rPr>
        <w:t xml:space="preserve">II </w:t>
      </w:r>
      <w:r w:rsidRPr="00952AE3">
        <w:rPr>
          <w:rFonts w:ascii="Bookman Old Style" w:hAnsi="Bookman Old Style" w:cs="Book Antiqua"/>
          <w:b/>
          <w:bCs/>
        </w:rPr>
        <w:t>Circuito Judicial Alajuela</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Upala</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Guatuso</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Los Chiles</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La Fortuna</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Fiscalía </w:t>
      </w:r>
      <w:r w:rsidR="00711EEF" w:rsidRPr="00952AE3">
        <w:rPr>
          <w:rFonts w:ascii="Bookman Old Style" w:hAnsi="Bookman Old Style" w:cs="Book Antiqua"/>
          <w:b/>
          <w:bCs/>
        </w:rPr>
        <w:t xml:space="preserve">III </w:t>
      </w:r>
      <w:r w:rsidRPr="00952AE3">
        <w:rPr>
          <w:rFonts w:ascii="Bookman Old Style" w:hAnsi="Bookman Old Style" w:cs="Book Antiqua"/>
          <w:b/>
          <w:bCs/>
        </w:rPr>
        <w:t>Circuito Judicial Alajuela, (San Ramón)</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Grecia</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Adjunta de Cartago</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Turrialba</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Tarrazú</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La Unión</w:t>
      </w:r>
    </w:p>
    <w:p w:rsidR="00825334" w:rsidRPr="00952AE3" w:rsidRDefault="009F7D53"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Adjunta de Heredia</w:t>
      </w:r>
    </w:p>
    <w:p w:rsidR="009F7D53" w:rsidRPr="00952AE3" w:rsidRDefault="009F7D53"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San Joaquín de Flores</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Sarapiquí</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Fiscalía Adjunta </w:t>
      </w:r>
      <w:r w:rsidR="00711EEF" w:rsidRPr="00952AE3">
        <w:rPr>
          <w:rFonts w:ascii="Bookman Old Style" w:hAnsi="Bookman Old Style" w:cs="Book Antiqua"/>
          <w:b/>
          <w:bCs/>
        </w:rPr>
        <w:t xml:space="preserve">I </w:t>
      </w:r>
      <w:r w:rsidRPr="00952AE3">
        <w:rPr>
          <w:rFonts w:ascii="Bookman Old Style" w:hAnsi="Bookman Old Style" w:cs="Book Antiqua"/>
          <w:b/>
          <w:bCs/>
        </w:rPr>
        <w:t>Circuito Judicial Guanacaste (Liberia)</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Cañas</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Fiscalía Adjunta </w:t>
      </w:r>
      <w:r w:rsidR="00711EEF" w:rsidRPr="00952AE3">
        <w:rPr>
          <w:rFonts w:ascii="Bookman Old Style" w:hAnsi="Bookman Old Style" w:cs="Book Antiqua"/>
          <w:b/>
          <w:bCs/>
        </w:rPr>
        <w:t xml:space="preserve">II </w:t>
      </w:r>
      <w:r w:rsidRPr="00952AE3">
        <w:rPr>
          <w:rFonts w:ascii="Bookman Old Style" w:hAnsi="Bookman Old Style" w:cs="Book Antiqua"/>
          <w:b/>
          <w:bCs/>
        </w:rPr>
        <w:t>Circuito Judicial Guanacaste, (Nicoya)</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Santa Cruz</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Adjunta de Puntarenas</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Cóbano</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Quepos</w:t>
      </w:r>
      <w:r w:rsidR="00C02FF9" w:rsidRPr="00952AE3">
        <w:rPr>
          <w:rFonts w:ascii="Bookman Old Style" w:hAnsi="Bookman Old Style"/>
          <w:vertAlign w:val="superscript"/>
        </w:rPr>
        <w:footnoteReference w:id="2"/>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Garabito</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Fiscalía Adjunta </w:t>
      </w:r>
      <w:r w:rsidR="00711EEF" w:rsidRPr="00952AE3">
        <w:rPr>
          <w:rFonts w:ascii="Bookman Old Style" w:hAnsi="Bookman Old Style" w:cs="Book Antiqua"/>
          <w:b/>
          <w:bCs/>
        </w:rPr>
        <w:t xml:space="preserve">I </w:t>
      </w:r>
      <w:r w:rsidRPr="00952AE3">
        <w:rPr>
          <w:rFonts w:ascii="Bookman Old Style" w:hAnsi="Bookman Old Style" w:cs="Book Antiqua"/>
          <w:b/>
          <w:bCs/>
        </w:rPr>
        <w:t>Circuito Judicial Zona Atlántica</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Fiscalía de Bribrí</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Fiscalía </w:t>
      </w:r>
      <w:r w:rsidR="00B23B81" w:rsidRPr="00952AE3">
        <w:rPr>
          <w:rFonts w:ascii="Bookman Old Style" w:hAnsi="Bookman Old Style" w:cs="Book Antiqua"/>
          <w:b/>
          <w:bCs/>
        </w:rPr>
        <w:t xml:space="preserve">de </w:t>
      </w:r>
      <w:r w:rsidR="009F7D53" w:rsidRPr="00952AE3">
        <w:rPr>
          <w:rFonts w:ascii="Bookman Old Style" w:hAnsi="Bookman Old Style" w:cs="Book Antiqua"/>
          <w:b/>
          <w:bCs/>
        </w:rPr>
        <w:t>Batán</w:t>
      </w:r>
      <w:r w:rsidR="009F7D53" w:rsidRPr="00952AE3">
        <w:rPr>
          <w:rFonts w:ascii="Bookman Old Style" w:hAnsi="Bookman Old Style"/>
          <w:vertAlign w:val="superscript"/>
        </w:rPr>
        <w:footnoteReference w:id="3"/>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Fiscalía Adjunta </w:t>
      </w:r>
      <w:r w:rsidR="00711EEF" w:rsidRPr="00952AE3">
        <w:rPr>
          <w:rFonts w:ascii="Bookman Old Style" w:hAnsi="Bookman Old Style" w:cs="Book Antiqua"/>
          <w:b/>
          <w:bCs/>
        </w:rPr>
        <w:t xml:space="preserve">II </w:t>
      </w:r>
      <w:r w:rsidRPr="00952AE3">
        <w:rPr>
          <w:rFonts w:ascii="Bookman Old Style" w:hAnsi="Bookman Old Style" w:cs="Book Antiqua"/>
          <w:b/>
          <w:bCs/>
        </w:rPr>
        <w:t>Circuito Judicial Zona Atlántica (Pococí-Guácimo)</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Fiscalía de Siquirres </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Oficina de Atención a la Víctima de Delito</w:t>
      </w:r>
      <w:r w:rsidR="00003BB4" w:rsidRPr="00952AE3">
        <w:rPr>
          <w:rFonts w:ascii="Bookman Old Style" w:hAnsi="Bookman Old Style" w:cs="Book Antiqua"/>
          <w:b/>
          <w:bCs/>
        </w:rPr>
        <w:t>s</w:t>
      </w:r>
      <w:r w:rsidRPr="00952AE3">
        <w:rPr>
          <w:rFonts w:ascii="Bookman Old Style" w:hAnsi="Bookman Old Style" w:cs="Book Antiqua"/>
          <w:b/>
          <w:bCs/>
        </w:rPr>
        <w:t xml:space="preserve"> del Ministerio Público </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Plataforma </w:t>
      </w:r>
      <w:r w:rsidR="00404DED" w:rsidRPr="00952AE3">
        <w:rPr>
          <w:rFonts w:ascii="Bookman Old Style" w:hAnsi="Bookman Old Style" w:cs="Book Antiqua"/>
          <w:b/>
          <w:bCs/>
        </w:rPr>
        <w:t>Integra</w:t>
      </w:r>
      <w:r w:rsidR="00442E9A" w:rsidRPr="00952AE3">
        <w:rPr>
          <w:rFonts w:ascii="Bookman Old Style" w:hAnsi="Bookman Old Style" w:cs="Book Antiqua"/>
          <w:b/>
          <w:bCs/>
        </w:rPr>
        <w:t>l</w:t>
      </w:r>
      <w:r w:rsidRPr="00952AE3">
        <w:rPr>
          <w:rFonts w:ascii="Bookman Old Style" w:hAnsi="Bookman Old Style" w:cs="Book Antiqua"/>
          <w:b/>
          <w:bCs/>
        </w:rPr>
        <w:t xml:space="preserve"> de Servicios de Atención a la Víctima, Ministerio Público, Sede San José.</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Plataforma Integra</w:t>
      </w:r>
      <w:r w:rsidR="00442E9A" w:rsidRPr="00952AE3">
        <w:rPr>
          <w:rFonts w:ascii="Bookman Old Style" w:hAnsi="Bookman Old Style" w:cs="Book Antiqua"/>
          <w:b/>
          <w:bCs/>
        </w:rPr>
        <w:t>l</w:t>
      </w:r>
      <w:r w:rsidRPr="00952AE3">
        <w:rPr>
          <w:rFonts w:ascii="Bookman Old Style" w:hAnsi="Bookman Old Style" w:cs="Book Antiqua"/>
          <w:b/>
          <w:bCs/>
        </w:rPr>
        <w:t xml:space="preserve"> de Servicios de Atención a la Víctima, Ministerio Público, Sede La Unión.</w:t>
      </w:r>
    </w:p>
    <w:p w:rsidR="00825334" w:rsidRPr="00952AE3" w:rsidRDefault="00825334"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Plataforma Integra</w:t>
      </w:r>
      <w:r w:rsidR="00442E9A" w:rsidRPr="00952AE3">
        <w:rPr>
          <w:rFonts w:ascii="Bookman Old Style" w:hAnsi="Bookman Old Style" w:cs="Book Antiqua"/>
          <w:b/>
          <w:bCs/>
        </w:rPr>
        <w:t>l</w:t>
      </w:r>
      <w:r w:rsidRPr="00952AE3">
        <w:rPr>
          <w:rFonts w:ascii="Bookman Old Style" w:hAnsi="Bookman Old Style" w:cs="Book Antiqua"/>
          <w:b/>
          <w:bCs/>
        </w:rPr>
        <w:t xml:space="preserve"> de Servicios de Atención a la Víctima, Ministerio Público, Sede San Joaquín de Flores.</w:t>
      </w:r>
    </w:p>
    <w:p w:rsidR="00AE1DDD" w:rsidRPr="00952AE3" w:rsidRDefault="00AE1DDD" w:rsidP="001B6BE6">
      <w:pPr>
        <w:pStyle w:val="NormalWeb"/>
        <w:numPr>
          <w:ilvl w:val="0"/>
          <w:numId w:val="2"/>
        </w:numPr>
        <w:tabs>
          <w:tab w:val="left" w:pos="567"/>
        </w:tabs>
        <w:spacing w:before="0" w:beforeAutospacing="0" w:after="240" w:afterAutospacing="0"/>
        <w:ind w:left="993" w:hanging="426"/>
        <w:jc w:val="both"/>
        <w:rPr>
          <w:rFonts w:ascii="Bookman Old Style" w:hAnsi="Bookman Old Style" w:cs="Book Antiqua"/>
          <w:b/>
          <w:bCs/>
        </w:rPr>
      </w:pPr>
      <w:r w:rsidRPr="00952AE3">
        <w:rPr>
          <w:rFonts w:ascii="Bookman Old Style" w:hAnsi="Bookman Old Style" w:cs="Book Antiqua"/>
          <w:b/>
          <w:bCs/>
        </w:rPr>
        <w:t>Plataforma Integra</w:t>
      </w:r>
      <w:r w:rsidR="00442E9A" w:rsidRPr="00952AE3">
        <w:rPr>
          <w:rFonts w:ascii="Bookman Old Style" w:hAnsi="Bookman Old Style" w:cs="Book Antiqua"/>
          <w:b/>
          <w:bCs/>
        </w:rPr>
        <w:t>l</w:t>
      </w:r>
      <w:r w:rsidRPr="00952AE3">
        <w:rPr>
          <w:rFonts w:ascii="Bookman Old Style" w:hAnsi="Bookman Old Style" w:cs="Book Antiqua"/>
          <w:b/>
          <w:bCs/>
        </w:rPr>
        <w:t xml:space="preserve"> de Servicios de Atención a la Víctima, Ministerio Público, Sede Siquirres. </w:t>
      </w:r>
    </w:p>
    <w:p w:rsidR="007008D3" w:rsidRPr="00952AE3" w:rsidRDefault="007008D3" w:rsidP="0040752E">
      <w:pPr>
        <w:pStyle w:val="NormalWeb"/>
        <w:numPr>
          <w:ilvl w:val="0"/>
          <w:numId w:val="3"/>
        </w:numPr>
        <w:tabs>
          <w:tab w:val="left" w:pos="567"/>
        </w:tabs>
        <w:spacing w:before="0" w:beforeAutospacing="0" w:after="240" w:afterAutospacing="0"/>
        <w:jc w:val="both"/>
        <w:rPr>
          <w:rFonts w:ascii="Bookman Old Style" w:hAnsi="Bookman Old Style" w:cs="Book Antiqua"/>
          <w:bCs/>
        </w:rPr>
      </w:pPr>
      <w:r w:rsidRPr="00952AE3">
        <w:rPr>
          <w:rFonts w:ascii="Bookman Old Style" w:hAnsi="Bookman Old Style" w:cs="Book Antiqua"/>
          <w:b/>
          <w:bCs/>
        </w:rPr>
        <w:t>Fiscalía Adjunta Penal Juvenil</w:t>
      </w:r>
      <w:r w:rsidRPr="00952AE3">
        <w:rPr>
          <w:rFonts w:asciiTheme="minorHAnsi" w:hAnsiTheme="minorHAnsi" w:cs="Book Antiqua"/>
          <w:b/>
          <w:bCs/>
        </w:rPr>
        <w:t xml:space="preserve">:  </w:t>
      </w:r>
      <w:r w:rsidRPr="00952AE3">
        <w:rPr>
          <w:rFonts w:ascii="Bookman Old Style" w:hAnsi="Bookman Old Style" w:cs="Book Antiqua"/>
          <w:bCs/>
        </w:rPr>
        <w:t>Atenderá la apertura efectiva mediante la modalidad de disponibilidad, según lo dispuesto por el Consejo Superior en sesión 111-13, artículo XLIV.</w:t>
      </w:r>
    </w:p>
    <w:p w:rsidR="009F7D53" w:rsidRPr="00952AE3" w:rsidRDefault="000E3A0D" w:rsidP="00245FCD">
      <w:pPr>
        <w:pStyle w:val="NormalWeb"/>
        <w:spacing w:before="0" w:beforeAutospacing="0" w:after="0" w:afterAutospacing="0"/>
        <w:ind w:left="567"/>
        <w:jc w:val="both"/>
        <w:rPr>
          <w:rFonts w:ascii="Bookman Old Style" w:hAnsi="Bookman Old Style" w:cs="Book Antiqua"/>
          <w:bCs/>
        </w:rPr>
      </w:pPr>
      <w:r w:rsidRPr="00952AE3">
        <w:rPr>
          <w:rFonts w:ascii="Bookman Old Style" w:hAnsi="Bookman Old Style" w:cs="Book Antiqua"/>
          <w:bCs/>
        </w:rPr>
        <w:t xml:space="preserve">Que </w:t>
      </w:r>
      <w:r w:rsidR="00245FCD" w:rsidRPr="00952AE3">
        <w:rPr>
          <w:rFonts w:ascii="Bookman Old Style" w:hAnsi="Bookman Old Style" w:cs="Book Antiqua"/>
          <w:bCs/>
        </w:rPr>
        <w:t xml:space="preserve">dispuso que la </w:t>
      </w:r>
      <w:r w:rsidR="00245FCD" w:rsidRPr="00952AE3">
        <w:rPr>
          <w:rFonts w:ascii="Bookman Old Style" w:hAnsi="Bookman Old Style" w:cs="Book Antiqua"/>
          <w:b/>
          <w:bCs/>
        </w:rPr>
        <w:t>Fiscalía Adjunta Penal Juvenil de San José</w:t>
      </w:r>
      <w:r w:rsidR="00245FCD" w:rsidRPr="00952AE3">
        <w:rPr>
          <w:rFonts w:ascii="Bookman Old Style" w:hAnsi="Bookman Old Style" w:cs="Book Antiqua"/>
          <w:bCs/>
        </w:rPr>
        <w:t xml:space="preserve"> deberá laborar mediante la modalidad de disponibilidad, en el entendido de que la persona que esté disponible durante la apertura efectiva tendrá derecho a que esos días le sean reconocidos como vacaciones. Si adicionalmente "debe hacerse presente a hacer trabajo efectivo" se le reconocerá como hora extra y para ello se hará el reporte de que estuvo disponible, en el sistema correspondiente.</w:t>
      </w:r>
    </w:p>
    <w:p w:rsidR="00EE20B9" w:rsidRPr="00952AE3" w:rsidRDefault="00EE20B9">
      <w:pPr>
        <w:spacing w:after="200" w:line="276" w:lineRule="auto"/>
        <w:rPr>
          <w:rFonts w:asciiTheme="minorHAnsi" w:hAnsiTheme="minorHAnsi" w:cs="Book Antiqua"/>
          <w:bCs/>
          <w:u w:val="single"/>
        </w:rPr>
      </w:pPr>
    </w:p>
    <w:p w:rsidR="00FE5F15" w:rsidRPr="00952AE3" w:rsidRDefault="00FE5F15" w:rsidP="00FE5F15">
      <w:pPr>
        <w:spacing w:after="200" w:line="276" w:lineRule="auto"/>
        <w:jc w:val="center"/>
        <w:rPr>
          <w:rFonts w:ascii="Bookman Old Style" w:hAnsi="Bookman Old Style" w:cs="Book Antiqua"/>
          <w:bCs/>
          <w:u w:val="single"/>
        </w:rPr>
      </w:pPr>
      <w:r w:rsidRPr="00952AE3">
        <w:rPr>
          <w:rFonts w:ascii="Bookman Old Style" w:hAnsi="Bookman Old Style" w:cs="Book Antiqua"/>
          <w:bCs/>
          <w:u w:val="single"/>
        </w:rPr>
        <w:t>-0-</w:t>
      </w:r>
    </w:p>
    <w:p w:rsidR="00FE5F15" w:rsidRPr="00952AE3" w:rsidRDefault="00FE5F15" w:rsidP="00FE5F15">
      <w:pPr>
        <w:spacing w:after="200" w:line="276" w:lineRule="auto"/>
        <w:jc w:val="center"/>
        <w:rPr>
          <w:rFonts w:ascii="Bookman Old Style" w:hAnsi="Bookman Old Style" w:cs="Book Antiqua"/>
          <w:bCs/>
          <w:u w:val="single"/>
        </w:rPr>
      </w:pPr>
    </w:p>
    <w:p w:rsidR="00FE5F15" w:rsidRPr="00952AE3" w:rsidRDefault="00FE5F15" w:rsidP="00FE5F15">
      <w:pPr>
        <w:ind w:firstLine="708"/>
        <w:jc w:val="both"/>
        <w:rPr>
          <w:rFonts w:ascii="Bookman Old Style" w:hAnsi="Bookman Old Style"/>
        </w:rPr>
      </w:pPr>
      <w:r w:rsidRPr="00952AE3">
        <w:rPr>
          <w:rFonts w:ascii="Bookman Old Style" w:hAnsi="Bookman Old Style"/>
        </w:rPr>
        <w:t xml:space="preserve">El Consejo Superior del Poder Judicial, en sesión </w:t>
      </w:r>
      <w:r w:rsidRPr="00952AE3">
        <w:rPr>
          <w:rFonts w:ascii="Bookman Old Style" w:hAnsi="Bookman Old Style"/>
          <w:b/>
          <w:bCs/>
        </w:rPr>
        <w:t xml:space="preserve">N° 28-2022 </w:t>
      </w:r>
      <w:r w:rsidRPr="00952AE3">
        <w:rPr>
          <w:rFonts w:ascii="Bookman Old Style" w:hAnsi="Bookman Old Style"/>
          <w:bCs/>
        </w:rPr>
        <w:t>c</w:t>
      </w:r>
      <w:r w:rsidRPr="00952AE3">
        <w:rPr>
          <w:rFonts w:ascii="Bookman Old Style" w:hAnsi="Bookman Old Style"/>
        </w:rPr>
        <w:t xml:space="preserve">elebrada el </w:t>
      </w:r>
      <w:r w:rsidRPr="00952AE3">
        <w:rPr>
          <w:rFonts w:ascii="Bookman Old Style" w:hAnsi="Bookman Old Style"/>
          <w:b/>
          <w:bCs/>
        </w:rPr>
        <w:t>31 d</w:t>
      </w:r>
      <w:r w:rsidRPr="00952AE3">
        <w:rPr>
          <w:rFonts w:ascii="Bookman Old Style" w:hAnsi="Bookman Old Style"/>
          <w:b/>
        </w:rPr>
        <w:t>e marzo</w:t>
      </w:r>
      <w:r w:rsidRPr="00952AE3">
        <w:rPr>
          <w:rFonts w:ascii="Bookman Old Style" w:hAnsi="Bookman Old Style"/>
          <w:b/>
          <w:bCs/>
        </w:rPr>
        <w:t xml:space="preserve"> de 2022,</w:t>
      </w:r>
      <w:r w:rsidRPr="00952AE3">
        <w:rPr>
          <w:rFonts w:ascii="Bookman Old Style" w:hAnsi="Bookman Old Style"/>
        </w:rPr>
        <w:t xml:space="preserve"> que literalmente dice:</w:t>
      </w:r>
    </w:p>
    <w:p w:rsidR="00FE5F15" w:rsidRPr="00952AE3" w:rsidRDefault="00FE5F15" w:rsidP="00FE5F15">
      <w:pPr>
        <w:keepNext/>
        <w:spacing w:before="120" w:after="120"/>
        <w:jc w:val="center"/>
        <w:outlineLvl w:val="1"/>
        <w:rPr>
          <w:rFonts w:ascii="Bookman Old Style" w:hAnsi="Bookman Old Style"/>
          <w:b/>
          <w:bCs/>
          <w:u w:val="single"/>
        </w:rPr>
      </w:pPr>
      <w:bookmarkStart w:id="0" w:name="_Toc75445696"/>
      <w:bookmarkStart w:id="1" w:name="_Toc75869600"/>
      <w:bookmarkStart w:id="2" w:name="_Toc75869855"/>
      <w:r w:rsidRPr="00952AE3">
        <w:rPr>
          <w:rFonts w:ascii="Bookman Old Style" w:eastAsia="Calibri" w:hAnsi="Bookman Old Style"/>
          <w:lang w:val="es-ES_tradnl"/>
        </w:rPr>
        <w:t>“</w:t>
      </w:r>
      <w:bookmarkStart w:id="3" w:name="_Toc99634015"/>
      <w:bookmarkEnd w:id="0"/>
      <w:bookmarkEnd w:id="1"/>
      <w:bookmarkEnd w:id="2"/>
      <w:r w:rsidRPr="00952AE3">
        <w:rPr>
          <w:rFonts w:ascii="Bookman Old Style" w:hAnsi="Bookman Old Style"/>
          <w:b/>
          <w:bCs/>
          <w:u w:val="single"/>
        </w:rPr>
        <w:t xml:space="preserve">ARTÍCULO LXVI </w:t>
      </w:r>
      <w:bookmarkEnd w:id="3"/>
    </w:p>
    <w:p w:rsidR="00FE5F15" w:rsidRPr="00952AE3" w:rsidRDefault="00FE5F15" w:rsidP="00FE5F15">
      <w:pPr>
        <w:autoSpaceDE w:val="0"/>
        <w:autoSpaceDN w:val="0"/>
        <w:jc w:val="both"/>
        <w:rPr>
          <w:rFonts w:ascii="Bookman Old Style" w:eastAsia="Calibri" w:hAnsi="Bookman Old Style"/>
          <w:b/>
          <w:bCs/>
          <w:lang w:val="es-ES_tradnl" w:eastAsia="es-CR"/>
        </w:rPr>
      </w:pPr>
      <w:r w:rsidRPr="00952AE3">
        <w:rPr>
          <w:rFonts w:ascii="Bookman Old Style" w:eastAsia="Calibri" w:hAnsi="Bookman Old Style"/>
          <w:b/>
          <w:bCs/>
          <w:lang w:val="es-ES_tradnl" w:eastAsia="es-CR"/>
        </w:rPr>
        <w:t>Documento N° 928-3561-2022 </w:t>
      </w:r>
    </w:p>
    <w:p w:rsidR="00FE5F15" w:rsidRPr="00952AE3" w:rsidRDefault="00FE5F15" w:rsidP="00FE5F15">
      <w:pPr>
        <w:ind w:firstLine="708"/>
        <w:jc w:val="both"/>
        <w:rPr>
          <w:rFonts w:ascii="Bookman Old Style" w:eastAsia="Calibri" w:hAnsi="Bookman Old Style"/>
          <w:lang w:val="es-ES_tradnl" w:eastAsia="es-CR"/>
        </w:rPr>
      </w:pPr>
    </w:p>
    <w:p w:rsidR="00FE5F15" w:rsidRPr="00952AE3" w:rsidRDefault="00FE5F15" w:rsidP="00FE5F15">
      <w:pPr>
        <w:ind w:firstLine="708"/>
        <w:jc w:val="both"/>
        <w:rPr>
          <w:rFonts w:ascii="Bookman Old Style" w:eastAsia="Calibri" w:hAnsi="Bookman Old Style"/>
          <w:lang w:eastAsia="es-CR"/>
        </w:rPr>
      </w:pPr>
      <w:r w:rsidRPr="00952AE3">
        <w:rPr>
          <w:rFonts w:ascii="Bookman Old Style" w:eastAsia="Calibri" w:hAnsi="Bookman Old Style"/>
          <w:lang w:val="es-ES_tradnl" w:eastAsia="es-CR"/>
        </w:rPr>
        <w:t xml:space="preserve">En sesión N° 23-2022 celebrada el 15 de marzo de 2022, artículo </w:t>
      </w:r>
      <w:r w:rsidRPr="00952AE3">
        <w:rPr>
          <w:rFonts w:ascii="Bookman Old Style" w:eastAsia="Calibri" w:hAnsi="Bookman Old Style"/>
          <w:lang w:eastAsia="es-CR"/>
        </w:rPr>
        <w:t>XXXV, se tomó nota del oficio N° 176-DG-2022 del 8 de marzo de 2022, suscrito por el máster Walter Espinoza Espinoza, Director General del Organismo de Investigación Judicial. Asimismo, se tuvo por recibido el informe N° 181-PLA-OI-2022 del 8 de marzo de 2022, del máster Dixon Li Morales, Jefe interino de Proceso Ejecución de las Operaciones de la Dirección de Planificación, referente a las funciones básicas que tienen que atender los despachos judiciales en el cierre colectivo, cuando se determina la apertura efectiva. En razón de la importancia que reviste el presente tema, dado que se pretende garantizar el buen servicio público durante la apertura efectiva que realiza este Poder de la República, se solicitó a la Fiscalía General de la República que en el plazo de 5 días hábiles contados a partir de la notificación de este acuerdo, informe a este Consejo sobre la situación que se expone, sobre la atención en la toma de denuncias en las fiscalías del país, durante los cierres colectivos de fin y principio de año, y durante la Semana Santa. </w:t>
      </w:r>
    </w:p>
    <w:p w:rsidR="00FE5F15" w:rsidRPr="00952AE3" w:rsidRDefault="00FE5F15" w:rsidP="00FE5F15">
      <w:pPr>
        <w:autoSpaceDE w:val="0"/>
        <w:autoSpaceDN w:val="0"/>
        <w:ind w:firstLine="708"/>
        <w:jc w:val="both"/>
        <w:rPr>
          <w:rFonts w:ascii="Bookman Old Style" w:eastAsia="Calibri" w:hAnsi="Bookman Old Style"/>
          <w:lang w:eastAsia="es-CR"/>
        </w:rPr>
      </w:pPr>
    </w:p>
    <w:p w:rsidR="00FE5F15" w:rsidRPr="00952AE3" w:rsidRDefault="00FE5F15" w:rsidP="00FE5F15">
      <w:pPr>
        <w:autoSpaceDE w:val="0"/>
        <w:autoSpaceDN w:val="0"/>
        <w:ind w:firstLine="708"/>
        <w:jc w:val="both"/>
        <w:rPr>
          <w:rFonts w:ascii="Bookman Old Style" w:eastAsia="Calibri" w:hAnsi="Bookman Old Style"/>
          <w:lang w:eastAsia="es-CR"/>
        </w:rPr>
      </w:pPr>
      <w:r w:rsidRPr="00952AE3">
        <w:rPr>
          <w:rFonts w:ascii="Bookman Old Style" w:eastAsia="Calibri" w:hAnsi="Bookman Old Style"/>
          <w:lang w:eastAsia="es-CR"/>
        </w:rPr>
        <w:t>El máster Warner Molina Ruiz, Fiscal General interino de la República, mediante oficio Nº FGR-248-2022 de 28 de marzo de 2022, remitió lo siguiente: </w:t>
      </w:r>
    </w:p>
    <w:p w:rsidR="00FE5F15" w:rsidRPr="00952AE3" w:rsidRDefault="00FE5F15" w:rsidP="00FE5F15">
      <w:pPr>
        <w:autoSpaceDE w:val="0"/>
        <w:autoSpaceDN w:val="0"/>
        <w:ind w:left="851" w:right="851" w:firstLine="709"/>
        <w:jc w:val="both"/>
        <w:rPr>
          <w:rFonts w:ascii="Bookman Old Style" w:eastAsia="Calibri" w:hAnsi="Bookman Old Style"/>
          <w:b/>
          <w:bCs/>
          <w:lang w:val="es-ES_tradnl" w:eastAsia="es-CR"/>
        </w:rPr>
      </w:pPr>
    </w:p>
    <w:p w:rsidR="00FE5F15" w:rsidRPr="00952AE3" w:rsidRDefault="00FE5F15" w:rsidP="00FE5F15">
      <w:pPr>
        <w:autoSpaceDE w:val="0"/>
        <w:autoSpaceDN w:val="0"/>
        <w:ind w:left="851" w:right="851" w:firstLine="709"/>
        <w:jc w:val="both"/>
        <w:rPr>
          <w:rFonts w:ascii="Bookman Old Style" w:eastAsia="Calibri" w:hAnsi="Bookman Old Style"/>
          <w:lang w:eastAsia="es-CR"/>
        </w:rPr>
      </w:pPr>
      <w:r w:rsidRPr="00952AE3">
        <w:rPr>
          <w:rFonts w:ascii="Bookman Old Style" w:eastAsia="Calibri" w:hAnsi="Bookman Old Style"/>
          <w:b/>
          <w:bCs/>
          <w:lang w:val="es-ES_tradnl" w:eastAsia="es-CR"/>
        </w:rPr>
        <w:t>“</w:t>
      </w:r>
      <w:r w:rsidRPr="00952AE3">
        <w:rPr>
          <w:rFonts w:ascii="Bookman Old Style" w:eastAsia="Calibri" w:hAnsi="Bookman Old Style"/>
          <w:lang w:eastAsia="es-CR"/>
        </w:rPr>
        <w:t xml:space="preserve">Reciban un cordial saludo, así mismo, en atención al oficio </w:t>
      </w:r>
      <w:r w:rsidRPr="00952AE3">
        <w:rPr>
          <w:rFonts w:ascii="Bookman Old Style" w:eastAsia="Calibri" w:hAnsi="Bookman Old Style"/>
          <w:b/>
          <w:bCs/>
          <w:lang w:val="es-ES_tradnl" w:eastAsia="es-CR"/>
        </w:rPr>
        <w:t>2805-2022</w:t>
      </w:r>
      <w:r w:rsidRPr="00952AE3">
        <w:rPr>
          <w:rFonts w:ascii="Bookman Old Style" w:eastAsia="Calibri" w:hAnsi="Bookman Old Style"/>
          <w:lang w:val="es-ES_tradnl" w:eastAsia="es-CR"/>
        </w:rPr>
        <w:t xml:space="preserve"> </w:t>
      </w:r>
      <w:r w:rsidRPr="00952AE3">
        <w:rPr>
          <w:rFonts w:ascii="Bookman Old Style" w:eastAsia="Calibri" w:hAnsi="Bookman Old Style"/>
          <w:lang w:eastAsia="es-CR"/>
        </w:rPr>
        <w:t xml:space="preserve">de fecha 21 de marzo de 2022, bajo el cual se transcribe el acuerdo tomado por el Consejo Superior del Poder Judicial, en sesión </w:t>
      </w:r>
      <w:r w:rsidRPr="00952AE3">
        <w:rPr>
          <w:rFonts w:ascii="Bookman Old Style" w:eastAsia="Calibri" w:hAnsi="Bookman Old Style"/>
          <w:b/>
          <w:bCs/>
          <w:lang w:val="es-ES_tradnl" w:eastAsia="es-CR"/>
        </w:rPr>
        <w:t xml:space="preserve">N° 23-2022 </w:t>
      </w:r>
      <w:r w:rsidRPr="00952AE3">
        <w:rPr>
          <w:rFonts w:ascii="Bookman Old Style" w:eastAsia="Calibri" w:hAnsi="Bookman Old Style"/>
          <w:lang w:val="es-ES_tradnl" w:eastAsia="es-CR"/>
        </w:rPr>
        <w:t xml:space="preserve">celebrada el </w:t>
      </w:r>
      <w:r w:rsidRPr="00952AE3">
        <w:rPr>
          <w:rFonts w:ascii="Bookman Old Style" w:eastAsia="Calibri" w:hAnsi="Bookman Old Style"/>
          <w:b/>
          <w:bCs/>
          <w:lang w:val="es-ES_tradnl" w:eastAsia="es-CR"/>
        </w:rPr>
        <w:t>15 de marzo de 2022</w:t>
      </w:r>
      <w:r w:rsidRPr="00952AE3">
        <w:rPr>
          <w:rFonts w:ascii="Bookman Old Style" w:eastAsia="Calibri" w:hAnsi="Bookman Old Style"/>
          <w:lang w:eastAsia="es-CR"/>
        </w:rPr>
        <w:t>, en el que se dispuso informar sobre la atención en la toma de denuncias en las fiscalías del país, durante los cierres colectivos de fin y principio de año, así como, en la Semana Santa.  Sobre el particular, se informa al Consejo Superior lo siguiente:  </w:t>
      </w:r>
    </w:p>
    <w:p w:rsidR="00FE5F15" w:rsidRPr="00952AE3" w:rsidRDefault="00FE5F15" w:rsidP="00FE5F15">
      <w:pPr>
        <w:autoSpaceDE w:val="0"/>
        <w:autoSpaceDN w:val="0"/>
        <w:ind w:left="851" w:right="851" w:firstLine="709"/>
        <w:jc w:val="both"/>
        <w:rPr>
          <w:rFonts w:ascii="Bookman Old Style" w:eastAsia="Calibri" w:hAnsi="Bookman Old Style"/>
          <w:lang w:eastAsia="es-CR"/>
        </w:rPr>
      </w:pPr>
      <w:r w:rsidRPr="00952AE3">
        <w:rPr>
          <w:rFonts w:ascii="Bookman Old Style" w:eastAsia="Calibri" w:hAnsi="Bookman Old Style"/>
          <w:lang w:eastAsia="es-CR"/>
        </w:rPr>
        <w:t> </w:t>
      </w:r>
    </w:p>
    <w:p w:rsidR="00FE5F15" w:rsidRPr="00952AE3" w:rsidRDefault="00FE5F15" w:rsidP="00FE5F15">
      <w:pPr>
        <w:autoSpaceDE w:val="0"/>
        <w:autoSpaceDN w:val="0"/>
        <w:ind w:left="851" w:right="851" w:firstLine="709"/>
        <w:jc w:val="both"/>
        <w:rPr>
          <w:rFonts w:ascii="Bookman Old Style" w:eastAsia="Calibri" w:hAnsi="Bookman Old Style"/>
          <w:b/>
          <w:bCs/>
          <w:u w:val="single"/>
          <w:lang w:eastAsia="es-CR"/>
        </w:rPr>
      </w:pPr>
      <w:r w:rsidRPr="00952AE3">
        <w:rPr>
          <w:rFonts w:ascii="Bookman Old Style" w:eastAsia="Calibri" w:hAnsi="Bookman Old Style"/>
          <w:lang w:eastAsia="es-CR"/>
        </w:rPr>
        <w:t xml:space="preserve">Con el fin de cumplir con la debida prestación del servicio público que demandan las personas usuarias, incluso durante el cierre colectivo (en este caso, Semana Santa), y tomando en cuenta la situación expuesta ante el Consejo Superior por parte de la Dirección General del Organismo de Investigación Judicial, en relación con la recepción de denuncias durante el cierre colectivo, se resuelve por parte de la Fiscalía General: comunicar a todas las Fiscalas Adjuntas y Fiscales Adjuntos territoriales del país, para que -con carácter de urgencia- se sirvan asignar personal fiscal y técnico judicial suficiente para atender -mediante apertura efectiva parcial durante el cierre colectivo- a las personas usuarias que se presenten a las fiscalías a denunciar, a personas identificadas, así como la recepción de denuncias de violencia de género y, o carácter sexual. Las demás denuncias contra ignorado, serán recibidas en el Organismo de Investigación Judicial, a cuyo personal se le dará la dirección funcional, por el personal fiscal disponible, de requerirse realizar diligencias urgentes.  </w:t>
      </w:r>
      <w:r w:rsidRPr="00952AE3">
        <w:rPr>
          <w:rFonts w:ascii="Bookman Old Style" w:eastAsia="Calibri" w:hAnsi="Bookman Old Style"/>
          <w:b/>
          <w:bCs/>
          <w:u w:val="single"/>
          <w:lang w:eastAsia="es-CR"/>
        </w:rPr>
        <w:t>Lo anterior, en el entendido de que el honorable Consejo Superior autorizará la jornada laboral del personal fiscal y técnico judicial, durante el cierre colectivo, bajo la modalidad de apertura efectiva parcial, en los términos indicados. </w:t>
      </w:r>
    </w:p>
    <w:p w:rsidR="00FE5F15" w:rsidRPr="00952AE3" w:rsidRDefault="00FE5F15" w:rsidP="00FE5F15">
      <w:pPr>
        <w:autoSpaceDE w:val="0"/>
        <w:autoSpaceDN w:val="0"/>
        <w:ind w:left="851" w:right="851" w:firstLine="709"/>
        <w:jc w:val="both"/>
        <w:rPr>
          <w:rFonts w:ascii="Bookman Old Style" w:eastAsia="Calibri" w:hAnsi="Bookman Old Style"/>
          <w:lang w:eastAsia="es-CR"/>
        </w:rPr>
      </w:pPr>
      <w:r w:rsidRPr="00952AE3">
        <w:rPr>
          <w:rFonts w:ascii="Bookman Old Style" w:eastAsia="Calibri" w:hAnsi="Bookman Old Style"/>
          <w:lang w:eastAsia="es-CR"/>
        </w:rPr>
        <w:t> </w:t>
      </w:r>
    </w:p>
    <w:p w:rsidR="00FE5F15" w:rsidRPr="00952AE3" w:rsidRDefault="00FE5F15" w:rsidP="00FE5F15">
      <w:pPr>
        <w:autoSpaceDE w:val="0"/>
        <w:autoSpaceDN w:val="0"/>
        <w:ind w:left="851" w:right="851" w:firstLine="709"/>
        <w:jc w:val="both"/>
        <w:rPr>
          <w:rFonts w:ascii="Bookman Old Style" w:eastAsia="Calibri" w:hAnsi="Bookman Old Style"/>
          <w:lang w:eastAsia="es-CR"/>
        </w:rPr>
      </w:pPr>
      <w:r w:rsidRPr="00952AE3">
        <w:rPr>
          <w:rFonts w:ascii="Bookman Old Style" w:eastAsia="Calibri" w:hAnsi="Bookman Old Style"/>
          <w:lang w:eastAsia="es-CR"/>
        </w:rPr>
        <w:t>En caso de contarse con la aprobación del Consejo Superior, la Unidad Administrativa del Ministerio Público, brindará el apoyo necesario, a las Fiscalías Adjuntas territoriales, para cumplir con lo antes dispuesto.” </w:t>
      </w:r>
    </w:p>
    <w:p w:rsidR="00FE5F15" w:rsidRPr="00952AE3" w:rsidRDefault="00FE5F15" w:rsidP="00FE5F15">
      <w:pPr>
        <w:autoSpaceDE w:val="0"/>
        <w:autoSpaceDN w:val="0"/>
        <w:jc w:val="center"/>
        <w:rPr>
          <w:rFonts w:ascii="Bookman Old Style" w:eastAsia="Calibri" w:hAnsi="Bookman Old Style"/>
          <w:lang w:eastAsia="es-CR"/>
        </w:rPr>
      </w:pPr>
    </w:p>
    <w:p w:rsidR="00FE5F15" w:rsidRPr="00952AE3" w:rsidRDefault="00FE5F15" w:rsidP="00FE5F15">
      <w:pPr>
        <w:ind w:firstLine="708"/>
        <w:jc w:val="both"/>
        <w:rPr>
          <w:rFonts w:ascii="Bookman Old Style" w:eastAsia="Calibri" w:hAnsi="Bookman Old Style"/>
          <w:b/>
          <w:bCs/>
          <w:lang w:val="es-ES_tradnl" w:eastAsia="es-CR"/>
        </w:rPr>
      </w:pPr>
    </w:p>
    <w:p w:rsidR="00FE5F15" w:rsidRPr="00952AE3" w:rsidRDefault="00FE5F15" w:rsidP="00FE5F15">
      <w:pPr>
        <w:ind w:firstLine="708"/>
        <w:jc w:val="both"/>
        <w:rPr>
          <w:rFonts w:ascii="Bookman Old Style" w:eastAsia="Calibri" w:hAnsi="Bookman Old Style"/>
          <w:b/>
          <w:bCs/>
          <w:lang w:eastAsia="es-CR"/>
        </w:rPr>
      </w:pPr>
      <w:r w:rsidRPr="00952AE3">
        <w:rPr>
          <w:rFonts w:ascii="Bookman Old Style" w:eastAsia="Calibri" w:hAnsi="Bookman Old Style"/>
          <w:b/>
          <w:bCs/>
          <w:lang w:val="es-ES_tradnl" w:eastAsia="es-CR"/>
        </w:rPr>
        <w:t xml:space="preserve">Se acordó: 1.) </w:t>
      </w:r>
      <w:r w:rsidRPr="00952AE3">
        <w:rPr>
          <w:rFonts w:ascii="Bookman Old Style" w:eastAsia="Calibri" w:hAnsi="Bookman Old Style"/>
          <w:lang w:val="es-ES_tradnl" w:eastAsia="es-CR"/>
        </w:rPr>
        <w:t xml:space="preserve">Tener por recibido el </w:t>
      </w:r>
      <w:r w:rsidRPr="00952AE3">
        <w:rPr>
          <w:rFonts w:ascii="Bookman Old Style" w:eastAsia="Calibri" w:hAnsi="Bookman Old Style"/>
          <w:lang w:eastAsia="es-CR"/>
        </w:rPr>
        <w:t xml:space="preserve">oficio Nº FGR-248-2022 de 28 de marzo de 2022, suscrito por el máster Warner Molina Ruiz, Fiscal General interino de la República, en que informa sobre la atención en la toma de denuncias en las fiscalías del país, durante los cierres colectivos de fin y principio de año, así como, en la Semana Santa. </w:t>
      </w:r>
      <w:r w:rsidRPr="00952AE3">
        <w:rPr>
          <w:rFonts w:ascii="Bookman Old Style" w:eastAsia="Calibri" w:hAnsi="Bookman Old Style"/>
          <w:b/>
          <w:bCs/>
          <w:lang w:eastAsia="es-CR"/>
        </w:rPr>
        <w:t xml:space="preserve">2.) </w:t>
      </w:r>
      <w:r w:rsidRPr="00952AE3">
        <w:rPr>
          <w:rFonts w:ascii="Bookman Old Style" w:eastAsia="Calibri" w:hAnsi="Bookman Old Style"/>
          <w:lang w:eastAsia="es-CR"/>
        </w:rPr>
        <w:t>Autorizar la jornada laboral del personal fiscal y técnico judicial, durante el cierre colectivo, bajo la modalidad de apertura efectiva parcial, en los términos indicados</w:t>
      </w:r>
      <w:r w:rsidRPr="00952AE3">
        <w:rPr>
          <w:rFonts w:ascii="Bookman Old Style" w:eastAsia="Calibri" w:hAnsi="Bookman Old Style"/>
          <w:b/>
          <w:bCs/>
          <w:lang w:eastAsia="es-CR"/>
        </w:rPr>
        <w:t xml:space="preserve">. 3.) </w:t>
      </w:r>
      <w:r w:rsidRPr="00952AE3">
        <w:rPr>
          <w:rFonts w:ascii="Bookman Old Style" w:eastAsia="Calibri" w:hAnsi="Bookman Old Style"/>
          <w:lang w:eastAsia="es-CR"/>
        </w:rPr>
        <w:t>Comisionar a la Secretaría General de la Corte para que informe a la población judicial, q</w:t>
      </w:r>
      <w:r w:rsidRPr="00952AE3">
        <w:rPr>
          <w:rFonts w:ascii="Bookman Old Style" w:eastAsia="Calibri" w:hAnsi="Bookman Old Style"/>
          <w:lang w:val="es-ES_tradnl" w:eastAsia="es-CR"/>
        </w:rPr>
        <w:t xml:space="preserve">ue </w:t>
      </w:r>
      <w:r w:rsidRPr="00952AE3">
        <w:rPr>
          <w:rFonts w:ascii="Bookman Old Style" w:eastAsia="Calibri" w:hAnsi="Bookman Old Style"/>
          <w:lang w:eastAsia="es-CR"/>
        </w:rPr>
        <w:t>las Fiscalías atenderán en apertura efectiva parcial durante el cierre colectivo, a las personas usuarias que se presenten a las fiscalías a denunciar, a personas identificadas, así como la recepción de denuncias de violencia de género y, o carácter sexual. Las demás denuncias contra ignorado, serán recibidas en el Organismo de Investigación Judicial.</w:t>
      </w:r>
      <w:r w:rsidRPr="00952AE3">
        <w:rPr>
          <w:rFonts w:ascii="Bookman Old Style" w:eastAsia="Calibri" w:hAnsi="Bookman Old Style"/>
          <w:b/>
          <w:bCs/>
          <w:lang w:eastAsia="es-CR"/>
        </w:rPr>
        <w:t xml:space="preserve"> 4.) </w:t>
      </w:r>
      <w:r w:rsidRPr="00952AE3">
        <w:rPr>
          <w:rFonts w:ascii="Bookman Old Style" w:eastAsia="Calibri" w:hAnsi="Bookman Old Style"/>
          <w:lang w:eastAsia="es-CR"/>
        </w:rPr>
        <w:t>Hacer este acuerdo de conocimiento del Departamento de Prensa y Comunicación Organización para que informe a las personas usuarias.</w:t>
      </w:r>
      <w:r w:rsidRPr="00952AE3">
        <w:rPr>
          <w:rFonts w:ascii="Bookman Old Style" w:eastAsia="Calibri" w:hAnsi="Bookman Old Style"/>
          <w:b/>
          <w:bCs/>
          <w:lang w:eastAsia="es-CR"/>
        </w:rPr>
        <w:t> </w:t>
      </w:r>
    </w:p>
    <w:p w:rsidR="00FE5F15" w:rsidRPr="00952AE3" w:rsidRDefault="00FE5F15" w:rsidP="00FE5F15">
      <w:pPr>
        <w:spacing w:after="200" w:line="276" w:lineRule="auto"/>
        <w:rPr>
          <w:rFonts w:ascii="Bookman Old Style" w:hAnsi="Bookman Old Style" w:cs="Book Antiqua"/>
          <w:bCs/>
          <w:u w:val="single"/>
        </w:rPr>
      </w:pPr>
    </w:p>
    <w:p w:rsidR="009203CB" w:rsidRPr="00952AE3" w:rsidRDefault="009203CB" w:rsidP="00B04ED6">
      <w:pPr>
        <w:spacing w:after="200"/>
        <w:jc w:val="both"/>
        <w:rPr>
          <w:rFonts w:ascii="Bookman Old Style" w:hAnsi="Bookman Old Style" w:cs="Book Antiqua"/>
          <w:bCs/>
        </w:rPr>
      </w:pPr>
      <w:r w:rsidRPr="00952AE3">
        <w:rPr>
          <w:rFonts w:ascii="Bookman Old Style" w:eastAsia="Calibri" w:hAnsi="Bookman Old Style"/>
          <w:lang w:eastAsia="es-CR"/>
        </w:rPr>
        <w:t xml:space="preserve">Cabe destacar, que en consulta realizada a la Fiscalía General sobre las Fiscalías Especializadas que han participado en la labor de apertura efectiva en cuanto a </w:t>
      </w:r>
      <w:r w:rsidR="00B04ED6" w:rsidRPr="00952AE3">
        <w:rPr>
          <w:rFonts w:ascii="Bookman Old Style" w:eastAsia="Calibri" w:hAnsi="Bookman Old Style"/>
          <w:lang w:eastAsia="es-CR"/>
        </w:rPr>
        <w:t>que si</w:t>
      </w:r>
      <w:r w:rsidRPr="00952AE3">
        <w:rPr>
          <w:rFonts w:ascii="Bookman Old Style" w:eastAsia="Calibri" w:hAnsi="Bookman Old Style"/>
          <w:lang w:eastAsia="es-CR"/>
        </w:rPr>
        <w:t xml:space="preserve"> se mantienen o se presenta alguna variante para el cierre colectivo de fin y principio</w:t>
      </w:r>
      <w:r w:rsidRPr="00952AE3">
        <w:rPr>
          <w:rFonts w:ascii="Bookman Old Style" w:hAnsi="Bookman Old Style" w:cs="Book Antiqua"/>
          <w:bCs/>
        </w:rPr>
        <w:t xml:space="preserve"> 2023-2024 y Semana Santa 2024, </w:t>
      </w:r>
      <w:r w:rsidR="00B04ED6" w:rsidRPr="00952AE3">
        <w:rPr>
          <w:rFonts w:ascii="Bookman Old Style" w:hAnsi="Bookman Old Style" w:cs="Book Antiqua"/>
          <w:bCs/>
        </w:rPr>
        <w:t>el Fiscal Freddy Fallas Barrantes, Fiscal de la Fiscalía General de la República,</w:t>
      </w:r>
      <w:r w:rsidR="00ED5E73" w:rsidRPr="00952AE3">
        <w:rPr>
          <w:rFonts w:ascii="Bookman Old Style" w:hAnsi="Bookman Old Style" w:cs="Book Antiqua"/>
          <w:bCs/>
        </w:rPr>
        <w:t xml:space="preserve"> mediante oficio 520-FGR-2023 del 02 de octubre de 2023</w:t>
      </w:r>
      <w:r w:rsidR="001A2B68" w:rsidRPr="00952AE3">
        <w:rPr>
          <w:rFonts w:ascii="Bookman Old Style" w:hAnsi="Bookman Old Style" w:cs="Book Antiqua"/>
          <w:bCs/>
        </w:rPr>
        <w:t xml:space="preserve"> (ver anexo)</w:t>
      </w:r>
      <w:r w:rsidR="00ED5E73" w:rsidRPr="00952AE3">
        <w:rPr>
          <w:rFonts w:ascii="Bookman Old Style" w:hAnsi="Bookman Old Style" w:cs="Book Antiqua"/>
          <w:bCs/>
        </w:rPr>
        <w:t>,</w:t>
      </w:r>
      <w:r w:rsidR="00B04ED6" w:rsidRPr="00952AE3">
        <w:rPr>
          <w:rFonts w:ascii="Bookman Old Style" w:hAnsi="Bookman Old Style" w:cs="Book Antiqua"/>
          <w:bCs/>
        </w:rPr>
        <w:t xml:space="preserve"> confirm</w:t>
      </w:r>
      <w:r w:rsidR="00ED5E73" w:rsidRPr="00952AE3">
        <w:rPr>
          <w:rFonts w:ascii="Bookman Old Style" w:hAnsi="Bookman Old Style" w:cs="Book Antiqua"/>
          <w:bCs/>
        </w:rPr>
        <w:t>ó</w:t>
      </w:r>
      <w:r w:rsidR="00B04ED6" w:rsidRPr="00952AE3">
        <w:rPr>
          <w:rFonts w:ascii="Bookman Old Style" w:hAnsi="Bookman Old Style" w:cs="Book Antiqua"/>
          <w:bCs/>
        </w:rPr>
        <w:t xml:space="preserve"> las oficinas que participaran y que se detallan en el listado que se presenta en este apartado.</w:t>
      </w:r>
    </w:p>
    <w:p w:rsidR="00B04ED6" w:rsidRPr="00952AE3" w:rsidRDefault="00FA54AB" w:rsidP="00B04ED6">
      <w:pPr>
        <w:spacing w:after="200"/>
        <w:jc w:val="both"/>
        <w:rPr>
          <w:rFonts w:ascii="Bookman Old Style" w:eastAsia="Calibri" w:hAnsi="Bookman Old Style"/>
          <w:lang w:eastAsia="es-CR"/>
        </w:rPr>
      </w:pPr>
      <w:r w:rsidRPr="00952AE3">
        <w:rPr>
          <w:rFonts w:ascii="Bookman Old Style" w:hAnsi="Bookman Old Style" w:cs="Book Antiqua"/>
          <w:bCs/>
        </w:rPr>
        <w:t>De igual forma</w:t>
      </w:r>
      <w:r w:rsidR="00ED5E73" w:rsidRPr="00952AE3">
        <w:rPr>
          <w:rFonts w:ascii="Bookman Old Style" w:hAnsi="Bookman Old Style" w:cs="Book Antiqua"/>
          <w:bCs/>
        </w:rPr>
        <w:t>,</w:t>
      </w:r>
      <w:r w:rsidRPr="00952AE3">
        <w:rPr>
          <w:rFonts w:ascii="Bookman Old Style" w:hAnsi="Bookman Old Style" w:cs="Book Antiqua"/>
          <w:bCs/>
        </w:rPr>
        <w:t xml:space="preserve"> se </w:t>
      </w:r>
      <w:r w:rsidR="00B04ED6" w:rsidRPr="00952AE3">
        <w:rPr>
          <w:rFonts w:ascii="Bookman Old Style" w:hAnsi="Bookman Old Style" w:cs="Book Antiqua"/>
          <w:bCs/>
        </w:rPr>
        <w:t>consult</w:t>
      </w:r>
      <w:r w:rsidRPr="00952AE3">
        <w:rPr>
          <w:rFonts w:ascii="Bookman Old Style" w:hAnsi="Bookman Old Style" w:cs="Book Antiqua"/>
          <w:bCs/>
        </w:rPr>
        <w:t xml:space="preserve">ó si para el cierre colectivo de fin y principio 2023-2024 y Semana Santa 2024, se mantiene la </w:t>
      </w:r>
      <w:r w:rsidRPr="00952AE3">
        <w:rPr>
          <w:rFonts w:ascii="Bookman Old Style" w:eastAsia="Calibri" w:hAnsi="Bookman Old Style"/>
          <w:lang w:eastAsia="es-CR"/>
        </w:rPr>
        <w:t>jornada laboral del personal fiscal y técnico judicial, durante el cierre colectivo, bajo la modalidad de apertura efectiva parcial, así establecida para el cierre colectivo anterior</w:t>
      </w:r>
      <w:r w:rsidR="00C35CD9" w:rsidRPr="00952AE3">
        <w:rPr>
          <w:rFonts w:ascii="Bookman Old Style" w:eastAsia="Calibri" w:hAnsi="Bookman Old Style"/>
          <w:lang w:eastAsia="es-CR"/>
        </w:rPr>
        <w:t xml:space="preserve">, </w:t>
      </w:r>
      <w:r w:rsidR="00ED5E73" w:rsidRPr="00952AE3">
        <w:rPr>
          <w:rFonts w:ascii="Bookman Old Style" w:eastAsia="Calibri" w:hAnsi="Bookman Old Style"/>
          <w:lang w:eastAsia="es-CR"/>
        </w:rPr>
        <w:t xml:space="preserve">de lo cual al cierre del presente oficio no </w:t>
      </w:r>
      <w:r w:rsidR="00C35CD9" w:rsidRPr="00952AE3">
        <w:rPr>
          <w:rFonts w:ascii="Bookman Old Style" w:eastAsia="Calibri" w:hAnsi="Bookman Old Style"/>
          <w:lang w:eastAsia="es-CR"/>
        </w:rPr>
        <w:t xml:space="preserve">se </w:t>
      </w:r>
      <w:r w:rsidR="00ED5E73" w:rsidRPr="00952AE3">
        <w:rPr>
          <w:rFonts w:ascii="Bookman Old Style" w:eastAsia="Calibri" w:hAnsi="Bookman Old Style"/>
          <w:lang w:eastAsia="es-CR"/>
        </w:rPr>
        <w:t>ob</w:t>
      </w:r>
      <w:r w:rsidR="00C35CD9" w:rsidRPr="00952AE3">
        <w:rPr>
          <w:rFonts w:ascii="Bookman Old Style" w:eastAsia="Calibri" w:hAnsi="Bookman Old Style"/>
          <w:lang w:eastAsia="es-CR"/>
        </w:rPr>
        <w:t>tuvo respuesta.</w:t>
      </w:r>
    </w:p>
    <w:p w:rsidR="00FA54AB" w:rsidRPr="00952AE3" w:rsidRDefault="00ED5E73" w:rsidP="00B04ED6">
      <w:pPr>
        <w:spacing w:after="200"/>
        <w:jc w:val="both"/>
        <w:rPr>
          <w:rFonts w:ascii="Bookman Old Style" w:eastAsia="Calibri" w:hAnsi="Bookman Old Style"/>
          <w:b/>
          <w:bCs/>
          <w:lang w:eastAsia="es-CR"/>
        </w:rPr>
      </w:pPr>
      <w:r w:rsidRPr="00952AE3">
        <w:rPr>
          <w:rFonts w:ascii="Bookman Old Style" w:eastAsia="Calibri" w:hAnsi="Bookman Old Style"/>
          <w:b/>
          <w:bCs/>
          <w:lang w:eastAsia="es-CR"/>
        </w:rPr>
        <w:t>De conformidad</w:t>
      </w:r>
      <w:r w:rsidR="00B22D83" w:rsidRPr="00952AE3">
        <w:rPr>
          <w:rFonts w:ascii="Bookman Old Style" w:eastAsia="Calibri" w:hAnsi="Bookman Old Style"/>
          <w:b/>
          <w:bCs/>
          <w:lang w:eastAsia="es-CR"/>
        </w:rPr>
        <w:t xml:space="preserve"> con lo anterior, se asume </w:t>
      </w:r>
      <w:r w:rsidR="00421EE1" w:rsidRPr="00952AE3">
        <w:rPr>
          <w:rFonts w:ascii="Bookman Old Style" w:eastAsia="Calibri" w:hAnsi="Bookman Old Style"/>
          <w:b/>
          <w:bCs/>
          <w:lang w:eastAsia="es-CR"/>
        </w:rPr>
        <w:t xml:space="preserve">que </w:t>
      </w:r>
      <w:r w:rsidR="00421EE1" w:rsidRPr="00952AE3">
        <w:rPr>
          <w:rFonts w:ascii="Bookman Old Style" w:hAnsi="Bookman Old Style" w:cs="Book Antiqua"/>
          <w:b/>
          <w:bCs/>
        </w:rPr>
        <w:t>para el cierre colectivo de fin y principio 2023-2024 y Semana Santa 2024</w:t>
      </w:r>
      <w:r w:rsidR="00C35CD9" w:rsidRPr="00952AE3">
        <w:rPr>
          <w:rFonts w:ascii="Bookman Old Style" w:hAnsi="Bookman Old Style" w:cs="Book Antiqua"/>
          <w:b/>
          <w:bCs/>
        </w:rPr>
        <w:t xml:space="preserve">, </w:t>
      </w:r>
      <w:r w:rsidR="00C35CD9" w:rsidRPr="00952AE3">
        <w:rPr>
          <w:rFonts w:ascii="Bookman Old Style" w:eastAsia="Calibri" w:hAnsi="Bookman Old Style"/>
          <w:b/>
          <w:bCs/>
          <w:lang w:eastAsia="es-CR"/>
        </w:rPr>
        <w:t>el M</w:t>
      </w:r>
      <w:r w:rsidRPr="00952AE3">
        <w:rPr>
          <w:rFonts w:ascii="Bookman Old Style" w:eastAsia="Calibri" w:hAnsi="Bookman Old Style"/>
          <w:b/>
          <w:bCs/>
          <w:lang w:eastAsia="es-CR"/>
        </w:rPr>
        <w:t>inisterio Público</w:t>
      </w:r>
      <w:r w:rsidR="00421EE1" w:rsidRPr="00952AE3">
        <w:rPr>
          <w:rFonts w:ascii="Bookman Old Style" w:hAnsi="Bookman Old Style" w:cs="Book Antiqua"/>
          <w:b/>
          <w:bCs/>
        </w:rPr>
        <w:t xml:space="preserve">, </w:t>
      </w:r>
      <w:r w:rsidR="00421EE1" w:rsidRPr="00952AE3">
        <w:rPr>
          <w:rFonts w:ascii="Bookman Old Style" w:eastAsia="Calibri" w:hAnsi="Bookman Old Style"/>
          <w:b/>
          <w:bCs/>
          <w:lang w:eastAsia="es-CR"/>
        </w:rPr>
        <w:t>mant</w:t>
      </w:r>
      <w:r w:rsidR="00C35CD9" w:rsidRPr="00952AE3">
        <w:rPr>
          <w:rFonts w:ascii="Bookman Old Style" w:eastAsia="Calibri" w:hAnsi="Bookman Old Style"/>
          <w:b/>
          <w:bCs/>
          <w:lang w:eastAsia="es-CR"/>
        </w:rPr>
        <w:t>iene</w:t>
      </w:r>
      <w:r w:rsidR="00421EE1" w:rsidRPr="00952AE3">
        <w:rPr>
          <w:rFonts w:ascii="Bookman Old Style" w:eastAsia="Calibri" w:hAnsi="Bookman Old Style"/>
          <w:b/>
          <w:bCs/>
          <w:lang w:eastAsia="es-CR"/>
        </w:rPr>
        <w:t xml:space="preserve"> lo dispuesto por el Consejo Superior, </w:t>
      </w:r>
      <w:r w:rsidRPr="00952AE3">
        <w:rPr>
          <w:rFonts w:ascii="Bookman Old Style" w:eastAsia="Calibri" w:hAnsi="Bookman Old Style"/>
          <w:b/>
          <w:bCs/>
          <w:lang w:eastAsia="es-CR"/>
        </w:rPr>
        <w:t xml:space="preserve">en </w:t>
      </w:r>
      <w:r w:rsidR="00421EE1" w:rsidRPr="00952AE3">
        <w:rPr>
          <w:rFonts w:ascii="Bookman Old Style" w:eastAsia="Calibri" w:hAnsi="Bookman Old Style"/>
          <w:b/>
          <w:bCs/>
          <w:lang w:eastAsia="es-CR"/>
        </w:rPr>
        <w:t xml:space="preserve">sesión N° 28-2022, celebrada el 31 de marzo de 2022, artículo LXVI, </w:t>
      </w:r>
      <w:r w:rsidRPr="00952AE3">
        <w:rPr>
          <w:rFonts w:ascii="Bookman Old Style" w:eastAsia="Calibri" w:hAnsi="Bookman Old Style"/>
          <w:b/>
          <w:bCs/>
          <w:lang w:eastAsia="es-CR"/>
        </w:rPr>
        <w:t xml:space="preserve">arriba indicada, </w:t>
      </w:r>
      <w:r w:rsidR="00421EE1" w:rsidRPr="00952AE3">
        <w:rPr>
          <w:rFonts w:ascii="Bookman Old Style" w:eastAsia="Calibri" w:hAnsi="Bookman Old Style"/>
          <w:b/>
          <w:bCs/>
          <w:lang w:eastAsia="es-CR"/>
        </w:rPr>
        <w:t>salvo que la Fiscalía General disponga lo contrario y se</w:t>
      </w:r>
      <w:r w:rsidR="00C35CD9" w:rsidRPr="00952AE3">
        <w:rPr>
          <w:rFonts w:ascii="Bookman Old Style" w:eastAsia="Calibri" w:hAnsi="Bookman Old Style"/>
          <w:b/>
          <w:bCs/>
          <w:lang w:eastAsia="es-CR"/>
        </w:rPr>
        <w:t>a</w:t>
      </w:r>
      <w:r w:rsidR="00421EE1" w:rsidRPr="00952AE3">
        <w:rPr>
          <w:rFonts w:ascii="Bookman Old Style" w:eastAsia="Calibri" w:hAnsi="Bookman Old Style"/>
          <w:b/>
          <w:bCs/>
          <w:lang w:eastAsia="es-CR"/>
        </w:rPr>
        <w:t xml:space="preserve"> acogida por el ente superior de previo a llevarse a cabo el cierre colectivo venidero.</w:t>
      </w:r>
    </w:p>
    <w:p w:rsidR="00FE5F15" w:rsidRPr="00952AE3" w:rsidRDefault="00FE5F15">
      <w:pPr>
        <w:spacing w:after="200" w:line="276" w:lineRule="auto"/>
        <w:rPr>
          <w:rFonts w:asciiTheme="minorHAnsi" w:hAnsiTheme="minorHAnsi" w:cs="Book Antiqua"/>
          <w:bCs/>
          <w:u w:val="single"/>
        </w:rPr>
      </w:pPr>
    </w:p>
    <w:p w:rsidR="00FE5F15" w:rsidRPr="00952AE3" w:rsidRDefault="00882AC1" w:rsidP="00882AC1">
      <w:pPr>
        <w:spacing w:after="200" w:line="276" w:lineRule="auto"/>
        <w:jc w:val="center"/>
        <w:rPr>
          <w:rFonts w:ascii="Bookman Old Style" w:hAnsi="Bookman Old Style" w:cs="Book Antiqua"/>
          <w:b/>
          <w:sz w:val="28"/>
          <w:szCs w:val="28"/>
          <w:u w:val="single"/>
        </w:rPr>
      </w:pPr>
      <w:r w:rsidRPr="00952AE3">
        <w:rPr>
          <w:rFonts w:ascii="Bookman Old Style" w:hAnsi="Bookman Old Style" w:cs="Book Antiqua"/>
          <w:b/>
          <w:sz w:val="28"/>
          <w:szCs w:val="28"/>
          <w:u w:val="single"/>
        </w:rPr>
        <w:t>DELINCUENCIA ORGANIZADA</w:t>
      </w:r>
    </w:p>
    <w:p w:rsidR="00882AC1" w:rsidRPr="00952AE3" w:rsidRDefault="00882AC1" w:rsidP="00882AC1">
      <w:pPr>
        <w:pStyle w:val="Prrafodelista"/>
        <w:numPr>
          <w:ilvl w:val="0"/>
          <w:numId w:val="3"/>
        </w:numPr>
        <w:spacing w:after="200" w:line="276" w:lineRule="auto"/>
        <w:rPr>
          <w:rFonts w:asciiTheme="minorHAnsi" w:hAnsiTheme="minorHAnsi" w:cs="Book Antiqua"/>
          <w:bCs/>
        </w:rPr>
      </w:pPr>
      <w:r w:rsidRPr="00952AE3">
        <w:rPr>
          <w:rFonts w:ascii="Bookman Old Style" w:hAnsi="Bookman Old Style" w:cs="Book Antiqua"/>
          <w:b/>
        </w:rPr>
        <w:t xml:space="preserve">Fiscalía </w:t>
      </w:r>
      <w:r w:rsidR="00800354" w:rsidRPr="00952AE3">
        <w:rPr>
          <w:rFonts w:ascii="Bookman Old Style" w:hAnsi="Bookman Old Style" w:cs="Book Antiqua"/>
          <w:b/>
        </w:rPr>
        <w:t xml:space="preserve">Especializada </w:t>
      </w:r>
      <w:r w:rsidRPr="00952AE3">
        <w:rPr>
          <w:rFonts w:ascii="Bookman Old Style" w:hAnsi="Bookman Old Style" w:cs="Book Antiqua"/>
          <w:b/>
        </w:rPr>
        <w:t>en Delincuencia Organizada</w:t>
      </w:r>
    </w:p>
    <w:p w:rsidR="00882AC1" w:rsidRPr="00952AE3" w:rsidRDefault="00882AC1">
      <w:pPr>
        <w:spacing w:after="200" w:line="276" w:lineRule="auto"/>
        <w:rPr>
          <w:rFonts w:asciiTheme="minorHAnsi" w:hAnsiTheme="minorHAnsi" w:cs="Book Antiqua"/>
          <w:bCs/>
          <w:u w:val="single"/>
        </w:rPr>
      </w:pPr>
    </w:p>
    <w:p w:rsidR="00B17C06" w:rsidRPr="00952AE3" w:rsidRDefault="00B17C06">
      <w:pPr>
        <w:spacing w:after="200" w:line="276" w:lineRule="auto"/>
        <w:rPr>
          <w:rFonts w:asciiTheme="minorHAnsi" w:hAnsiTheme="minorHAnsi" w:cs="Book Antiqua"/>
          <w:bCs/>
          <w:u w:val="single"/>
        </w:rPr>
      </w:pPr>
    </w:p>
    <w:p w:rsidR="00E60AF0" w:rsidRPr="00952AE3" w:rsidRDefault="009F4DE0" w:rsidP="00970625">
      <w:pPr>
        <w:pStyle w:val="NormalWeb"/>
        <w:numPr>
          <w:ilvl w:val="0"/>
          <w:numId w:val="4"/>
        </w:numPr>
        <w:suppressAutoHyphens/>
        <w:spacing w:before="0" w:beforeAutospacing="0" w:after="0" w:afterAutospacing="0"/>
        <w:jc w:val="both"/>
        <w:rPr>
          <w:rFonts w:ascii="Bookman Old Style" w:hAnsi="Bookman Old Style" w:cs="Book Antiqua"/>
          <w:b/>
          <w:bCs/>
          <w:sz w:val="28"/>
          <w:szCs w:val="28"/>
          <w:u w:val="single"/>
        </w:rPr>
      </w:pPr>
      <w:r w:rsidRPr="00952AE3">
        <w:rPr>
          <w:rFonts w:ascii="Bookman Old Style" w:hAnsi="Bookman Old Style" w:cs="Book Antiqua"/>
          <w:b/>
          <w:bCs/>
          <w:sz w:val="28"/>
          <w:szCs w:val="28"/>
          <w:u w:val="single"/>
        </w:rPr>
        <w:t xml:space="preserve"> </w:t>
      </w:r>
      <w:r w:rsidR="00E60AF0" w:rsidRPr="00952AE3">
        <w:rPr>
          <w:rFonts w:ascii="Bookman Old Style" w:hAnsi="Bookman Old Style" w:cs="Book Antiqua"/>
          <w:b/>
          <w:bCs/>
          <w:sz w:val="28"/>
          <w:szCs w:val="28"/>
          <w:u w:val="single"/>
        </w:rPr>
        <w:t>DEFENSA PÚBLICA</w:t>
      </w:r>
    </w:p>
    <w:p w:rsidR="00E60AF0" w:rsidRPr="00952AE3" w:rsidRDefault="00E60AF0" w:rsidP="00E60AF0">
      <w:pPr>
        <w:pStyle w:val="NormalWeb"/>
        <w:spacing w:before="0" w:beforeAutospacing="0" w:after="0" w:afterAutospacing="0"/>
        <w:jc w:val="both"/>
        <w:rPr>
          <w:rFonts w:asciiTheme="minorHAnsi" w:hAnsiTheme="minorHAnsi" w:cs="Book Antiqua"/>
        </w:rPr>
      </w:pPr>
    </w:p>
    <w:p w:rsidR="00E8244A" w:rsidRPr="00952AE3" w:rsidRDefault="00E8244A" w:rsidP="00E60AF0">
      <w:pPr>
        <w:pStyle w:val="NormalWeb"/>
        <w:spacing w:before="0" w:beforeAutospacing="0" w:after="0" w:afterAutospacing="0"/>
        <w:jc w:val="both"/>
        <w:rPr>
          <w:rFonts w:asciiTheme="minorHAnsi" w:hAnsiTheme="minorHAnsi" w:cs="Book Antiqua"/>
        </w:rPr>
      </w:pP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Jefatur</w:t>
      </w:r>
      <w:r w:rsidR="006D2CF3" w:rsidRPr="00952AE3">
        <w:rPr>
          <w:rFonts w:ascii="Bookman Old Style" w:hAnsi="Bookman Old Style" w:cs="Book Antiqua"/>
          <w:b/>
          <w:bCs/>
        </w:rPr>
        <w:t>a de Defensa Pública (San José)</w:t>
      </w:r>
      <w:r w:rsidR="00A523F3" w:rsidRPr="00952AE3">
        <w:rPr>
          <w:rFonts w:ascii="Bookman Old Style" w:hAnsi="Bookman Old Style" w:cs="Book Antiqua"/>
          <w:b/>
          <w:bCs/>
        </w:rPr>
        <w:t>: atenderán los asuntos del I Circuito Judicial de San José</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Unidad de Defensa Penal Juvenil</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Unidad Defensa de Penalización de la Violencia Contra las Mujeres</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Puriscal</w:t>
      </w:r>
    </w:p>
    <w:p w:rsidR="00F03DDF" w:rsidRPr="00952AE3" w:rsidRDefault="006D2CF3"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Pavas</w:t>
      </w:r>
      <w:r w:rsidR="00A523F3" w:rsidRPr="00952AE3">
        <w:rPr>
          <w:rFonts w:ascii="Bookman Old Style" w:hAnsi="Bookman Old Style" w:cs="Book Antiqua"/>
          <w:b/>
          <w:bCs/>
        </w:rPr>
        <w:t>: además, atenderán los asuntos de Escazú y Santa Ana</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Defensa Pública </w:t>
      </w:r>
      <w:r w:rsidR="008746BE" w:rsidRPr="00952AE3">
        <w:rPr>
          <w:rFonts w:ascii="Bookman Old Style" w:hAnsi="Bookman Old Style" w:cs="Book Antiqua"/>
          <w:b/>
          <w:bCs/>
        </w:rPr>
        <w:t>II</w:t>
      </w:r>
      <w:r w:rsidRPr="00952AE3">
        <w:rPr>
          <w:rFonts w:ascii="Bookman Old Style" w:hAnsi="Bookman Old Style" w:cs="Book Antiqua"/>
          <w:b/>
          <w:bCs/>
        </w:rPr>
        <w:t xml:space="preserve"> Circuito Judicial San José</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Defensa Pública </w:t>
      </w:r>
      <w:r w:rsidR="008746BE" w:rsidRPr="00952AE3">
        <w:rPr>
          <w:rFonts w:ascii="Bookman Old Style" w:hAnsi="Bookman Old Style" w:cs="Book Antiqua"/>
          <w:b/>
          <w:bCs/>
        </w:rPr>
        <w:t>III</w:t>
      </w:r>
      <w:r w:rsidRPr="00952AE3">
        <w:rPr>
          <w:rFonts w:ascii="Bookman Old Style" w:hAnsi="Bookman Old Style" w:cs="Book Antiqua"/>
          <w:b/>
          <w:bCs/>
        </w:rPr>
        <w:t xml:space="preserve"> Circuito Judicial San José</w:t>
      </w:r>
    </w:p>
    <w:p w:rsidR="00F03DDF" w:rsidRPr="00952AE3" w:rsidRDefault="006D2CF3"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Hatillo</w:t>
      </w:r>
      <w:r w:rsidR="00A523F3" w:rsidRPr="00952AE3">
        <w:rPr>
          <w:rFonts w:ascii="Bookman Old Style" w:hAnsi="Bookman Old Style" w:cs="Book Antiqua"/>
          <w:b/>
          <w:bCs/>
        </w:rPr>
        <w:t>:  además, atenderán los asuntos de Alajuelita y San Sebastián</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Defensa Pública </w:t>
      </w:r>
      <w:r w:rsidR="008746BE" w:rsidRPr="00952AE3">
        <w:rPr>
          <w:rFonts w:ascii="Bookman Old Style" w:hAnsi="Bookman Old Style" w:cs="Book Antiqua"/>
          <w:b/>
          <w:bCs/>
        </w:rPr>
        <w:t>I</w:t>
      </w:r>
      <w:r w:rsidRPr="00952AE3">
        <w:rPr>
          <w:rFonts w:ascii="Bookman Old Style" w:hAnsi="Bookman Old Style" w:cs="Book Antiqua"/>
          <w:b/>
          <w:bCs/>
        </w:rPr>
        <w:t xml:space="preserve"> Circuito Judicial Zona Sur (Pérez Zeledón)</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Buenos Aires</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Defensa Pública </w:t>
      </w:r>
      <w:r w:rsidR="008746BE" w:rsidRPr="00952AE3">
        <w:rPr>
          <w:rFonts w:ascii="Bookman Old Style" w:hAnsi="Bookman Old Style" w:cs="Book Antiqua"/>
          <w:b/>
          <w:bCs/>
        </w:rPr>
        <w:t>II</w:t>
      </w:r>
      <w:r w:rsidRPr="00952AE3">
        <w:rPr>
          <w:rFonts w:ascii="Bookman Old Style" w:hAnsi="Bookman Old Style" w:cs="Book Antiqua"/>
          <w:b/>
          <w:bCs/>
        </w:rPr>
        <w:t xml:space="preserve"> Circuito Judicial Zona Sur (Corredores)</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Golfito</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Osa</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Coto Brus</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Puerto Jiménez</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Defensa Pública </w:t>
      </w:r>
      <w:r w:rsidR="008746BE" w:rsidRPr="00952AE3">
        <w:rPr>
          <w:rFonts w:ascii="Bookman Old Style" w:hAnsi="Bookman Old Style" w:cs="Book Antiqua"/>
          <w:b/>
          <w:bCs/>
        </w:rPr>
        <w:t>I</w:t>
      </w:r>
      <w:r w:rsidRPr="00952AE3">
        <w:rPr>
          <w:rFonts w:ascii="Bookman Old Style" w:hAnsi="Bookman Old Style" w:cs="Book Antiqua"/>
          <w:b/>
          <w:bCs/>
        </w:rPr>
        <w:t xml:space="preserve"> Circuito Judicial Alajuela</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Atenas</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Defensa Pública </w:t>
      </w:r>
      <w:r w:rsidR="008746BE" w:rsidRPr="00952AE3">
        <w:rPr>
          <w:rFonts w:ascii="Bookman Old Style" w:hAnsi="Bookman Old Style" w:cs="Book Antiqua"/>
          <w:b/>
          <w:bCs/>
        </w:rPr>
        <w:t>II</w:t>
      </w:r>
      <w:r w:rsidRPr="00952AE3">
        <w:rPr>
          <w:rFonts w:ascii="Bookman Old Style" w:hAnsi="Bookman Old Style" w:cs="Book Antiqua"/>
          <w:b/>
          <w:bCs/>
        </w:rPr>
        <w:t xml:space="preserve"> Circuito Judicial Alajuela</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Upala</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Guatuso</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Los Chiles</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La Fortuna</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Defensa Pública </w:t>
      </w:r>
      <w:r w:rsidR="008746BE" w:rsidRPr="00952AE3">
        <w:rPr>
          <w:rFonts w:ascii="Bookman Old Style" w:hAnsi="Bookman Old Style" w:cs="Book Antiqua"/>
          <w:b/>
          <w:bCs/>
        </w:rPr>
        <w:t>III</w:t>
      </w:r>
      <w:r w:rsidRPr="00952AE3">
        <w:rPr>
          <w:rFonts w:ascii="Bookman Old Style" w:hAnsi="Bookman Old Style" w:cs="Book Antiqua"/>
          <w:b/>
          <w:bCs/>
        </w:rPr>
        <w:t xml:space="preserve"> Tercer Circuito Judicial Alajuela (San Ramón)</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Grecia</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Cartago</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Turrialba</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La Unión</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Tarrazú</w:t>
      </w:r>
    </w:p>
    <w:p w:rsidR="00F03DDF" w:rsidRPr="00952AE3" w:rsidRDefault="006D2CF3"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Heredia</w:t>
      </w:r>
    </w:p>
    <w:p w:rsidR="00A523F3" w:rsidRPr="00952AE3" w:rsidRDefault="00A523F3"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San Joaquín de Flores</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Sarapiquí</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Defensa Pública </w:t>
      </w:r>
      <w:r w:rsidR="008746BE" w:rsidRPr="00952AE3">
        <w:rPr>
          <w:rFonts w:ascii="Bookman Old Style" w:hAnsi="Bookman Old Style" w:cs="Book Antiqua"/>
          <w:b/>
          <w:bCs/>
        </w:rPr>
        <w:t xml:space="preserve">I </w:t>
      </w:r>
      <w:r w:rsidRPr="00952AE3">
        <w:rPr>
          <w:rFonts w:ascii="Bookman Old Style" w:hAnsi="Bookman Old Style" w:cs="Book Antiqua"/>
          <w:b/>
          <w:bCs/>
        </w:rPr>
        <w:t>Circuito Judicial Guanacaste (Liberia)</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Cañas</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Defensa Pública </w:t>
      </w:r>
      <w:r w:rsidR="008746BE" w:rsidRPr="00952AE3">
        <w:rPr>
          <w:rFonts w:ascii="Bookman Old Style" w:hAnsi="Bookman Old Style" w:cs="Book Antiqua"/>
          <w:b/>
          <w:bCs/>
        </w:rPr>
        <w:t xml:space="preserve">II </w:t>
      </w:r>
      <w:r w:rsidRPr="00952AE3">
        <w:rPr>
          <w:rFonts w:ascii="Bookman Old Style" w:hAnsi="Bookman Old Style" w:cs="Book Antiqua"/>
          <w:b/>
          <w:bCs/>
        </w:rPr>
        <w:t>Circuito Judicial de Guanacaste (Nicoya)</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Santa Cruz</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Puntarenas</w:t>
      </w:r>
    </w:p>
    <w:p w:rsidR="0040752E"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Defensa Pública de Quepos </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Cóbano</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Garabito</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Defensa Pública del </w:t>
      </w:r>
      <w:r w:rsidR="008746BE" w:rsidRPr="00952AE3">
        <w:rPr>
          <w:rFonts w:ascii="Bookman Old Style" w:hAnsi="Bookman Old Style" w:cs="Book Antiqua"/>
          <w:b/>
          <w:bCs/>
        </w:rPr>
        <w:t xml:space="preserve">I </w:t>
      </w:r>
      <w:r w:rsidRPr="00952AE3">
        <w:rPr>
          <w:rFonts w:ascii="Bookman Old Style" w:hAnsi="Bookman Old Style" w:cs="Book Antiqua"/>
          <w:b/>
          <w:bCs/>
        </w:rPr>
        <w:t>Circuito Judicial Zona Atlántica</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Bribrí</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Defensa Pública </w:t>
      </w:r>
      <w:r w:rsidR="008A5146" w:rsidRPr="00952AE3">
        <w:rPr>
          <w:rFonts w:ascii="Bookman Old Style" w:hAnsi="Bookman Old Style" w:cs="Book Antiqua"/>
          <w:b/>
          <w:bCs/>
        </w:rPr>
        <w:t xml:space="preserve">de </w:t>
      </w:r>
      <w:r w:rsidR="006D2CF3" w:rsidRPr="00952AE3">
        <w:rPr>
          <w:rFonts w:ascii="Bookman Old Style" w:hAnsi="Bookman Old Style" w:cs="Book Antiqua"/>
          <w:b/>
          <w:bCs/>
        </w:rPr>
        <w:t>Batán</w:t>
      </w:r>
      <w:r w:rsidR="006D2CF3" w:rsidRPr="00952AE3">
        <w:rPr>
          <w:rFonts w:ascii="Bookman Old Style" w:hAnsi="Bookman Old Style"/>
          <w:vertAlign w:val="superscript"/>
        </w:rPr>
        <w:footnoteReference w:id="4"/>
      </w:r>
    </w:p>
    <w:p w:rsidR="008A5146" w:rsidRPr="00952AE3" w:rsidRDefault="008A5146"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Defensa Pública de Siquirres</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 xml:space="preserve">Defensa Pública </w:t>
      </w:r>
      <w:r w:rsidR="008746BE" w:rsidRPr="00952AE3">
        <w:rPr>
          <w:rFonts w:ascii="Bookman Old Style" w:hAnsi="Bookman Old Style" w:cs="Book Antiqua"/>
          <w:b/>
          <w:bCs/>
        </w:rPr>
        <w:t xml:space="preserve">II </w:t>
      </w:r>
      <w:r w:rsidRPr="00952AE3">
        <w:rPr>
          <w:rFonts w:ascii="Bookman Old Style" w:hAnsi="Bookman Old Style" w:cs="Book Antiqua"/>
          <w:b/>
          <w:bCs/>
        </w:rPr>
        <w:t xml:space="preserve">Circuito Judicial </w:t>
      </w:r>
      <w:r w:rsidR="008746BE" w:rsidRPr="00952AE3">
        <w:rPr>
          <w:rFonts w:ascii="Bookman Old Style" w:hAnsi="Bookman Old Style" w:cs="Book Antiqua"/>
          <w:b/>
          <w:bCs/>
        </w:rPr>
        <w:t>Z</w:t>
      </w:r>
      <w:r w:rsidRPr="00952AE3">
        <w:rPr>
          <w:rFonts w:ascii="Bookman Old Style" w:hAnsi="Bookman Old Style" w:cs="Book Antiqua"/>
          <w:b/>
          <w:bCs/>
        </w:rPr>
        <w:t xml:space="preserve">ona </w:t>
      </w:r>
      <w:r w:rsidR="000C7862" w:rsidRPr="00952AE3">
        <w:rPr>
          <w:rFonts w:ascii="Bookman Old Style" w:hAnsi="Bookman Old Style" w:cs="Book Antiqua"/>
          <w:b/>
          <w:bCs/>
        </w:rPr>
        <w:t>Atlántica (</w:t>
      </w:r>
      <w:r w:rsidRPr="00952AE3">
        <w:rPr>
          <w:rFonts w:ascii="Bookman Old Style" w:hAnsi="Bookman Old Style" w:cs="Book Antiqua"/>
          <w:b/>
          <w:bCs/>
        </w:rPr>
        <w:t>Pococí-Guácimo)</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Plataforma Integra</w:t>
      </w:r>
      <w:r w:rsidR="00442E9A" w:rsidRPr="00952AE3">
        <w:rPr>
          <w:rFonts w:ascii="Bookman Old Style" w:hAnsi="Bookman Old Style" w:cs="Book Antiqua"/>
          <w:b/>
          <w:bCs/>
        </w:rPr>
        <w:t>l</w:t>
      </w:r>
      <w:r w:rsidRPr="00952AE3">
        <w:rPr>
          <w:rFonts w:ascii="Bookman Old Style" w:hAnsi="Bookman Old Style" w:cs="Book Antiqua"/>
          <w:b/>
          <w:bCs/>
        </w:rPr>
        <w:t xml:space="preserve"> de Servicios de Atención a la Víctima, Defensa Pública, Sede San José.</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Plataforma Integra</w:t>
      </w:r>
      <w:r w:rsidR="00442E9A" w:rsidRPr="00952AE3">
        <w:rPr>
          <w:rFonts w:ascii="Bookman Old Style" w:hAnsi="Bookman Old Style" w:cs="Book Antiqua"/>
          <w:b/>
          <w:bCs/>
        </w:rPr>
        <w:t>l</w:t>
      </w:r>
      <w:r w:rsidRPr="00952AE3">
        <w:rPr>
          <w:rFonts w:ascii="Bookman Old Style" w:hAnsi="Bookman Old Style" w:cs="Book Antiqua"/>
          <w:b/>
          <w:bCs/>
        </w:rPr>
        <w:t xml:space="preserve"> de Servicios de Atención a la Víctima, Defensa Pública, Sede La Unión.</w:t>
      </w:r>
    </w:p>
    <w:p w:rsidR="00F03DDF" w:rsidRPr="00952AE3" w:rsidRDefault="00F03DDF" w:rsidP="0040752E">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Plataforma Integra</w:t>
      </w:r>
      <w:r w:rsidR="00442E9A" w:rsidRPr="00952AE3">
        <w:rPr>
          <w:rFonts w:ascii="Bookman Old Style" w:hAnsi="Bookman Old Style" w:cs="Book Antiqua"/>
          <w:b/>
          <w:bCs/>
        </w:rPr>
        <w:t>l</w:t>
      </w:r>
      <w:r w:rsidRPr="00952AE3">
        <w:rPr>
          <w:rFonts w:ascii="Bookman Old Style" w:hAnsi="Bookman Old Style" w:cs="Book Antiqua"/>
          <w:b/>
          <w:bCs/>
        </w:rPr>
        <w:t xml:space="preserve"> de Servicios de Atención a la Víctima, Defensa Pública, Sede San Joaquín de Flores.</w:t>
      </w:r>
    </w:p>
    <w:p w:rsidR="00AE1DDD" w:rsidRPr="00952AE3" w:rsidRDefault="00AE1DDD" w:rsidP="00AE1DDD">
      <w:pPr>
        <w:pStyle w:val="NormalWeb"/>
        <w:numPr>
          <w:ilvl w:val="0"/>
          <w:numId w:val="2"/>
        </w:numPr>
        <w:tabs>
          <w:tab w:val="left" w:pos="567"/>
        </w:tabs>
        <w:spacing w:before="0" w:beforeAutospacing="0" w:after="240" w:afterAutospacing="0"/>
        <w:jc w:val="both"/>
        <w:rPr>
          <w:rFonts w:ascii="Bookman Old Style" w:hAnsi="Bookman Old Style" w:cs="Book Antiqua"/>
          <w:b/>
          <w:bCs/>
        </w:rPr>
      </w:pPr>
      <w:r w:rsidRPr="00952AE3">
        <w:rPr>
          <w:rFonts w:ascii="Bookman Old Style" w:hAnsi="Bookman Old Style" w:cs="Book Antiqua"/>
          <w:b/>
          <w:bCs/>
        </w:rPr>
        <w:t>Plataforma Integra</w:t>
      </w:r>
      <w:r w:rsidR="00442E9A" w:rsidRPr="00952AE3">
        <w:rPr>
          <w:rFonts w:ascii="Bookman Old Style" w:hAnsi="Bookman Old Style" w:cs="Book Antiqua"/>
          <w:b/>
          <w:bCs/>
        </w:rPr>
        <w:t>l</w:t>
      </w:r>
      <w:r w:rsidRPr="00952AE3">
        <w:rPr>
          <w:rFonts w:ascii="Bookman Old Style" w:hAnsi="Bookman Old Style" w:cs="Book Antiqua"/>
          <w:b/>
          <w:bCs/>
        </w:rPr>
        <w:t xml:space="preserve"> de Servicios de Atención a la Víctima, Defensa Pública, Sede Siquirres.</w:t>
      </w:r>
    </w:p>
    <w:p w:rsidR="00AE1DDD" w:rsidRPr="00952AE3" w:rsidRDefault="00AE1DDD" w:rsidP="00AE1DDD">
      <w:pPr>
        <w:pStyle w:val="NormalWeb"/>
        <w:tabs>
          <w:tab w:val="left" w:pos="567"/>
        </w:tabs>
        <w:spacing w:before="0" w:beforeAutospacing="0" w:after="240" w:afterAutospacing="0"/>
        <w:ind w:left="568"/>
        <w:jc w:val="both"/>
        <w:rPr>
          <w:rFonts w:ascii="Bookman Old Style" w:hAnsi="Bookman Old Style" w:cs="Book Antiqua"/>
          <w:b/>
          <w:bCs/>
        </w:rPr>
      </w:pPr>
    </w:p>
    <w:p w:rsidR="00882AC1" w:rsidRPr="00952AE3" w:rsidRDefault="00882AC1" w:rsidP="00882AC1">
      <w:pPr>
        <w:spacing w:after="200" w:line="276" w:lineRule="auto"/>
        <w:jc w:val="center"/>
        <w:rPr>
          <w:rFonts w:ascii="Bookman Old Style" w:hAnsi="Bookman Old Style" w:cs="Book Antiqua"/>
          <w:b/>
          <w:sz w:val="28"/>
          <w:szCs w:val="28"/>
          <w:u w:val="single"/>
        </w:rPr>
      </w:pPr>
      <w:r w:rsidRPr="00952AE3">
        <w:rPr>
          <w:rFonts w:ascii="Bookman Old Style" w:hAnsi="Bookman Old Style" w:cs="Book Antiqua"/>
          <w:b/>
          <w:sz w:val="28"/>
          <w:szCs w:val="28"/>
          <w:u w:val="single"/>
        </w:rPr>
        <w:t>DELINCUENCIA ORGANIZADA</w:t>
      </w:r>
    </w:p>
    <w:p w:rsidR="00F03DDF" w:rsidRPr="00952AE3" w:rsidRDefault="00882AC1" w:rsidP="00882AC1">
      <w:pPr>
        <w:pStyle w:val="NormalWeb"/>
        <w:numPr>
          <w:ilvl w:val="0"/>
          <w:numId w:val="5"/>
        </w:numPr>
        <w:spacing w:before="0" w:beforeAutospacing="0" w:after="0" w:afterAutospacing="0"/>
        <w:jc w:val="both"/>
        <w:rPr>
          <w:rFonts w:ascii="Bookman Old Style" w:hAnsi="Bookman Old Style" w:cs="Book Antiqua"/>
          <w:b/>
          <w:bCs/>
        </w:rPr>
      </w:pPr>
      <w:r w:rsidRPr="00952AE3">
        <w:rPr>
          <w:rFonts w:ascii="Bookman Old Style" w:hAnsi="Bookman Old Style" w:cs="Book Antiqua"/>
          <w:b/>
          <w:bCs/>
        </w:rPr>
        <w:t>Defensa Pública Especializada en Delincuencia Organizada</w:t>
      </w:r>
    </w:p>
    <w:p w:rsidR="006D2CF3" w:rsidRPr="00952AE3" w:rsidRDefault="006D2CF3" w:rsidP="00F03DDF">
      <w:pPr>
        <w:pStyle w:val="NormalWeb"/>
        <w:spacing w:before="0" w:beforeAutospacing="0" w:after="0" w:afterAutospacing="0"/>
        <w:jc w:val="both"/>
        <w:rPr>
          <w:rFonts w:asciiTheme="minorHAnsi" w:hAnsiTheme="minorHAnsi" w:cs="Book Antiqua"/>
        </w:rPr>
      </w:pPr>
    </w:p>
    <w:p w:rsidR="001A2B68" w:rsidRPr="00952AE3" w:rsidRDefault="001A2B68" w:rsidP="00F03DDF">
      <w:pPr>
        <w:pStyle w:val="NormalWeb"/>
        <w:spacing w:before="0" w:beforeAutospacing="0" w:after="0" w:afterAutospacing="0"/>
        <w:jc w:val="both"/>
        <w:rPr>
          <w:rFonts w:asciiTheme="minorHAnsi" w:hAnsiTheme="minorHAnsi" w:cs="Book Antiqua"/>
        </w:rPr>
      </w:pPr>
    </w:p>
    <w:p w:rsidR="001A2B68" w:rsidRPr="00952AE3" w:rsidRDefault="001A2B68" w:rsidP="001A2B68">
      <w:pPr>
        <w:spacing w:after="200" w:line="276" w:lineRule="auto"/>
        <w:jc w:val="center"/>
        <w:rPr>
          <w:rFonts w:ascii="Bookman Old Style" w:hAnsi="Bookman Old Style" w:cs="Book Antiqua"/>
          <w:b/>
          <w:sz w:val="28"/>
          <w:szCs w:val="28"/>
          <w:u w:val="single"/>
        </w:rPr>
      </w:pPr>
      <w:r w:rsidRPr="00952AE3">
        <w:rPr>
          <w:rFonts w:ascii="Bookman Old Style" w:hAnsi="Bookman Old Style" w:cs="Book Antiqua"/>
          <w:b/>
          <w:sz w:val="28"/>
          <w:szCs w:val="28"/>
          <w:u w:val="single"/>
        </w:rPr>
        <w:t>ANEXO</w:t>
      </w:r>
    </w:p>
    <w:p w:rsidR="001A2B68" w:rsidRPr="00952AE3" w:rsidRDefault="001A2B68" w:rsidP="001A2B68">
      <w:pPr>
        <w:spacing w:after="200" w:line="276" w:lineRule="auto"/>
        <w:jc w:val="center"/>
        <w:rPr>
          <w:rFonts w:ascii="Bookman Old Style" w:hAnsi="Bookman Old Style" w:cs="Book Antiqua"/>
          <w:bCs/>
          <w:i/>
          <w:iCs/>
          <w:sz w:val="28"/>
          <w:szCs w:val="28"/>
        </w:rPr>
      </w:pPr>
      <w:r w:rsidRPr="00952AE3">
        <w:rPr>
          <w:rFonts w:ascii="Bookman Old Style" w:hAnsi="Bookman Old Style" w:cs="Book Antiqua"/>
          <w:bCs/>
          <w:i/>
          <w:iCs/>
          <w:sz w:val="28"/>
          <w:szCs w:val="28"/>
        </w:rPr>
        <w:t>Respuesta del Fiscal Freddy Fallas Barrantes</w:t>
      </w:r>
    </w:p>
    <w:p w:rsidR="001A2B68" w:rsidRPr="00952AE3" w:rsidRDefault="001A2B68" w:rsidP="001A2B68">
      <w:pPr>
        <w:spacing w:after="200" w:line="276" w:lineRule="auto"/>
        <w:jc w:val="center"/>
        <w:rPr>
          <w:rFonts w:ascii="Bookman Old Style" w:hAnsi="Bookman Old Style" w:cs="Book Antiqua"/>
          <w:bCs/>
          <w:i/>
          <w:iCs/>
          <w:sz w:val="28"/>
          <w:szCs w:val="28"/>
        </w:rPr>
      </w:pPr>
      <w:r w:rsidRPr="00952AE3">
        <w:rPr>
          <w:rFonts w:ascii="Bookman Old Style" w:hAnsi="Bookman Old Style" w:cs="Book Antiqua"/>
          <w:bCs/>
          <w:i/>
          <w:iCs/>
          <w:sz w:val="28"/>
          <w:szCs w:val="28"/>
        </w:rPr>
        <w:object w:dxaOrig="1537" w:dyaOrig="997" w14:anchorId="1F3A5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Acrobat.Document.DC" ShapeID="_x0000_i1025" DrawAspect="Icon" ObjectID="_1762164974" r:id="rId9"/>
        </w:object>
      </w:r>
    </w:p>
    <w:sectPr w:rsidR="001A2B68" w:rsidRPr="00952AE3" w:rsidSect="006414B9">
      <w:headerReference w:type="default" r:id="rId10"/>
      <w:footerReference w:type="even" r:id="rId11"/>
      <w:footerReference w:type="default" r:id="rId12"/>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09C3" w:rsidRDefault="006909C3" w:rsidP="007954BE">
      <w:r>
        <w:separator/>
      </w:r>
    </w:p>
  </w:endnote>
  <w:endnote w:type="continuationSeparator" w:id="0">
    <w:p w:rsidR="006909C3" w:rsidRDefault="006909C3" w:rsidP="0079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3BC" w:rsidRDefault="006903BC"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03BC" w:rsidRDefault="006903BC" w:rsidP="006414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3BC" w:rsidRDefault="006903BC"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5511">
      <w:rPr>
        <w:rStyle w:val="Nmerodepgina"/>
        <w:noProof/>
      </w:rPr>
      <w:t>5</w:t>
    </w:r>
    <w:r>
      <w:rPr>
        <w:rStyle w:val="Nmerodepgina"/>
      </w:rPr>
      <w:fldChar w:fldCharType="end"/>
    </w:r>
  </w:p>
  <w:p w:rsidR="006903BC" w:rsidRDefault="006903BC" w:rsidP="006414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09C3" w:rsidRDefault="006909C3" w:rsidP="007954BE">
      <w:r>
        <w:separator/>
      </w:r>
    </w:p>
  </w:footnote>
  <w:footnote w:type="continuationSeparator" w:id="0">
    <w:p w:rsidR="006909C3" w:rsidRDefault="006909C3" w:rsidP="007954BE">
      <w:r>
        <w:continuationSeparator/>
      </w:r>
    </w:p>
  </w:footnote>
  <w:footnote w:id="1">
    <w:p w:rsidR="009F7D53" w:rsidRDefault="009F7D53" w:rsidP="009F7D53">
      <w:pPr>
        <w:pStyle w:val="Textonotapie"/>
        <w:jc w:val="both"/>
        <w:rPr>
          <w:sz w:val="18"/>
          <w:szCs w:val="18"/>
        </w:rPr>
      </w:pPr>
      <w:r w:rsidRPr="00EB55A7">
        <w:rPr>
          <w:rStyle w:val="Refdenotaalpie"/>
          <w:sz w:val="18"/>
          <w:szCs w:val="18"/>
        </w:rPr>
        <w:footnoteRef/>
      </w:r>
      <w:r w:rsidRPr="00EB55A7">
        <w:rPr>
          <w:sz w:val="18"/>
          <w:szCs w:val="18"/>
        </w:rPr>
        <w:t xml:space="preserve"> Cambió de nombre, antes</w:t>
      </w:r>
      <w:r>
        <w:rPr>
          <w:sz w:val="18"/>
          <w:szCs w:val="18"/>
        </w:rPr>
        <w:t xml:space="preserve"> se conocía como</w:t>
      </w:r>
      <w:r w:rsidRPr="00EB55A7">
        <w:rPr>
          <w:sz w:val="18"/>
          <w:szCs w:val="18"/>
        </w:rPr>
        <w:t xml:space="preserve"> Fiscalía Adjunta de Violencia Doméstica y Delitos Sexuales</w:t>
      </w:r>
      <w:r>
        <w:rPr>
          <w:sz w:val="18"/>
          <w:szCs w:val="18"/>
        </w:rPr>
        <w:t xml:space="preserve"> (</w:t>
      </w:r>
      <w:r w:rsidRPr="00EB55A7">
        <w:rPr>
          <w:sz w:val="18"/>
          <w:szCs w:val="18"/>
        </w:rPr>
        <w:t xml:space="preserve">Corte Plena, </w:t>
      </w:r>
      <w:r w:rsidR="000A537D">
        <w:rPr>
          <w:sz w:val="18"/>
          <w:szCs w:val="18"/>
        </w:rPr>
        <w:t xml:space="preserve">sesión </w:t>
      </w:r>
      <w:r w:rsidRPr="00EB55A7">
        <w:rPr>
          <w:sz w:val="18"/>
          <w:szCs w:val="18"/>
        </w:rPr>
        <w:t>27-11</w:t>
      </w:r>
      <w:r w:rsidR="000A537D">
        <w:rPr>
          <w:sz w:val="18"/>
          <w:szCs w:val="18"/>
        </w:rPr>
        <w:t xml:space="preserve"> del </w:t>
      </w:r>
      <w:r w:rsidRPr="00EB55A7">
        <w:rPr>
          <w:sz w:val="18"/>
          <w:szCs w:val="18"/>
        </w:rPr>
        <w:t>22</w:t>
      </w:r>
      <w:r>
        <w:rPr>
          <w:sz w:val="18"/>
          <w:szCs w:val="18"/>
        </w:rPr>
        <w:t xml:space="preserve"> de agosto del 20</w:t>
      </w:r>
      <w:r w:rsidRPr="00EB55A7">
        <w:rPr>
          <w:sz w:val="18"/>
          <w:szCs w:val="18"/>
        </w:rPr>
        <w:t>11, artículo XXIV</w:t>
      </w:r>
      <w:r>
        <w:rPr>
          <w:sz w:val="18"/>
          <w:szCs w:val="18"/>
        </w:rPr>
        <w:t>)</w:t>
      </w:r>
      <w:r w:rsidRPr="00EB55A7">
        <w:rPr>
          <w:sz w:val="18"/>
          <w:szCs w:val="18"/>
        </w:rPr>
        <w:t xml:space="preserve">. </w:t>
      </w:r>
    </w:p>
  </w:footnote>
  <w:footnote w:id="2">
    <w:p w:rsidR="00C02FF9" w:rsidRDefault="00C02FF9" w:rsidP="00C02FF9">
      <w:pPr>
        <w:pStyle w:val="Textonotapie"/>
      </w:pPr>
      <w:r>
        <w:rPr>
          <w:rStyle w:val="Refdenotaalpie"/>
        </w:rPr>
        <w:footnoteRef/>
      </w:r>
      <w:r>
        <w:t xml:space="preserve"> </w:t>
      </w:r>
      <w:r w:rsidRPr="00634A68">
        <w:t>Acuerdo de Consejo Superior, sesión 83-15 del 17 de setiembre del 2015, artículo CXXVII, donde se cambia el nombre a los despachos judiciales de la zona de Aguirre y se pasan a llamar de Quepos</w:t>
      </w:r>
      <w:r>
        <w:t>.</w:t>
      </w:r>
    </w:p>
  </w:footnote>
  <w:footnote w:id="3">
    <w:p w:rsidR="009F7D53" w:rsidRDefault="009F7D53" w:rsidP="009F7D53">
      <w:pPr>
        <w:pStyle w:val="Textonotapie"/>
        <w:jc w:val="both"/>
      </w:pPr>
      <w:r>
        <w:rPr>
          <w:rStyle w:val="Refdenotaalpie"/>
        </w:rPr>
        <w:footnoteRef/>
      </w:r>
      <w:r>
        <w:t xml:space="preserve"> </w:t>
      </w:r>
      <w:r w:rsidRPr="009F7D53">
        <w:t xml:space="preserve">Se acordó la creación de esta Fiscalía en sesión del Consejo Superior 24-16, artículo LXII, y ratificado en la sesión 47-16, artículo LIX. </w:t>
      </w:r>
      <w:r w:rsidR="007008D3">
        <w:t>D</w:t>
      </w:r>
      <w:r w:rsidRPr="009F7D53">
        <w:t>esde agosto del 2017 se hizo efectiva la separación física de la Fiscalía Adjunta del Primer Circuito Judicial de la Zona Atlántica.</w:t>
      </w:r>
    </w:p>
  </w:footnote>
  <w:footnote w:id="4">
    <w:p w:rsidR="006D2CF3" w:rsidRDefault="006D2CF3" w:rsidP="006D2CF3">
      <w:pPr>
        <w:pStyle w:val="Textonotapie"/>
        <w:jc w:val="both"/>
      </w:pPr>
      <w:r>
        <w:rPr>
          <w:rStyle w:val="Refdenotaalpie"/>
        </w:rPr>
        <w:footnoteRef/>
      </w:r>
      <w:r>
        <w:t xml:space="preserve"> </w:t>
      </w:r>
      <w:r w:rsidRPr="006D2CF3">
        <w:t xml:space="preserve">Se acordó la creación de esta Defensa Pública en sesión del Consejo Superior 24-16, artículo LXII, y ratificado en la sesión 47-16, artículo LIX. </w:t>
      </w:r>
      <w:r w:rsidR="00A523F3">
        <w:t>D</w:t>
      </w:r>
      <w:r w:rsidRPr="006D2CF3">
        <w:t>esde agosto del 2017 se hizo efectiva la separación física de la Fiscalía Adjunta del Primer Circuito Judicial de la Zona Atlántica.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3BC" w:rsidRDefault="00952AE3">
    <w:pPr>
      <w:pStyle w:val="Encabezado"/>
    </w:pPr>
    <w:r>
      <w:t xml:space="preserve">                                                      </w:t>
    </w:r>
    <w:r>
      <w:rPr>
        <w:noProof/>
      </w:rPr>
      <w:drawing>
        <wp:inline distT="0" distB="0" distL="0" distR="0" wp14:anchorId="74975FDD" wp14:editId="6E45A1B6">
          <wp:extent cx="1924050" cy="695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69532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48D592BC" wp14:editId="30B0EFE3">
              <wp:simplePos x="0" y="0"/>
              <wp:positionH relativeFrom="column">
                <wp:posOffset>4490085</wp:posOffset>
              </wp:positionH>
              <wp:positionV relativeFrom="paragraph">
                <wp:posOffset>75565</wp:posOffset>
              </wp:positionV>
              <wp:extent cx="1863090" cy="571500"/>
              <wp:effectExtent l="0" t="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AE3" w:rsidRDefault="006903BC" w:rsidP="006414B9">
                          <w:pPr>
                            <w:pStyle w:val="Encabezado"/>
                            <w:jc w:val="right"/>
                            <w:rPr>
                              <w:rFonts w:ascii="Calibri" w:hAnsi="Calibri" w:cs="Book Antiqua"/>
                              <w:iCs/>
                              <w:sz w:val="18"/>
                              <w:szCs w:val="18"/>
                            </w:rPr>
                          </w:pPr>
                          <w:r w:rsidRPr="00BC690B">
                            <w:rPr>
                              <w:rFonts w:ascii="Calibri" w:hAnsi="Calibri" w:cs="Book Antiqua"/>
                              <w:iCs/>
                              <w:sz w:val="18"/>
                              <w:szCs w:val="18"/>
                            </w:rPr>
                            <w:t xml:space="preserve">Tel 2295-3600 </w:t>
                          </w:r>
                        </w:p>
                        <w:p w:rsidR="006903BC" w:rsidRPr="00BC690B" w:rsidRDefault="006903BC"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6903BC" w:rsidRPr="00BC690B" w:rsidRDefault="006903BC"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6903BC" w:rsidRPr="00BC690B" w:rsidRDefault="006903BC" w:rsidP="006414B9"/>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592BC" id="_x0000_t202" coordsize="21600,21600" o:spt="202" path="m,l,21600r21600,l21600,xe">
              <v:stroke joinstyle="miter"/>
              <v:path gradientshapeok="t" o:connecttype="rect"/>
            </v:shapetype>
            <v:shape id="Text Box 1" o:spid="_x0000_s1026" type="#_x0000_t202" style="position:absolute;margin-left:353.55pt;margin-top:5.95pt;width:146.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" stroked="f">
              <v:textbox inset="6.75pt,3.75pt,6.75pt,3.75pt">
                <w:txbxContent>
                  <w:p w:rsidR="00952AE3" w:rsidRDefault="006903BC" w:rsidP="006414B9">
                    <w:pPr>
                      <w:pStyle w:val="Encabezado"/>
                      <w:jc w:val="right"/>
                      <w:rPr>
                        <w:rFonts w:ascii="Calibri" w:hAnsi="Calibri" w:cs="Book Antiqua"/>
                        <w:iCs/>
                        <w:sz w:val="18"/>
                        <w:szCs w:val="18"/>
                      </w:rPr>
                    </w:pPr>
                    <w:r w:rsidRPr="00BC690B">
                      <w:rPr>
                        <w:rFonts w:ascii="Calibri" w:hAnsi="Calibri" w:cs="Book Antiqua"/>
                        <w:iCs/>
                        <w:sz w:val="18"/>
                        <w:szCs w:val="18"/>
                      </w:rPr>
                      <w:t xml:space="preserve">Tel 2295-3600 </w:t>
                    </w:r>
                  </w:p>
                  <w:p w:rsidR="006903BC" w:rsidRPr="00BC690B" w:rsidRDefault="006903BC"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6903BC" w:rsidRPr="00BC690B" w:rsidRDefault="006903BC"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6903BC" w:rsidRPr="00BC690B" w:rsidRDefault="006903BC" w:rsidP="006414B9"/>
                </w:txbxContent>
              </v:textbox>
            </v:shape>
          </w:pict>
        </mc:Fallback>
      </mc:AlternateContent>
    </w:r>
    <w:r w:rsidR="006903BC">
      <w:rPr>
        <w:noProof/>
      </w:rPr>
      <w:drawing>
        <wp:anchor distT="0" distB="0" distL="114300" distR="114300" simplePos="0" relativeHeight="251662336" behindDoc="0" locked="0" layoutInCell="1" allowOverlap="1" wp14:anchorId="111633D0" wp14:editId="7705CD14">
          <wp:simplePos x="0" y="0"/>
          <wp:positionH relativeFrom="column">
            <wp:posOffset>51435</wp:posOffset>
          </wp:positionH>
          <wp:positionV relativeFrom="paragraph">
            <wp:posOffset>-19050</wp:posOffset>
          </wp:positionV>
          <wp:extent cx="1524000" cy="668655"/>
          <wp:effectExtent l="0" t="0" r="0" b="0"/>
          <wp:wrapNone/>
          <wp:docPr id="9"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903BC" w:rsidRDefault="006903BC">
    <w:pPr>
      <w:pStyle w:val="Encabezado"/>
      <w:pBdr>
        <w:bottom w:val="single" w:sz="12" w:space="1" w:color="auto"/>
      </w:pBdr>
    </w:pPr>
  </w:p>
  <w:p w:rsidR="006903BC" w:rsidRDefault="006903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0000003"/>
    <w:multiLevelType w:val="singleLevel"/>
    <w:tmpl w:val="00000003"/>
    <w:name w:val="WW8Num4"/>
    <w:lvl w:ilvl="0">
      <w:start w:val="1"/>
      <w:numFmt w:val="lowerLetter"/>
      <w:lvlText w:val="%1."/>
      <w:lvlJc w:val="left"/>
      <w:pPr>
        <w:tabs>
          <w:tab w:val="num" w:pos="0"/>
        </w:tabs>
        <w:ind w:left="720" w:hanging="360"/>
      </w:pPr>
      <w:rPr>
        <w:rFonts w:cs="Times New Roman"/>
      </w:rPr>
    </w:lvl>
  </w:abstractNum>
  <w:abstractNum w:abstractNumId="2" w15:restartNumberingAfterBreak="0">
    <w:nsid w:val="00000006"/>
    <w:multiLevelType w:val="singleLevel"/>
    <w:tmpl w:val="00000006"/>
    <w:name w:val="WW8Num7"/>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7"/>
    <w:multiLevelType w:val="singleLevel"/>
    <w:tmpl w:val="00000007"/>
    <w:name w:val="WW8Num10"/>
    <w:lvl w:ilvl="0">
      <w:start w:val="1"/>
      <w:numFmt w:val="lowerLetter"/>
      <w:lvlText w:val="%1."/>
      <w:lvlJc w:val="left"/>
      <w:pPr>
        <w:tabs>
          <w:tab w:val="num" w:pos="0"/>
        </w:tabs>
        <w:ind w:left="720" w:hanging="360"/>
      </w:pPr>
      <w:rPr>
        <w:rFonts w:cs="Times New Roman"/>
      </w:rPr>
    </w:lvl>
  </w:abstractNum>
  <w:abstractNum w:abstractNumId="4"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A"/>
    <w:multiLevelType w:val="singleLevel"/>
    <w:tmpl w:val="0000000A"/>
    <w:name w:val="WW8Num15"/>
    <w:lvl w:ilvl="0">
      <w:start w:val="1"/>
      <w:numFmt w:val="lowerLetter"/>
      <w:lvlText w:val="%1."/>
      <w:lvlJc w:val="left"/>
      <w:pPr>
        <w:tabs>
          <w:tab w:val="num" w:pos="0"/>
        </w:tabs>
        <w:ind w:left="720" w:hanging="360"/>
      </w:pPr>
      <w:rPr>
        <w:rFonts w:cs="Times New Roman"/>
      </w:rPr>
    </w:lvl>
  </w:abstractNum>
  <w:abstractNum w:abstractNumId="6" w15:restartNumberingAfterBreak="0">
    <w:nsid w:val="0000000B"/>
    <w:multiLevelType w:val="singleLevel"/>
    <w:tmpl w:val="0000000B"/>
    <w:name w:val="WW8Num17"/>
    <w:lvl w:ilvl="0">
      <w:start w:val="1"/>
      <w:numFmt w:val="lowerLetter"/>
      <w:lvlText w:val="%1."/>
      <w:lvlJc w:val="left"/>
      <w:pPr>
        <w:tabs>
          <w:tab w:val="num" w:pos="0"/>
        </w:tabs>
        <w:ind w:left="720" w:hanging="360"/>
      </w:pPr>
      <w:rPr>
        <w:rFonts w:cs="Times New Roman"/>
      </w:rPr>
    </w:lvl>
  </w:abstractNum>
  <w:abstractNum w:abstractNumId="7" w15:restartNumberingAfterBreak="0">
    <w:nsid w:val="0000000C"/>
    <w:multiLevelType w:val="singleLevel"/>
    <w:tmpl w:val="0000000C"/>
    <w:name w:val="WW8Num1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2"/>
    <w:multiLevelType w:val="singleLevel"/>
    <w:tmpl w:val="00000012"/>
    <w:name w:val="WW8Num34"/>
    <w:lvl w:ilvl="0">
      <w:start w:val="1"/>
      <w:numFmt w:val="lowerLetter"/>
      <w:lvlText w:val="%1."/>
      <w:lvlJc w:val="left"/>
      <w:pPr>
        <w:tabs>
          <w:tab w:val="num" w:pos="0"/>
        </w:tabs>
        <w:ind w:left="720" w:hanging="360"/>
      </w:pPr>
      <w:rPr>
        <w:rFonts w:cs="Times New Roman"/>
      </w:rPr>
    </w:lvl>
  </w:abstractNum>
  <w:abstractNum w:abstractNumId="9" w15:restartNumberingAfterBreak="0">
    <w:nsid w:val="00000013"/>
    <w:multiLevelType w:val="singleLevel"/>
    <w:tmpl w:val="00000013"/>
    <w:name w:val="WW8Num35"/>
    <w:lvl w:ilvl="0">
      <w:start w:val="1"/>
      <w:numFmt w:val="lowerLetter"/>
      <w:lvlText w:val="%1."/>
      <w:lvlJc w:val="left"/>
      <w:pPr>
        <w:tabs>
          <w:tab w:val="num" w:pos="0"/>
        </w:tabs>
        <w:ind w:left="720" w:hanging="360"/>
      </w:pPr>
      <w:rPr>
        <w:rFonts w:cs="Times New Roman"/>
      </w:rPr>
    </w:lvl>
  </w:abstractNum>
  <w:abstractNum w:abstractNumId="10" w15:restartNumberingAfterBreak="0">
    <w:nsid w:val="00000014"/>
    <w:multiLevelType w:val="multilevel"/>
    <w:tmpl w:val="00000014"/>
    <w:name w:val="WW8Num39"/>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24"/>
        <w:u w:val="none"/>
        <w:vertAlign w:val="baseline"/>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decimal"/>
      <w:lvlText w:val="%3.%4"/>
      <w:lvlJc w:val="left"/>
      <w:pPr>
        <w:tabs>
          <w:tab w:val="num" w:pos="2520"/>
        </w:tabs>
        <w:ind w:left="2160"/>
      </w:pPr>
      <w:rPr>
        <w:rFonts w:cs="Times New Roman"/>
      </w:rPr>
    </w:lvl>
    <w:lvl w:ilvl="4">
      <w:start w:val="1"/>
      <w:numFmt w:val="decimal"/>
      <w:lvlText w:val="(%5)"/>
      <w:lvlJc w:val="left"/>
      <w:pPr>
        <w:tabs>
          <w:tab w:val="num" w:pos="1980"/>
        </w:tabs>
        <w:ind w:left="162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00000015"/>
    <w:multiLevelType w:val="singleLevel"/>
    <w:tmpl w:val="00000015"/>
    <w:name w:val="WW8Num43"/>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19"/>
    <w:multiLevelType w:val="singleLevel"/>
    <w:tmpl w:val="00000019"/>
    <w:name w:val="WW8Num50"/>
    <w:lvl w:ilvl="0">
      <w:start w:val="1"/>
      <w:numFmt w:val="lowerLetter"/>
      <w:lvlText w:val="%1."/>
      <w:lvlJc w:val="left"/>
      <w:pPr>
        <w:tabs>
          <w:tab w:val="num" w:pos="0"/>
        </w:tabs>
        <w:ind w:left="1065" w:hanging="360"/>
      </w:pPr>
      <w:rPr>
        <w:rFonts w:cs="Times New Roman"/>
      </w:rPr>
    </w:lvl>
  </w:abstractNum>
  <w:abstractNum w:abstractNumId="13"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rPr>
    </w:lvl>
  </w:abstractNum>
  <w:abstractNum w:abstractNumId="14" w15:restartNumberingAfterBreak="0">
    <w:nsid w:val="0EC25713"/>
    <w:multiLevelType w:val="hybridMultilevel"/>
    <w:tmpl w:val="8EE09804"/>
    <w:lvl w:ilvl="0" w:tplc="0C0A0009">
      <w:start w:val="1"/>
      <w:numFmt w:val="bullet"/>
      <w:lvlText w:val=""/>
      <w:lvlJc w:val="left"/>
      <w:pPr>
        <w:ind w:left="928" w:hanging="360"/>
      </w:pPr>
      <w:rPr>
        <w:rFonts w:ascii="Wingdings" w:hAnsi="Wingdings" w:hint="default"/>
        <w:color w:val="31849B" w:themeColor="accent5" w:themeShade="BF"/>
        <w:sz w:val="28"/>
      </w:rPr>
    </w:lvl>
    <w:lvl w:ilvl="1" w:tplc="4DFAFDD0">
      <w:numFmt w:val="bullet"/>
      <w:lvlText w:val="•"/>
      <w:lvlJc w:val="left"/>
      <w:pPr>
        <w:ind w:left="1650" w:hanging="570"/>
      </w:pPr>
      <w:rPr>
        <w:rFonts w:ascii="Calibri" w:eastAsia="Times New Roman" w:hAnsi="Calibri" w:cs="Book Antiqua"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EA6F14"/>
    <w:multiLevelType w:val="hybridMultilevel"/>
    <w:tmpl w:val="F6409010"/>
    <w:lvl w:ilvl="0" w:tplc="0C0A0009">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F324BB"/>
    <w:multiLevelType w:val="hybridMultilevel"/>
    <w:tmpl w:val="C136C1A2"/>
    <w:lvl w:ilvl="0" w:tplc="0C0A0009">
      <w:start w:val="1"/>
      <w:numFmt w:val="bullet"/>
      <w:lvlText w:val=""/>
      <w:lvlJc w:val="left"/>
      <w:pPr>
        <w:ind w:left="720" w:hanging="360"/>
      </w:pPr>
      <w:rPr>
        <w:rFonts w:ascii="Wingdings" w:hAnsi="Wingdings" w:hint="default"/>
        <w:color w:val="31849B" w:themeColor="accent5" w:themeShade="BF"/>
        <w:sz w:val="2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4F85452"/>
    <w:multiLevelType w:val="hybridMultilevel"/>
    <w:tmpl w:val="9E7EF1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26051541">
    <w:abstractNumId w:val="0"/>
  </w:num>
  <w:num w:numId="2" w16cid:durableId="429006808">
    <w:abstractNumId w:val="14"/>
  </w:num>
  <w:num w:numId="3" w16cid:durableId="23942072">
    <w:abstractNumId w:val="15"/>
  </w:num>
  <w:num w:numId="4" w16cid:durableId="1701710750">
    <w:abstractNumId w:val="17"/>
  </w:num>
  <w:num w:numId="5" w16cid:durableId="6125161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4BE"/>
    <w:rsid w:val="00003BB4"/>
    <w:rsid w:val="000047B7"/>
    <w:rsid w:val="00006250"/>
    <w:rsid w:val="0001590E"/>
    <w:rsid w:val="00023C5F"/>
    <w:rsid w:val="00051879"/>
    <w:rsid w:val="00054937"/>
    <w:rsid w:val="00061273"/>
    <w:rsid w:val="000665A0"/>
    <w:rsid w:val="0007418F"/>
    <w:rsid w:val="00074EAC"/>
    <w:rsid w:val="00081CEC"/>
    <w:rsid w:val="000823B9"/>
    <w:rsid w:val="0008657F"/>
    <w:rsid w:val="0008740E"/>
    <w:rsid w:val="00091D6D"/>
    <w:rsid w:val="00094771"/>
    <w:rsid w:val="00095B2E"/>
    <w:rsid w:val="000A10A2"/>
    <w:rsid w:val="000A537D"/>
    <w:rsid w:val="000C7862"/>
    <w:rsid w:val="000D6A26"/>
    <w:rsid w:val="000E3A0D"/>
    <w:rsid w:val="000E5D68"/>
    <w:rsid w:val="000F4AB0"/>
    <w:rsid w:val="000F5D1B"/>
    <w:rsid w:val="000F61E0"/>
    <w:rsid w:val="000F66CF"/>
    <w:rsid w:val="00100951"/>
    <w:rsid w:val="0012450B"/>
    <w:rsid w:val="0012493E"/>
    <w:rsid w:val="00134EFE"/>
    <w:rsid w:val="00135E35"/>
    <w:rsid w:val="00143788"/>
    <w:rsid w:val="001460BE"/>
    <w:rsid w:val="0015413A"/>
    <w:rsid w:val="00156A31"/>
    <w:rsid w:val="00156EB1"/>
    <w:rsid w:val="0017095A"/>
    <w:rsid w:val="00173BF4"/>
    <w:rsid w:val="001A09B6"/>
    <w:rsid w:val="001A2B68"/>
    <w:rsid w:val="001A3505"/>
    <w:rsid w:val="001B1E9E"/>
    <w:rsid w:val="001B6BE6"/>
    <w:rsid w:val="001C081B"/>
    <w:rsid w:val="001C7471"/>
    <w:rsid w:val="002079E9"/>
    <w:rsid w:val="002176AB"/>
    <w:rsid w:val="00230D3E"/>
    <w:rsid w:val="0023344E"/>
    <w:rsid w:val="00245C76"/>
    <w:rsid w:val="00245FCD"/>
    <w:rsid w:val="00253C7E"/>
    <w:rsid w:val="00256B8A"/>
    <w:rsid w:val="002666D4"/>
    <w:rsid w:val="00271FA3"/>
    <w:rsid w:val="00275947"/>
    <w:rsid w:val="00280ADD"/>
    <w:rsid w:val="00283F86"/>
    <w:rsid w:val="00285518"/>
    <w:rsid w:val="00290B38"/>
    <w:rsid w:val="00297293"/>
    <w:rsid w:val="002A2CAA"/>
    <w:rsid w:val="002A35AC"/>
    <w:rsid w:val="002C02F2"/>
    <w:rsid w:val="002C21A3"/>
    <w:rsid w:val="002C3368"/>
    <w:rsid w:val="002D0839"/>
    <w:rsid w:val="003014F7"/>
    <w:rsid w:val="00310694"/>
    <w:rsid w:val="003201AD"/>
    <w:rsid w:val="003320FD"/>
    <w:rsid w:val="00333F27"/>
    <w:rsid w:val="003342DA"/>
    <w:rsid w:val="003464FD"/>
    <w:rsid w:val="00346D6A"/>
    <w:rsid w:val="00362728"/>
    <w:rsid w:val="0036378A"/>
    <w:rsid w:val="00366E3B"/>
    <w:rsid w:val="00367506"/>
    <w:rsid w:val="00381685"/>
    <w:rsid w:val="00383B70"/>
    <w:rsid w:val="00392B0E"/>
    <w:rsid w:val="003C43C7"/>
    <w:rsid w:val="003D4C9B"/>
    <w:rsid w:val="003D51C7"/>
    <w:rsid w:val="003D7716"/>
    <w:rsid w:val="003F0DC0"/>
    <w:rsid w:val="003F498F"/>
    <w:rsid w:val="00404DED"/>
    <w:rsid w:val="0040752E"/>
    <w:rsid w:val="004110E9"/>
    <w:rsid w:val="00411B11"/>
    <w:rsid w:val="004152DA"/>
    <w:rsid w:val="00415BED"/>
    <w:rsid w:val="00417D64"/>
    <w:rsid w:val="00421EE1"/>
    <w:rsid w:val="00422F52"/>
    <w:rsid w:val="004252B3"/>
    <w:rsid w:val="0042578C"/>
    <w:rsid w:val="00430ABD"/>
    <w:rsid w:val="00430C9C"/>
    <w:rsid w:val="0043272B"/>
    <w:rsid w:val="00432F46"/>
    <w:rsid w:val="00437B6F"/>
    <w:rsid w:val="004415DA"/>
    <w:rsid w:val="00442E9A"/>
    <w:rsid w:val="00454D8C"/>
    <w:rsid w:val="0046219D"/>
    <w:rsid w:val="00464440"/>
    <w:rsid w:val="00475ED8"/>
    <w:rsid w:val="004934E6"/>
    <w:rsid w:val="004977EC"/>
    <w:rsid w:val="004A0BCA"/>
    <w:rsid w:val="004A4C95"/>
    <w:rsid w:val="004A63F3"/>
    <w:rsid w:val="004A750F"/>
    <w:rsid w:val="004B1A5B"/>
    <w:rsid w:val="004B3922"/>
    <w:rsid w:val="004B7420"/>
    <w:rsid w:val="004C1A93"/>
    <w:rsid w:val="004C620B"/>
    <w:rsid w:val="004D3614"/>
    <w:rsid w:val="004E2AB6"/>
    <w:rsid w:val="004F0A44"/>
    <w:rsid w:val="00505839"/>
    <w:rsid w:val="00520C94"/>
    <w:rsid w:val="005211A4"/>
    <w:rsid w:val="00522E52"/>
    <w:rsid w:val="00525037"/>
    <w:rsid w:val="005254D6"/>
    <w:rsid w:val="00534DC5"/>
    <w:rsid w:val="005571F0"/>
    <w:rsid w:val="005606C2"/>
    <w:rsid w:val="005614B7"/>
    <w:rsid w:val="00565494"/>
    <w:rsid w:val="00581F41"/>
    <w:rsid w:val="00585ABC"/>
    <w:rsid w:val="00591026"/>
    <w:rsid w:val="00596606"/>
    <w:rsid w:val="005973EA"/>
    <w:rsid w:val="005B2C83"/>
    <w:rsid w:val="005C02BA"/>
    <w:rsid w:val="005D2268"/>
    <w:rsid w:val="005E52A4"/>
    <w:rsid w:val="005F01BE"/>
    <w:rsid w:val="005F170C"/>
    <w:rsid w:val="005F1BA5"/>
    <w:rsid w:val="005F69C3"/>
    <w:rsid w:val="00601C19"/>
    <w:rsid w:val="0060569A"/>
    <w:rsid w:val="00623FD1"/>
    <w:rsid w:val="006414B9"/>
    <w:rsid w:val="006479D6"/>
    <w:rsid w:val="006571E5"/>
    <w:rsid w:val="00661459"/>
    <w:rsid w:val="0066597E"/>
    <w:rsid w:val="006675F5"/>
    <w:rsid w:val="00673050"/>
    <w:rsid w:val="00674170"/>
    <w:rsid w:val="006903BC"/>
    <w:rsid w:val="006909C3"/>
    <w:rsid w:val="00694D61"/>
    <w:rsid w:val="006A104D"/>
    <w:rsid w:val="006B62DB"/>
    <w:rsid w:val="006C1E26"/>
    <w:rsid w:val="006C2012"/>
    <w:rsid w:val="006C3813"/>
    <w:rsid w:val="006C5E2F"/>
    <w:rsid w:val="006D2CF3"/>
    <w:rsid w:val="007008D3"/>
    <w:rsid w:val="007011F0"/>
    <w:rsid w:val="0070721E"/>
    <w:rsid w:val="00711EEF"/>
    <w:rsid w:val="00713CD9"/>
    <w:rsid w:val="00720591"/>
    <w:rsid w:val="0072086A"/>
    <w:rsid w:val="00744DE3"/>
    <w:rsid w:val="00745132"/>
    <w:rsid w:val="00752C07"/>
    <w:rsid w:val="00761F1A"/>
    <w:rsid w:val="00764105"/>
    <w:rsid w:val="00765CE6"/>
    <w:rsid w:val="00773D1F"/>
    <w:rsid w:val="007757F4"/>
    <w:rsid w:val="00775E79"/>
    <w:rsid w:val="00781D6F"/>
    <w:rsid w:val="007856B9"/>
    <w:rsid w:val="00792D25"/>
    <w:rsid w:val="007954BE"/>
    <w:rsid w:val="007A0150"/>
    <w:rsid w:val="007A3880"/>
    <w:rsid w:val="007B219A"/>
    <w:rsid w:val="007B4BB6"/>
    <w:rsid w:val="007C4364"/>
    <w:rsid w:val="007C7659"/>
    <w:rsid w:val="007D0EDE"/>
    <w:rsid w:val="007D2AE4"/>
    <w:rsid w:val="007D317A"/>
    <w:rsid w:val="007D6BBC"/>
    <w:rsid w:val="007E0F65"/>
    <w:rsid w:val="007E1D82"/>
    <w:rsid w:val="007E71CC"/>
    <w:rsid w:val="007F1AAC"/>
    <w:rsid w:val="007F1E10"/>
    <w:rsid w:val="00800354"/>
    <w:rsid w:val="0080304D"/>
    <w:rsid w:val="00805491"/>
    <w:rsid w:val="008149F6"/>
    <w:rsid w:val="0081725B"/>
    <w:rsid w:val="00824CCD"/>
    <w:rsid w:val="00825334"/>
    <w:rsid w:val="00830D83"/>
    <w:rsid w:val="00835F22"/>
    <w:rsid w:val="00845576"/>
    <w:rsid w:val="008541E6"/>
    <w:rsid w:val="008615B3"/>
    <w:rsid w:val="00866261"/>
    <w:rsid w:val="0087047D"/>
    <w:rsid w:val="00872D40"/>
    <w:rsid w:val="00873232"/>
    <w:rsid w:val="008746BE"/>
    <w:rsid w:val="00882AC1"/>
    <w:rsid w:val="008924C0"/>
    <w:rsid w:val="008963CC"/>
    <w:rsid w:val="008A29D1"/>
    <w:rsid w:val="008A5146"/>
    <w:rsid w:val="008C0F6D"/>
    <w:rsid w:val="008D2AAD"/>
    <w:rsid w:val="00902FE7"/>
    <w:rsid w:val="0090656F"/>
    <w:rsid w:val="00911A3D"/>
    <w:rsid w:val="0091785E"/>
    <w:rsid w:val="009203CB"/>
    <w:rsid w:val="0093726D"/>
    <w:rsid w:val="00941A64"/>
    <w:rsid w:val="00941C59"/>
    <w:rsid w:val="009500F6"/>
    <w:rsid w:val="00952AE3"/>
    <w:rsid w:val="00954173"/>
    <w:rsid w:val="00955B8B"/>
    <w:rsid w:val="009618CD"/>
    <w:rsid w:val="00970625"/>
    <w:rsid w:val="00973D19"/>
    <w:rsid w:val="009874E1"/>
    <w:rsid w:val="00987DB6"/>
    <w:rsid w:val="009A4D45"/>
    <w:rsid w:val="009B42ED"/>
    <w:rsid w:val="009B6B93"/>
    <w:rsid w:val="009C5688"/>
    <w:rsid w:val="009D34F3"/>
    <w:rsid w:val="009E174D"/>
    <w:rsid w:val="009E2CCA"/>
    <w:rsid w:val="009F2044"/>
    <w:rsid w:val="009F2ADC"/>
    <w:rsid w:val="009F43E8"/>
    <w:rsid w:val="009F4DE0"/>
    <w:rsid w:val="009F7D53"/>
    <w:rsid w:val="00A028A0"/>
    <w:rsid w:val="00A038A7"/>
    <w:rsid w:val="00A1403B"/>
    <w:rsid w:val="00A14602"/>
    <w:rsid w:val="00A149E0"/>
    <w:rsid w:val="00A15867"/>
    <w:rsid w:val="00A23AF5"/>
    <w:rsid w:val="00A523F3"/>
    <w:rsid w:val="00A52DEA"/>
    <w:rsid w:val="00A5513B"/>
    <w:rsid w:val="00A55DE0"/>
    <w:rsid w:val="00A61365"/>
    <w:rsid w:val="00A67477"/>
    <w:rsid w:val="00A81AB6"/>
    <w:rsid w:val="00A92BDF"/>
    <w:rsid w:val="00AA23CC"/>
    <w:rsid w:val="00AA3B7F"/>
    <w:rsid w:val="00AA4727"/>
    <w:rsid w:val="00AD7290"/>
    <w:rsid w:val="00AE1DDD"/>
    <w:rsid w:val="00AF139C"/>
    <w:rsid w:val="00B04ED6"/>
    <w:rsid w:val="00B14A93"/>
    <w:rsid w:val="00B17C06"/>
    <w:rsid w:val="00B229CD"/>
    <w:rsid w:val="00B22D83"/>
    <w:rsid w:val="00B237AE"/>
    <w:rsid w:val="00B23A66"/>
    <w:rsid w:val="00B23B81"/>
    <w:rsid w:val="00B30D98"/>
    <w:rsid w:val="00B351B5"/>
    <w:rsid w:val="00B41E17"/>
    <w:rsid w:val="00B51468"/>
    <w:rsid w:val="00B52692"/>
    <w:rsid w:val="00B57BA6"/>
    <w:rsid w:val="00B67D3A"/>
    <w:rsid w:val="00B77476"/>
    <w:rsid w:val="00B82364"/>
    <w:rsid w:val="00B87CB9"/>
    <w:rsid w:val="00B939F8"/>
    <w:rsid w:val="00BB6270"/>
    <w:rsid w:val="00BC5EBB"/>
    <w:rsid w:val="00BD0564"/>
    <w:rsid w:val="00BD356A"/>
    <w:rsid w:val="00BD3A4C"/>
    <w:rsid w:val="00BD54DB"/>
    <w:rsid w:val="00BD5FD5"/>
    <w:rsid w:val="00BE6C19"/>
    <w:rsid w:val="00BF2792"/>
    <w:rsid w:val="00C02FF9"/>
    <w:rsid w:val="00C15511"/>
    <w:rsid w:val="00C17AF8"/>
    <w:rsid w:val="00C225C2"/>
    <w:rsid w:val="00C327F8"/>
    <w:rsid w:val="00C3575F"/>
    <w:rsid w:val="00C35CD9"/>
    <w:rsid w:val="00C364DB"/>
    <w:rsid w:val="00C37D46"/>
    <w:rsid w:val="00C41AD8"/>
    <w:rsid w:val="00C5650C"/>
    <w:rsid w:val="00C579A5"/>
    <w:rsid w:val="00C643AC"/>
    <w:rsid w:val="00C826DD"/>
    <w:rsid w:val="00C84EC2"/>
    <w:rsid w:val="00C86A03"/>
    <w:rsid w:val="00C939F2"/>
    <w:rsid w:val="00C9565D"/>
    <w:rsid w:val="00CA6B88"/>
    <w:rsid w:val="00CB15F8"/>
    <w:rsid w:val="00CB1A06"/>
    <w:rsid w:val="00CC2322"/>
    <w:rsid w:val="00CE660B"/>
    <w:rsid w:val="00D11B04"/>
    <w:rsid w:val="00D23837"/>
    <w:rsid w:val="00D33C6E"/>
    <w:rsid w:val="00D35F4B"/>
    <w:rsid w:val="00D63218"/>
    <w:rsid w:val="00D6337B"/>
    <w:rsid w:val="00D70C0C"/>
    <w:rsid w:val="00D73D3C"/>
    <w:rsid w:val="00D757BE"/>
    <w:rsid w:val="00D930A5"/>
    <w:rsid w:val="00DB1226"/>
    <w:rsid w:val="00DC1477"/>
    <w:rsid w:val="00DD63FC"/>
    <w:rsid w:val="00DF2E16"/>
    <w:rsid w:val="00DF6091"/>
    <w:rsid w:val="00E20601"/>
    <w:rsid w:val="00E2198C"/>
    <w:rsid w:val="00E27E1B"/>
    <w:rsid w:val="00E31250"/>
    <w:rsid w:val="00E56CC4"/>
    <w:rsid w:val="00E5757F"/>
    <w:rsid w:val="00E60AF0"/>
    <w:rsid w:val="00E61AB0"/>
    <w:rsid w:val="00E620EE"/>
    <w:rsid w:val="00E70633"/>
    <w:rsid w:val="00E706F0"/>
    <w:rsid w:val="00E707D3"/>
    <w:rsid w:val="00E71B8C"/>
    <w:rsid w:val="00E71C55"/>
    <w:rsid w:val="00E74807"/>
    <w:rsid w:val="00E8244A"/>
    <w:rsid w:val="00E9680A"/>
    <w:rsid w:val="00EA04F0"/>
    <w:rsid w:val="00EB0355"/>
    <w:rsid w:val="00EB09CB"/>
    <w:rsid w:val="00EB25FE"/>
    <w:rsid w:val="00EB6EE7"/>
    <w:rsid w:val="00EB74B6"/>
    <w:rsid w:val="00EC404E"/>
    <w:rsid w:val="00EC4630"/>
    <w:rsid w:val="00EC78FD"/>
    <w:rsid w:val="00ED5154"/>
    <w:rsid w:val="00ED5E73"/>
    <w:rsid w:val="00EE0DEC"/>
    <w:rsid w:val="00EE0EB9"/>
    <w:rsid w:val="00EE20B9"/>
    <w:rsid w:val="00EF6043"/>
    <w:rsid w:val="00F03DDF"/>
    <w:rsid w:val="00F04620"/>
    <w:rsid w:val="00F107C5"/>
    <w:rsid w:val="00F4113A"/>
    <w:rsid w:val="00F45B60"/>
    <w:rsid w:val="00F52804"/>
    <w:rsid w:val="00F74940"/>
    <w:rsid w:val="00F92A86"/>
    <w:rsid w:val="00FA1A98"/>
    <w:rsid w:val="00FA1D5D"/>
    <w:rsid w:val="00FA54AB"/>
    <w:rsid w:val="00FB183F"/>
    <w:rsid w:val="00FB2B95"/>
    <w:rsid w:val="00FB3705"/>
    <w:rsid w:val="00FB577B"/>
    <w:rsid w:val="00FD48BA"/>
    <w:rsid w:val="00FD5E13"/>
    <w:rsid w:val="00FE1FBE"/>
    <w:rsid w:val="00FE5F15"/>
    <w:rsid w:val="00FF6EC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CC8FA"/>
  <w15:docId w15:val="{427F928C-0B37-4292-8DB6-8E57C86C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4BE"/>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954BE"/>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7954BE"/>
    <w:rPr>
      <w:rFonts w:ascii="Arial" w:eastAsia="Times New Roman" w:hAnsi="Arial" w:cs="Times New Roman"/>
      <w:b/>
      <w:bCs/>
      <w:lang w:val="en-US"/>
    </w:rPr>
  </w:style>
  <w:style w:type="character" w:customStyle="1" w:styleId="Ttulo7Car">
    <w:name w:val="Título 7 Car"/>
    <w:basedOn w:val="Fuentedeprrafopredeter"/>
    <w:link w:val="Ttulo7"/>
    <w:rsid w:val="007954BE"/>
    <w:rPr>
      <w:rFonts w:ascii="Arial" w:eastAsia="Times New Roman" w:hAnsi="Arial" w:cs="Times New Roman"/>
      <w:szCs w:val="20"/>
      <w:lang w:val="en-US"/>
    </w:rPr>
  </w:style>
  <w:style w:type="character" w:customStyle="1" w:styleId="Ttulo8Car">
    <w:name w:val="Título 8 Car"/>
    <w:basedOn w:val="Fuentedeprrafopredeter"/>
    <w:link w:val="Ttulo8"/>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rsid w:val="007954BE"/>
    <w:rPr>
      <w:rFonts w:ascii="Arial" w:eastAsia="Times New Roman" w:hAnsi="Arial" w:cs="Arial"/>
      <w:lang w:val="en-US"/>
    </w:rPr>
  </w:style>
  <w:style w:type="paragraph" w:styleId="Encabezado">
    <w:name w:val="header"/>
    <w:aliases w:val="encabezado"/>
    <w:basedOn w:val="Normal"/>
    <w:link w:val="EncabezadoCar"/>
    <w:rsid w:val="007954BE"/>
    <w:pPr>
      <w:tabs>
        <w:tab w:val="center" w:pos="4252"/>
        <w:tab w:val="right" w:pos="8504"/>
      </w:tabs>
    </w:pPr>
  </w:style>
  <w:style w:type="character" w:customStyle="1" w:styleId="EncabezadoCar">
    <w:name w:val="Encabezado Car"/>
    <w:aliases w:val="encabezado Car"/>
    <w:basedOn w:val="Fuentedeprrafopredeter"/>
    <w:link w:val="Encabezado"/>
    <w:rsid w:val="007954BE"/>
    <w:rPr>
      <w:rFonts w:ascii="Times New Roman" w:eastAsia="Times New Roman" w:hAnsi="Times New Roman" w:cs="Times New Roman"/>
      <w:sz w:val="24"/>
      <w:szCs w:val="24"/>
      <w:lang w:eastAsia="es-ES"/>
    </w:rPr>
  </w:style>
  <w:style w:type="paragraph" w:styleId="Piedepgina">
    <w:name w:val="footer"/>
    <w:basedOn w:val="Normal"/>
    <w:link w:val="PiedepginaCar"/>
    <w:rsid w:val="007954BE"/>
    <w:pPr>
      <w:tabs>
        <w:tab w:val="center" w:pos="4252"/>
        <w:tab w:val="right" w:pos="8504"/>
      </w:tabs>
    </w:pPr>
  </w:style>
  <w:style w:type="character" w:customStyle="1" w:styleId="PiedepginaCar">
    <w:name w:val="Pie de página Car"/>
    <w:basedOn w:val="Fuentedeprrafopredeter"/>
    <w:link w:val="Piedepgina"/>
    <w:rsid w:val="007954BE"/>
    <w:rPr>
      <w:rFonts w:ascii="Times New Roman" w:eastAsia="Times New Roman" w:hAnsi="Times New Roman" w:cs="Times New Roman"/>
      <w:sz w:val="24"/>
      <w:szCs w:val="24"/>
      <w:lang w:eastAsia="es-ES"/>
    </w:rPr>
  </w:style>
  <w:style w:type="paragraph" w:styleId="NormalWeb">
    <w:name w:val="Normal (Web)"/>
    <w:basedOn w:val="Normal"/>
    <w:uiPriority w:val="99"/>
    <w:rsid w:val="007954BE"/>
    <w:pPr>
      <w:spacing w:before="100" w:beforeAutospacing="1" w:after="100" w:afterAutospacing="1"/>
    </w:pPr>
  </w:style>
  <w:style w:type="paragraph" w:styleId="Textoindependiente">
    <w:name w:val="Body Text"/>
    <w:basedOn w:val="Normal"/>
    <w:link w:val="TextoindependienteCar"/>
    <w:rsid w:val="007954BE"/>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7954BE"/>
    <w:rPr>
      <w:rFonts w:ascii="Book Antiqua" w:eastAsia="Times New Roman" w:hAnsi="Book Antiqua" w:cs="Book Antiqua"/>
      <w:lang w:eastAsia="es-ES"/>
    </w:rPr>
  </w:style>
  <w:style w:type="paragraph" w:customStyle="1" w:styleId="xmsonormal">
    <w:name w:val="x_msonormal"/>
    <w:basedOn w:val="Normal"/>
    <w:rsid w:val="007954BE"/>
    <w:pPr>
      <w:spacing w:before="100" w:beforeAutospacing="1" w:after="100" w:afterAutospacing="1"/>
    </w:pPr>
  </w:style>
  <w:style w:type="character" w:customStyle="1" w:styleId="x998142620-04022016">
    <w:name w:val="x_998142620-04022016"/>
    <w:basedOn w:val="Fuentedeprrafopredeter"/>
    <w:rsid w:val="007954BE"/>
  </w:style>
  <w:style w:type="character" w:styleId="Nmerodepgina">
    <w:name w:val="page number"/>
    <w:basedOn w:val="Fuentedeprrafopredeter"/>
    <w:rsid w:val="007954BE"/>
  </w:style>
  <w:style w:type="paragraph" w:customStyle="1" w:styleId="Car">
    <w:name w:val="Car"/>
    <w:basedOn w:val="Normal"/>
    <w:semiHidden/>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rsid w:val="007954BE"/>
    <w:rPr>
      <w:sz w:val="20"/>
      <w:szCs w:val="20"/>
    </w:rPr>
  </w:style>
  <w:style w:type="character" w:customStyle="1" w:styleId="TextonotapieCar">
    <w:name w:val="Texto nota pie Car"/>
    <w:basedOn w:val="Fuentedeprrafopredeter"/>
    <w:link w:val="Textonotapie"/>
    <w:rsid w:val="007954BE"/>
    <w:rPr>
      <w:rFonts w:ascii="Times New Roman" w:eastAsia="Times New Roman" w:hAnsi="Times New Roman" w:cs="Times New Roman"/>
      <w:sz w:val="20"/>
      <w:szCs w:val="20"/>
      <w:lang w:eastAsia="es-ES"/>
    </w:rPr>
  </w:style>
  <w:style w:type="character" w:styleId="Refdenotaalpie">
    <w:name w:val="footnote reference"/>
    <w:rsid w:val="007954BE"/>
    <w:rPr>
      <w:vertAlign w:val="superscript"/>
    </w:rPr>
  </w:style>
  <w:style w:type="paragraph" w:styleId="Textodeglobo">
    <w:name w:val="Balloon Text"/>
    <w:basedOn w:val="Normal"/>
    <w:link w:val="TextodegloboCar"/>
    <w:rsid w:val="007954BE"/>
    <w:rPr>
      <w:rFonts w:ascii="Segoe UI" w:hAnsi="Segoe UI"/>
      <w:sz w:val="18"/>
      <w:szCs w:val="18"/>
    </w:rPr>
  </w:style>
  <w:style w:type="character" w:customStyle="1" w:styleId="TextodegloboCar">
    <w:name w:val="Texto de globo Car"/>
    <w:basedOn w:val="Fuentedeprrafopredeter"/>
    <w:link w:val="Textodeglobo"/>
    <w:rsid w:val="007954BE"/>
    <w:rPr>
      <w:rFonts w:ascii="Segoe UI" w:eastAsia="Times New Roman" w:hAnsi="Segoe UI" w:cs="Times New Roman"/>
      <w:sz w:val="18"/>
      <w:szCs w:val="18"/>
      <w:lang w:eastAsia="es-ES"/>
    </w:rPr>
  </w:style>
  <w:style w:type="character" w:styleId="Textoennegrita">
    <w:name w:val="Strong"/>
    <w:uiPriority w:val="22"/>
    <w:qFormat/>
    <w:rsid w:val="007954BE"/>
    <w:rPr>
      <w:b/>
      <w:bCs/>
    </w:rPr>
  </w:style>
  <w:style w:type="paragraph" w:styleId="Prrafodelista">
    <w:name w:val="List Paragraph"/>
    <w:basedOn w:val="Normal"/>
    <w:uiPriority w:val="34"/>
    <w:qFormat/>
    <w:rsid w:val="007954BE"/>
    <w:pPr>
      <w:ind w:left="720"/>
      <w:contextualSpacing/>
    </w:pPr>
  </w:style>
  <w:style w:type="table" w:styleId="Tablaconcuadrcula">
    <w:name w:val="Table Grid"/>
    <w:basedOn w:val="Tablanormal"/>
    <w:uiPriority w:val="59"/>
    <w:rsid w:val="00B5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tion">
    <w:name w:val="gestion"/>
    <w:basedOn w:val="Normal"/>
    <w:qFormat/>
    <w:rsid w:val="00EB6EE7"/>
    <w:pPr>
      <w:suppressAutoHyphens/>
      <w:spacing w:before="120" w:after="120"/>
      <w:ind w:left="851" w:right="851" w:firstLine="709"/>
      <w:jc w:val="both"/>
    </w:pPr>
    <w:rPr>
      <w:color w:val="000099"/>
      <w:sz w:val="26"/>
      <w:szCs w:val="26"/>
      <w:lang w:val="es-ES_tradnl" w:eastAsia="zh-CN"/>
    </w:rPr>
  </w:style>
  <w:style w:type="paragraph" w:customStyle="1" w:styleId="Direccininterior">
    <w:name w:val="Dirección interior"/>
    <w:basedOn w:val="Normal"/>
    <w:rsid w:val="006903BC"/>
    <w:pPr>
      <w:suppressAutoHyphens/>
      <w:spacing w:before="120" w:after="240"/>
      <w:jc w:val="both"/>
    </w:pPr>
    <w:rPr>
      <w:rFonts w:ascii="Book Antiqua" w:hAnsi="Book Antiqua" w:cs="Book Antiqua"/>
      <w:lang w:eastAsia="zh-CN"/>
    </w:rPr>
  </w:style>
  <w:style w:type="character" w:customStyle="1" w:styleId="Caracteresdenotafinal">
    <w:name w:val="Caracteres de nota final"/>
    <w:rsid w:val="00E60AF0"/>
    <w:rPr>
      <w:vertAlign w:val="superscript"/>
    </w:rPr>
  </w:style>
  <w:style w:type="paragraph" w:styleId="Textonotaalfinal">
    <w:name w:val="endnote text"/>
    <w:basedOn w:val="Normal"/>
    <w:link w:val="TextonotaalfinalCar"/>
    <w:rsid w:val="00E60AF0"/>
    <w:pPr>
      <w:suppressAutoHyphens/>
      <w:spacing w:before="240" w:after="360"/>
      <w:jc w:val="both"/>
    </w:pPr>
    <w:rPr>
      <w:rFonts w:ascii="Book Antiqua" w:hAnsi="Book Antiqua"/>
      <w:sz w:val="20"/>
      <w:szCs w:val="20"/>
      <w:lang w:val="x-none" w:eastAsia="zh-CN"/>
    </w:rPr>
  </w:style>
  <w:style w:type="character" w:customStyle="1" w:styleId="TextonotaalfinalCar">
    <w:name w:val="Texto nota al final Car"/>
    <w:basedOn w:val="Fuentedeprrafopredeter"/>
    <w:link w:val="Textonotaalfinal"/>
    <w:rsid w:val="00E60AF0"/>
    <w:rPr>
      <w:rFonts w:ascii="Book Antiqua" w:eastAsia="Times New Roman" w:hAnsi="Book Antiqua" w:cs="Times New Roman"/>
      <w:sz w:val="20"/>
      <w:szCs w:val="20"/>
      <w:lang w:val="x-none" w:eastAsia="zh-CN"/>
    </w:rPr>
  </w:style>
  <w:style w:type="character" w:customStyle="1" w:styleId="Refdenotaalfinal1">
    <w:name w:val="Ref.de nota al final1"/>
    <w:rsid w:val="00E60AF0"/>
    <w:rPr>
      <w:rFonts w:cs="Times New Roman"/>
      <w:vertAlign w:val="superscript"/>
    </w:rPr>
  </w:style>
  <w:style w:type="character" w:customStyle="1" w:styleId="Refdenotaalfinal2">
    <w:name w:val="Ref.de nota al final2"/>
    <w:rsid w:val="00E60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1287">
      <w:bodyDiv w:val="1"/>
      <w:marLeft w:val="0"/>
      <w:marRight w:val="0"/>
      <w:marTop w:val="0"/>
      <w:marBottom w:val="0"/>
      <w:divBdr>
        <w:top w:val="none" w:sz="0" w:space="0" w:color="auto"/>
        <w:left w:val="none" w:sz="0" w:space="0" w:color="auto"/>
        <w:bottom w:val="none" w:sz="0" w:space="0" w:color="auto"/>
        <w:right w:val="none" w:sz="0" w:space="0" w:color="auto"/>
      </w:divBdr>
    </w:div>
    <w:div w:id="273369005">
      <w:bodyDiv w:val="1"/>
      <w:marLeft w:val="0"/>
      <w:marRight w:val="0"/>
      <w:marTop w:val="0"/>
      <w:marBottom w:val="0"/>
      <w:divBdr>
        <w:top w:val="none" w:sz="0" w:space="0" w:color="auto"/>
        <w:left w:val="none" w:sz="0" w:space="0" w:color="auto"/>
        <w:bottom w:val="none" w:sz="0" w:space="0" w:color="auto"/>
        <w:right w:val="none" w:sz="0" w:space="0" w:color="auto"/>
      </w:divBdr>
    </w:div>
    <w:div w:id="302777603">
      <w:bodyDiv w:val="1"/>
      <w:marLeft w:val="0"/>
      <w:marRight w:val="0"/>
      <w:marTop w:val="0"/>
      <w:marBottom w:val="0"/>
      <w:divBdr>
        <w:top w:val="none" w:sz="0" w:space="0" w:color="auto"/>
        <w:left w:val="none" w:sz="0" w:space="0" w:color="auto"/>
        <w:bottom w:val="none" w:sz="0" w:space="0" w:color="auto"/>
        <w:right w:val="none" w:sz="0" w:space="0" w:color="auto"/>
      </w:divBdr>
    </w:div>
    <w:div w:id="368189771">
      <w:bodyDiv w:val="1"/>
      <w:marLeft w:val="0"/>
      <w:marRight w:val="0"/>
      <w:marTop w:val="0"/>
      <w:marBottom w:val="0"/>
      <w:divBdr>
        <w:top w:val="none" w:sz="0" w:space="0" w:color="auto"/>
        <w:left w:val="none" w:sz="0" w:space="0" w:color="auto"/>
        <w:bottom w:val="none" w:sz="0" w:space="0" w:color="auto"/>
        <w:right w:val="none" w:sz="0" w:space="0" w:color="auto"/>
      </w:divBdr>
    </w:div>
    <w:div w:id="552540096">
      <w:bodyDiv w:val="1"/>
      <w:marLeft w:val="0"/>
      <w:marRight w:val="0"/>
      <w:marTop w:val="0"/>
      <w:marBottom w:val="0"/>
      <w:divBdr>
        <w:top w:val="none" w:sz="0" w:space="0" w:color="auto"/>
        <w:left w:val="none" w:sz="0" w:space="0" w:color="auto"/>
        <w:bottom w:val="none" w:sz="0" w:space="0" w:color="auto"/>
        <w:right w:val="none" w:sz="0" w:space="0" w:color="auto"/>
      </w:divBdr>
      <w:divsChild>
        <w:div w:id="353729393">
          <w:marLeft w:val="0"/>
          <w:marRight w:val="0"/>
          <w:marTop w:val="0"/>
          <w:marBottom w:val="0"/>
          <w:divBdr>
            <w:top w:val="none" w:sz="0" w:space="0" w:color="auto"/>
            <w:left w:val="none" w:sz="0" w:space="0" w:color="auto"/>
            <w:bottom w:val="none" w:sz="0" w:space="0" w:color="auto"/>
            <w:right w:val="none" w:sz="0" w:space="0" w:color="auto"/>
          </w:divBdr>
        </w:div>
      </w:divsChild>
    </w:div>
    <w:div w:id="67719234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73">
          <w:marLeft w:val="0"/>
          <w:marRight w:val="0"/>
          <w:marTop w:val="0"/>
          <w:marBottom w:val="0"/>
          <w:divBdr>
            <w:top w:val="none" w:sz="0" w:space="0" w:color="auto"/>
            <w:left w:val="none" w:sz="0" w:space="0" w:color="auto"/>
            <w:bottom w:val="none" w:sz="0" w:space="0" w:color="auto"/>
            <w:right w:val="none" w:sz="0" w:space="0" w:color="auto"/>
          </w:divBdr>
        </w:div>
      </w:divsChild>
    </w:div>
    <w:div w:id="1543135699">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sChild>
        <w:div w:id="139037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DF261-086C-4681-8DFC-5F58BFD8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1730</Words>
  <Characters>9520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Luis Quesada Méndez</cp:lastModifiedBy>
  <cp:revision>1</cp:revision>
  <dcterms:created xsi:type="dcterms:W3CDTF">2023-11-22T19:30:00Z</dcterms:created>
  <dcterms:modified xsi:type="dcterms:W3CDTF">2023-11-22T19:30:00Z</dcterms:modified>
</cp:coreProperties>
</file>