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00381" w14:textId="77777777" w:rsidR="00BF6D54" w:rsidRDefault="00ED1F6F" w:rsidP="00ED1F6F">
      <w:pPr>
        <w:jc w:val="center"/>
        <w:rPr>
          <w:rFonts w:ascii="Arial" w:hAnsi="Arial" w:cs="Arial"/>
          <w:b/>
          <w:bCs/>
          <w:u w:val="single"/>
          <w:lang w:val="es-ES"/>
        </w:rPr>
      </w:pPr>
      <w:r w:rsidRPr="00ED1F6F">
        <w:rPr>
          <w:rFonts w:ascii="Arial" w:hAnsi="Arial" w:cs="Arial"/>
          <w:b/>
          <w:bCs/>
          <w:u w:val="single"/>
          <w:lang w:val="es-ES"/>
        </w:rPr>
        <w:t>Detalle de Circulares</w:t>
      </w:r>
      <w:r w:rsidR="00143F01">
        <w:rPr>
          <w:rFonts w:ascii="Arial" w:hAnsi="Arial" w:cs="Arial"/>
          <w:b/>
          <w:bCs/>
          <w:u w:val="single"/>
          <w:lang w:val="es-ES"/>
        </w:rPr>
        <w:t xml:space="preserve"> Traslados al RNC</w:t>
      </w:r>
    </w:p>
    <w:tbl>
      <w:tblPr>
        <w:tblpPr w:leftFromText="141" w:rightFromText="141" w:vertAnchor="text" w:horzAnchor="margin" w:tblpXSpec="center" w:tblpY="5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217"/>
        <w:gridCol w:w="3908"/>
        <w:gridCol w:w="2977"/>
      </w:tblGrid>
      <w:tr w:rsidR="00ED1F6F" w:rsidRPr="00DC2CDE" w14:paraId="16E16A50" w14:textId="77777777" w:rsidTr="00C07559">
        <w:tc>
          <w:tcPr>
            <w:tcW w:w="1362" w:type="dxa"/>
            <w:shd w:val="clear" w:color="auto" w:fill="4C94D8"/>
          </w:tcPr>
          <w:p w14:paraId="64635031" w14:textId="77777777" w:rsidR="00ED1F6F" w:rsidRPr="00DC2CDE" w:rsidRDefault="00ED1F6F" w:rsidP="00C07559">
            <w:pPr>
              <w:suppressAutoHyphens/>
              <w:contextualSpacing/>
              <w:jc w:val="center"/>
              <w:rPr>
                <w:rFonts w:ascii="Arial" w:hAnsi="Arial" w:cs="Arial"/>
                <w:b/>
                <w:bCs/>
                <w:color w:val="FFFFFF"/>
                <w:sz w:val="18"/>
                <w:szCs w:val="18"/>
              </w:rPr>
            </w:pPr>
            <w:r w:rsidRPr="00DC2CDE">
              <w:rPr>
                <w:rFonts w:ascii="Arial" w:hAnsi="Arial" w:cs="Arial"/>
                <w:b/>
                <w:bCs/>
                <w:color w:val="FFFFFF"/>
                <w:sz w:val="18"/>
                <w:szCs w:val="18"/>
              </w:rPr>
              <w:t>N° Circular</w:t>
            </w:r>
          </w:p>
        </w:tc>
        <w:tc>
          <w:tcPr>
            <w:tcW w:w="1217" w:type="dxa"/>
            <w:shd w:val="clear" w:color="auto" w:fill="4C94D8"/>
          </w:tcPr>
          <w:p w14:paraId="510849F5" w14:textId="77777777" w:rsidR="00ED1F6F" w:rsidRPr="00DC2CDE" w:rsidRDefault="00ED1F6F" w:rsidP="00C07559">
            <w:pPr>
              <w:suppressAutoHyphens/>
              <w:contextualSpacing/>
              <w:jc w:val="center"/>
              <w:rPr>
                <w:rFonts w:ascii="Arial" w:hAnsi="Arial" w:cs="Arial"/>
                <w:b/>
                <w:bCs/>
                <w:color w:val="FFFFFF"/>
                <w:sz w:val="18"/>
                <w:szCs w:val="18"/>
              </w:rPr>
            </w:pPr>
            <w:r w:rsidRPr="00DC2CDE">
              <w:rPr>
                <w:rFonts w:ascii="Arial" w:hAnsi="Arial" w:cs="Arial"/>
                <w:b/>
                <w:bCs/>
                <w:color w:val="FFFFFF"/>
                <w:sz w:val="18"/>
                <w:szCs w:val="18"/>
              </w:rPr>
              <w:t>Fecha</w:t>
            </w:r>
          </w:p>
        </w:tc>
        <w:tc>
          <w:tcPr>
            <w:tcW w:w="3908" w:type="dxa"/>
            <w:shd w:val="clear" w:color="auto" w:fill="4C94D8"/>
          </w:tcPr>
          <w:p w14:paraId="460A13E5" w14:textId="77777777" w:rsidR="00ED1F6F" w:rsidRPr="00DC2CDE" w:rsidRDefault="00ED1F6F" w:rsidP="00C07559">
            <w:pPr>
              <w:suppressAutoHyphens/>
              <w:contextualSpacing/>
              <w:jc w:val="center"/>
              <w:rPr>
                <w:rFonts w:ascii="Arial" w:hAnsi="Arial" w:cs="Arial"/>
                <w:b/>
                <w:bCs/>
                <w:color w:val="FFFFFF"/>
                <w:sz w:val="18"/>
                <w:szCs w:val="18"/>
              </w:rPr>
            </w:pPr>
            <w:r w:rsidRPr="00DC2CDE">
              <w:rPr>
                <w:rFonts w:ascii="Arial" w:hAnsi="Arial" w:cs="Arial"/>
                <w:b/>
                <w:bCs/>
                <w:color w:val="FFFFFF"/>
                <w:sz w:val="18"/>
                <w:szCs w:val="18"/>
              </w:rPr>
              <w:t>Asunto</w:t>
            </w:r>
          </w:p>
        </w:tc>
        <w:tc>
          <w:tcPr>
            <w:tcW w:w="2977" w:type="dxa"/>
            <w:shd w:val="clear" w:color="auto" w:fill="4C94D8"/>
          </w:tcPr>
          <w:p w14:paraId="0BAA1482" w14:textId="77777777" w:rsidR="00ED1F6F" w:rsidRPr="00DC2CDE" w:rsidRDefault="00ED1F6F" w:rsidP="00C07559">
            <w:pPr>
              <w:suppressAutoHyphens/>
              <w:contextualSpacing/>
              <w:jc w:val="center"/>
              <w:rPr>
                <w:rFonts w:ascii="Arial" w:hAnsi="Arial" w:cs="Arial"/>
                <w:b/>
                <w:bCs/>
                <w:color w:val="FFFFFF"/>
                <w:sz w:val="18"/>
                <w:szCs w:val="18"/>
              </w:rPr>
            </w:pPr>
            <w:r w:rsidRPr="00DC2CDE">
              <w:rPr>
                <w:rFonts w:ascii="Arial" w:hAnsi="Arial" w:cs="Arial"/>
                <w:b/>
                <w:bCs/>
                <w:color w:val="FFFFFF"/>
                <w:sz w:val="18"/>
                <w:szCs w:val="18"/>
              </w:rPr>
              <w:t>Observación</w:t>
            </w:r>
          </w:p>
        </w:tc>
      </w:tr>
      <w:tr w:rsidR="00ED1F6F" w:rsidRPr="00946D37" w14:paraId="19EA1034" w14:textId="77777777" w:rsidTr="00C07559">
        <w:tc>
          <w:tcPr>
            <w:tcW w:w="1362" w:type="dxa"/>
          </w:tcPr>
          <w:p w14:paraId="60B8438C" w14:textId="77777777" w:rsidR="00ED1F6F" w:rsidRPr="00946D37" w:rsidRDefault="00ED1F6F" w:rsidP="00C07559">
            <w:pPr>
              <w:suppressAutoHyphens/>
              <w:contextualSpacing/>
              <w:jc w:val="both"/>
              <w:rPr>
                <w:rFonts w:ascii="Arial" w:hAnsi="Arial" w:cs="Arial"/>
                <w:sz w:val="18"/>
                <w:szCs w:val="18"/>
              </w:rPr>
            </w:pPr>
            <w:r w:rsidRPr="009B7388">
              <w:rPr>
                <w:rFonts w:ascii="Arial" w:hAnsi="Arial" w:cs="Arial"/>
                <w:sz w:val="18"/>
                <w:szCs w:val="18"/>
              </w:rPr>
              <w:t>167-2018</w:t>
            </w:r>
          </w:p>
        </w:tc>
        <w:tc>
          <w:tcPr>
            <w:tcW w:w="1217" w:type="dxa"/>
          </w:tcPr>
          <w:p w14:paraId="18042C73" w14:textId="77777777" w:rsidR="00ED1F6F" w:rsidRPr="00946D37" w:rsidRDefault="00987FBD" w:rsidP="00C07559">
            <w:pPr>
              <w:suppressAutoHyphens/>
              <w:contextualSpacing/>
              <w:jc w:val="both"/>
              <w:rPr>
                <w:rFonts w:ascii="Arial" w:hAnsi="Arial" w:cs="Arial"/>
                <w:sz w:val="18"/>
                <w:szCs w:val="18"/>
              </w:rPr>
            </w:pPr>
            <w:r>
              <w:rPr>
                <w:rFonts w:ascii="Arial" w:hAnsi="Arial" w:cs="Arial"/>
                <w:sz w:val="18"/>
                <w:szCs w:val="18"/>
              </w:rPr>
              <w:t>03/12/2018</w:t>
            </w:r>
          </w:p>
        </w:tc>
        <w:tc>
          <w:tcPr>
            <w:tcW w:w="3908" w:type="dxa"/>
          </w:tcPr>
          <w:p w14:paraId="732A0267" w14:textId="77777777" w:rsidR="00ED1F6F" w:rsidRPr="00946D37" w:rsidRDefault="00ED1F6F" w:rsidP="00C07559">
            <w:pPr>
              <w:suppressAutoHyphens/>
              <w:contextualSpacing/>
              <w:jc w:val="both"/>
              <w:rPr>
                <w:rFonts w:ascii="Arial" w:hAnsi="Arial" w:cs="Arial"/>
                <w:sz w:val="18"/>
                <w:szCs w:val="18"/>
              </w:rPr>
            </w:pPr>
            <w:r w:rsidRPr="00946D37">
              <w:rPr>
                <w:rFonts w:ascii="Arial" w:hAnsi="Arial" w:cs="Arial"/>
                <w:sz w:val="18"/>
                <w:szCs w:val="18"/>
              </w:rPr>
              <w:t>Ley N° 9578, para trasladar al Régimen no Contributivo de la C.C.S.S (RNC) recursos que provengan de proceso judiciales concluidos o abandonados por 10 años o más.</w:t>
            </w:r>
          </w:p>
        </w:tc>
        <w:tc>
          <w:tcPr>
            <w:tcW w:w="2977" w:type="dxa"/>
          </w:tcPr>
          <w:p w14:paraId="2DAB2653" w14:textId="77777777" w:rsidR="00ED1F6F" w:rsidRPr="00946D37" w:rsidRDefault="00ED1F6F" w:rsidP="00C07559">
            <w:pPr>
              <w:suppressAutoHyphens/>
              <w:contextualSpacing/>
              <w:jc w:val="both"/>
              <w:rPr>
                <w:rFonts w:ascii="Arial" w:hAnsi="Arial" w:cs="Arial"/>
                <w:sz w:val="18"/>
                <w:szCs w:val="18"/>
              </w:rPr>
            </w:pPr>
            <w:r>
              <w:rPr>
                <w:rFonts w:ascii="Arial" w:hAnsi="Arial" w:cs="Arial"/>
                <w:sz w:val="18"/>
                <w:szCs w:val="18"/>
              </w:rPr>
              <w:t>Comunicación de la Secretaría de Corte, s</w:t>
            </w:r>
            <w:r w:rsidRPr="00946D37">
              <w:rPr>
                <w:rFonts w:ascii="Arial" w:hAnsi="Arial" w:cs="Arial"/>
                <w:sz w:val="18"/>
                <w:szCs w:val="18"/>
              </w:rPr>
              <w:t>e publica con fundamento al acuerdo del Consejo Superior del Poder Judicial en sesión No. 103-18 celebrada el 27 de noviembre de 2018, artículo XX, acordó que para trasladar al Régimen no Contributivo de la C.C.S.S (RNC) recursos que provengan de proceso judiciales concluidos o abandonados por 10 años o más, de conformidad con la Ley N° 9578</w:t>
            </w:r>
            <w:r>
              <w:rPr>
                <w:rFonts w:ascii="Arial" w:hAnsi="Arial" w:cs="Arial"/>
                <w:sz w:val="18"/>
                <w:szCs w:val="18"/>
              </w:rPr>
              <w:t>.</w:t>
            </w:r>
          </w:p>
        </w:tc>
      </w:tr>
      <w:tr w:rsidR="00ED1F6F" w:rsidRPr="00D12648" w14:paraId="27CB84E3" w14:textId="77777777" w:rsidTr="00C07559">
        <w:tc>
          <w:tcPr>
            <w:tcW w:w="1362" w:type="dxa"/>
          </w:tcPr>
          <w:p w14:paraId="437C4A65" w14:textId="77777777" w:rsidR="00ED1F6F" w:rsidRPr="00946D37" w:rsidRDefault="00ED1F6F" w:rsidP="00C07559">
            <w:pPr>
              <w:suppressAutoHyphens/>
              <w:contextualSpacing/>
              <w:jc w:val="both"/>
              <w:rPr>
                <w:rFonts w:ascii="Arial" w:hAnsi="Arial" w:cs="Arial"/>
                <w:sz w:val="18"/>
                <w:szCs w:val="18"/>
              </w:rPr>
            </w:pPr>
            <w:r w:rsidRPr="00946D37">
              <w:rPr>
                <w:rFonts w:ascii="Arial" w:hAnsi="Arial" w:cs="Arial"/>
                <w:sz w:val="18"/>
                <w:szCs w:val="18"/>
              </w:rPr>
              <w:t>6-2019</w:t>
            </w:r>
          </w:p>
        </w:tc>
        <w:tc>
          <w:tcPr>
            <w:tcW w:w="1217" w:type="dxa"/>
          </w:tcPr>
          <w:p w14:paraId="123EE4AD" w14:textId="77777777" w:rsidR="00ED1F6F" w:rsidRPr="00946D37" w:rsidRDefault="00ED1F6F" w:rsidP="00C07559">
            <w:pPr>
              <w:suppressAutoHyphens/>
              <w:contextualSpacing/>
              <w:jc w:val="both"/>
              <w:rPr>
                <w:rFonts w:ascii="Arial" w:hAnsi="Arial" w:cs="Arial"/>
                <w:sz w:val="18"/>
                <w:szCs w:val="18"/>
              </w:rPr>
            </w:pPr>
            <w:r>
              <w:rPr>
                <w:rFonts w:ascii="Arial" w:hAnsi="Arial" w:cs="Arial"/>
                <w:sz w:val="18"/>
                <w:szCs w:val="18"/>
              </w:rPr>
              <w:t>27/03/2019</w:t>
            </w:r>
          </w:p>
        </w:tc>
        <w:tc>
          <w:tcPr>
            <w:tcW w:w="3908" w:type="dxa"/>
          </w:tcPr>
          <w:p w14:paraId="11D78E7A" w14:textId="77777777" w:rsidR="00ED1F6F" w:rsidRPr="00946D37" w:rsidRDefault="00ED1F6F" w:rsidP="00C07559">
            <w:pPr>
              <w:suppressAutoHyphens/>
              <w:contextualSpacing/>
              <w:jc w:val="both"/>
              <w:rPr>
                <w:rFonts w:ascii="Arial" w:hAnsi="Arial" w:cs="Arial"/>
                <w:sz w:val="18"/>
                <w:szCs w:val="18"/>
              </w:rPr>
            </w:pPr>
            <w:r w:rsidRPr="00946D37">
              <w:rPr>
                <w:rFonts w:ascii="Arial" w:hAnsi="Arial" w:cs="Arial"/>
                <w:sz w:val="18"/>
                <w:szCs w:val="18"/>
              </w:rPr>
              <w:t>Trámite para trasladar recursos al régimen no contributivo de pensiones, administrado por la Caja Costarricense de Seguro Social (CCSS) Ley N° 9578</w:t>
            </w:r>
          </w:p>
        </w:tc>
        <w:tc>
          <w:tcPr>
            <w:tcW w:w="2977" w:type="dxa"/>
          </w:tcPr>
          <w:p w14:paraId="158198B1" w14:textId="77777777" w:rsidR="00ED1F6F" w:rsidRPr="00D12648" w:rsidRDefault="00ED1F6F" w:rsidP="00C07559">
            <w:pPr>
              <w:suppressAutoHyphens/>
              <w:contextualSpacing/>
              <w:jc w:val="both"/>
              <w:rPr>
                <w:rFonts w:ascii="Arial" w:hAnsi="Arial" w:cs="Arial"/>
                <w:sz w:val="18"/>
                <w:szCs w:val="18"/>
              </w:rPr>
            </w:pPr>
            <w:r w:rsidRPr="00D12648">
              <w:rPr>
                <w:rFonts w:ascii="Arial" w:hAnsi="Arial" w:cs="Arial"/>
                <w:sz w:val="18"/>
                <w:szCs w:val="18"/>
              </w:rPr>
              <w:t xml:space="preserve">Comunicación de la </w:t>
            </w:r>
            <w:r w:rsidRPr="00946D37">
              <w:rPr>
                <w:rFonts w:ascii="Arial" w:hAnsi="Arial" w:cs="Arial"/>
                <w:sz w:val="18"/>
                <w:szCs w:val="18"/>
              </w:rPr>
              <w:t>Dirección de Planificación</w:t>
            </w:r>
            <w:r>
              <w:rPr>
                <w:rFonts w:ascii="Arial" w:hAnsi="Arial" w:cs="Arial"/>
                <w:sz w:val="18"/>
                <w:szCs w:val="18"/>
              </w:rPr>
              <w:t xml:space="preserve">, </w:t>
            </w:r>
            <w:r w:rsidRPr="00D12648">
              <w:rPr>
                <w:rFonts w:ascii="Arial" w:hAnsi="Arial" w:cs="Arial"/>
                <w:sz w:val="18"/>
                <w:szCs w:val="18"/>
              </w:rPr>
              <w:t>respecto al procedimiento para tramitar expedientes sobre esta Ley y que ya se encuentran inactivos, remesados, archivados en forma definitiva o destruidos en el caso de los expedientes físicos</w:t>
            </w:r>
            <w:r>
              <w:rPr>
                <w:rFonts w:ascii="Arial" w:hAnsi="Arial" w:cs="Arial"/>
                <w:sz w:val="18"/>
                <w:szCs w:val="18"/>
              </w:rPr>
              <w:t>.</w:t>
            </w:r>
          </w:p>
        </w:tc>
      </w:tr>
      <w:tr w:rsidR="00ED1F6F" w:rsidRPr="00D12648" w14:paraId="16611388" w14:textId="77777777" w:rsidTr="00C07559">
        <w:tc>
          <w:tcPr>
            <w:tcW w:w="1362" w:type="dxa"/>
          </w:tcPr>
          <w:p w14:paraId="45B5AFFD" w14:textId="77777777" w:rsidR="00ED1F6F" w:rsidRPr="00946D37" w:rsidRDefault="00ED1F6F" w:rsidP="00ED1F6F">
            <w:pPr>
              <w:suppressAutoHyphens/>
              <w:contextualSpacing/>
              <w:jc w:val="both"/>
              <w:rPr>
                <w:rFonts w:ascii="Arial" w:hAnsi="Arial" w:cs="Arial"/>
                <w:sz w:val="18"/>
                <w:szCs w:val="18"/>
              </w:rPr>
            </w:pPr>
            <w:r w:rsidRPr="009B7388">
              <w:rPr>
                <w:rFonts w:ascii="Arial" w:hAnsi="Arial" w:cs="Arial"/>
                <w:sz w:val="18"/>
                <w:szCs w:val="18"/>
              </w:rPr>
              <w:t>7-2019</w:t>
            </w:r>
          </w:p>
        </w:tc>
        <w:tc>
          <w:tcPr>
            <w:tcW w:w="1217" w:type="dxa"/>
          </w:tcPr>
          <w:p w14:paraId="662D473D" w14:textId="77777777" w:rsidR="00ED1F6F" w:rsidRDefault="00ED1F6F" w:rsidP="00ED1F6F">
            <w:pPr>
              <w:suppressAutoHyphens/>
              <w:contextualSpacing/>
              <w:jc w:val="both"/>
              <w:rPr>
                <w:rFonts w:ascii="Arial" w:hAnsi="Arial" w:cs="Arial"/>
                <w:sz w:val="18"/>
                <w:szCs w:val="18"/>
              </w:rPr>
            </w:pPr>
            <w:r>
              <w:rPr>
                <w:rFonts w:ascii="Arial" w:hAnsi="Arial" w:cs="Arial"/>
                <w:sz w:val="18"/>
                <w:szCs w:val="18"/>
              </w:rPr>
              <w:t>18/01/2019</w:t>
            </w:r>
          </w:p>
        </w:tc>
        <w:tc>
          <w:tcPr>
            <w:tcW w:w="3908" w:type="dxa"/>
          </w:tcPr>
          <w:p w14:paraId="7212D031" w14:textId="77777777" w:rsidR="00ED1F6F" w:rsidRPr="00946D37" w:rsidRDefault="00ED1F6F" w:rsidP="00ED1F6F">
            <w:pPr>
              <w:suppressAutoHyphens/>
              <w:contextualSpacing/>
              <w:jc w:val="both"/>
              <w:rPr>
                <w:rFonts w:ascii="Arial" w:hAnsi="Arial" w:cs="Arial"/>
                <w:sz w:val="18"/>
                <w:szCs w:val="18"/>
              </w:rPr>
            </w:pPr>
            <w:r w:rsidRPr="00946D37">
              <w:rPr>
                <w:rFonts w:ascii="Arial" w:hAnsi="Arial" w:cs="Arial"/>
                <w:sz w:val="18"/>
                <w:szCs w:val="18"/>
              </w:rPr>
              <w:t>Prórroga para el traslado al Régimen no Contributivo de la C.C.S.S (RNC) recursos que provengan de procesos judiciales concluidos o abandonados por 10 años o más.</w:t>
            </w:r>
          </w:p>
        </w:tc>
        <w:tc>
          <w:tcPr>
            <w:tcW w:w="2977" w:type="dxa"/>
          </w:tcPr>
          <w:p w14:paraId="56C9CA41" w14:textId="77777777" w:rsidR="00ED1F6F" w:rsidRPr="00D12648" w:rsidRDefault="00ED1F6F" w:rsidP="00ED1F6F">
            <w:pPr>
              <w:suppressAutoHyphens/>
              <w:contextualSpacing/>
              <w:jc w:val="both"/>
              <w:rPr>
                <w:rFonts w:ascii="Arial" w:hAnsi="Arial" w:cs="Arial"/>
                <w:sz w:val="18"/>
                <w:szCs w:val="18"/>
              </w:rPr>
            </w:pPr>
            <w:r>
              <w:rPr>
                <w:rFonts w:ascii="Arial" w:hAnsi="Arial" w:cs="Arial"/>
                <w:sz w:val="18"/>
                <w:szCs w:val="18"/>
              </w:rPr>
              <w:t>Comunicación de la</w:t>
            </w:r>
            <w:r w:rsidRPr="00946D37">
              <w:rPr>
                <w:rFonts w:ascii="Arial" w:hAnsi="Arial" w:cs="Arial"/>
                <w:sz w:val="18"/>
                <w:szCs w:val="18"/>
              </w:rPr>
              <w:t xml:space="preserve"> Secretaría de la Corte</w:t>
            </w:r>
            <w:r>
              <w:rPr>
                <w:rFonts w:ascii="Arial" w:hAnsi="Arial" w:cs="Arial"/>
                <w:sz w:val="18"/>
                <w:szCs w:val="18"/>
              </w:rPr>
              <w:t>, s</w:t>
            </w:r>
            <w:r w:rsidRPr="00946D37">
              <w:rPr>
                <w:rFonts w:ascii="Arial" w:hAnsi="Arial" w:cs="Arial"/>
                <w:sz w:val="18"/>
                <w:szCs w:val="18"/>
              </w:rPr>
              <w:t>e publica con fundamento al acuerdo del Consejo Superior en sesión No.04-2019, celebrada el 17 de enero de 2019, artículo XIV, se acordó modificar las fechas de traslado establecidas en la circular N° 167-2018.</w:t>
            </w:r>
          </w:p>
        </w:tc>
      </w:tr>
      <w:tr w:rsidR="00ED1F6F" w:rsidRPr="00D12648" w14:paraId="382F08D6" w14:textId="77777777" w:rsidTr="00C07559">
        <w:tc>
          <w:tcPr>
            <w:tcW w:w="1362" w:type="dxa"/>
          </w:tcPr>
          <w:p w14:paraId="2536FBCF" w14:textId="77777777" w:rsidR="00ED1F6F" w:rsidRPr="00946D37" w:rsidRDefault="00ED1F6F" w:rsidP="00ED1F6F">
            <w:pPr>
              <w:suppressAutoHyphens/>
              <w:contextualSpacing/>
              <w:jc w:val="both"/>
              <w:rPr>
                <w:rFonts w:ascii="Arial" w:hAnsi="Arial" w:cs="Arial"/>
                <w:sz w:val="18"/>
                <w:szCs w:val="18"/>
              </w:rPr>
            </w:pPr>
            <w:r w:rsidRPr="009B7388">
              <w:rPr>
                <w:rFonts w:ascii="Arial" w:hAnsi="Arial" w:cs="Arial"/>
                <w:sz w:val="18"/>
                <w:szCs w:val="18"/>
              </w:rPr>
              <w:t>32-2019</w:t>
            </w:r>
          </w:p>
        </w:tc>
        <w:tc>
          <w:tcPr>
            <w:tcW w:w="1217" w:type="dxa"/>
          </w:tcPr>
          <w:p w14:paraId="4966FEE7" w14:textId="77777777" w:rsidR="00ED1F6F" w:rsidRDefault="00ED1F6F" w:rsidP="00ED1F6F">
            <w:pPr>
              <w:suppressAutoHyphens/>
              <w:contextualSpacing/>
              <w:jc w:val="both"/>
              <w:rPr>
                <w:rFonts w:ascii="Arial" w:hAnsi="Arial" w:cs="Arial"/>
                <w:sz w:val="18"/>
                <w:szCs w:val="18"/>
              </w:rPr>
            </w:pPr>
            <w:r w:rsidRPr="00946D37">
              <w:rPr>
                <w:rFonts w:ascii="Arial" w:hAnsi="Arial" w:cs="Arial"/>
                <w:sz w:val="18"/>
                <w:szCs w:val="18"/>
              </w:rPr>
              <w:t>21/2/2019</w:t>
            </w:r>
          </w:p>
        </w:tc>
        <w:tc>
          <w:tcPr>
            <w:tcW w:w="3908" w:type="dxa"/>
          </w:tcPr>
          <w:p w14:paraId="0F4DC16F" w14:textId="77777777" w:rsidR="00ED1F6F" w:rsidRPr="00946D37" w:rsidRDefault="00ED1F6F" w:rsidP="00ED1F6F">
            <w:pPr>
              <w:suppressAutoHyphens/>
              <w:contextualSpacing/>
              <w:jc w:val="both"/>
              <w:rPr>
                <w:rFonts w:ascii="Arial" w:hAnsi="Arial" w:cs="Arial"/>
                <w:sz w:val="18"/>
                <w:szCs w:val="18"/>
              </w:rPr>
            </w:pPr>
            <w:r w:rsidRPr="00946D37">
              <w:rPr>
                <w:rFonts w:ascii="Arial" w:hAnsi="Arial" w:cs="Arial"/>
                <w:sz w:val="18"/>
                <w:szCs w:val="18"/>
              </w:rPr>
              <w:t>Generación de intereses sobre depósitos judiciales en procesos con estado de Abandono o Concluidos girados al Régimen no Contributivo de la Caja Costarricense de Seguro Social (CCSS)</w:t>
            </w:r>
          </w:p>
        </w:tc>
        <w:tc>
          <w:tcPr>
            <w:tcW w:w="2977" w:type="dxa"/>
          </w:tcPr>
          <w:p w14:paraId="350266D0" w14:textId="77777777" w:rsidR="00ED1F6F" w:rsidRPr="00D12648" w:rsidRDefault="00ED1F6F" w:rsidP="00ED1F6F">
            <w:pPr>
              <w:suppressAutoHyphens/>
              <w:contextualSpacing/>
              <w:jc w:val="both"/>
              <w:rPr>
                <w:rFonts w:ascii="Arial" w:hAnsi="Arial" w:cs="Arial"/>
                <w:sz w:val="18"/>
                <w:szCs w:val="18"/>
              </w:rPr>
            </w:pPr>
            <w:r w:rsidRPr="00946D37">
              <w:rPr>
                <w:rFonts w:ascii="Arial" w:hAnsi="Arial" w:cs="Arial"/>
                <w:sz w:val="18"/>
                <w:szCs w:val="18"/>
              </w:rPr>
              <w:t>Comunicación</w:t>
            </w:r>
            <w:r>
              <w:rPr>
                <w:rFonts w:ascii="Arial" w:hAnsi="Arial" w:cs="Arial"/>
                <w:sz w:val="18"/>
                <w:szCs w:val="18"/>
              </w:rPr>
              <w:t xml:space="preserve"> de la Dirección Ejecutiva, se publica </w:t>
            </w:r>
            <w:r w:rsidRPr="00946D37">
              <w:rPr>
                <w:rFonts w:ascii="Arial" w:hAnsi="Arial" w:cs="Arial"/>
                <w:sz w:val="18"/>
                <w:szCs w:val="18"/>
              </w:rPr>
              <w:t>e</w:t>
            </w:r>
            <w:r>
              <w:rPr>
                <w:rFonts w:ascii="Arial" w:hAnsi="Arial" w:cs="Arial"/>
                <w:sz w:val="18"/>
                <w:szCs w:val="18"/>
              </w:rPr>
              <w:t>l</w:t>
            </w:r>
            <w:r w:rsidRPr="00946D37">
              <w:rPr>
                <w:rFonts w:ascii="Arial" w:hAnsi="Arial" w:cs="Arial"/>
                <w:sz w:val="18"/>
                <w:szCs w:val="18"/>
              </w:rPr>
              <w:t xml:space="preserve"> proceso de generación de cálculo de intereses.</w:t>
            </w:r>
          </w:p>
        </w:tc>
      </w:tr>
      <w:tr w:rsidR="00ED1F6F" w:rsidRPr="00D12648" w14:paraId="69E2956C" w14:textId="77777777" w:rsidTr="00C07559">
        <w:tc>
          <w:tcPr>
            <w:tcW w:w="1362" w:type="dxa"/>
          </w:tcPr>
          <w:p w14:paraId="7F72DA52" w14:textId="77777777" w:rsidR="00ED1F6F" w:rsidRPr="00946D37" w:rsidRDefault="00ED1F6F" w:rsidP="00ED1F6F">
            <w:pPr>
              <w:suppressAutoHyphens/>
              <w:contextualSpacing/>
              <w:jc w:val="both"/>
              <w:rPr>
                <w:rFonts w:ascii="Arial" w:hAnsi="Arial" w:cs="Arial"/>
                <w:sz w:val="18"/>
                <w:szCs w:val="18"/>
              </w:rPr>
            </w:pPr>
            <w:r w:rsidRPr="009B7388">
              <w:rPr>
                <w:rFonts w:ascii="Arial" w:hAnsi="Arial" w:cs="Arial"/>
                <w:sz w:val="18"/>
                <w:szCs w:val="18"/>
              </w:rPr>
              <w:t>56-2019</w:t>
            </w:r>
          </w:p>
        </w:tc>
        <w:tc>
          <w:tcPr>
            <w:tcW w:w="1217" w:type="dxa"/>
          </w:tcPr>
          <w:p w14:paraId="742E8129" w14:textId="77777777" w:rsidR="00ED1F6F" w:rsidRDefault="00ED1F6F" w:rsidP="00ED1F6F">
            <w:pPr>
              <w:suppressAutoHyphens/>
              <w:contextualSpacing/>
              <w:jc w:val="both"/>
              <w:rPr>
                <w:rFonts w:ascii="Arial" w:hAnsi="Arial" w:cs="Arial"/>
                <w:sz w:val="18"/>
                <w:szCs w:val="18"/>
              </w:rPr>
            </w:pPr>
            <w:r>
              <w:rPr>
                <w:rFonts w:ascii="Arial" w:hAnsi="Arial" w:cs="Arial"/>
                <w:sz w:val="18"/>
                <w:szCs w:val="18"/>
              </w:rPr>
              <w:t>9/04/2019</w:t>
            </w:r>
          </w:p>
        </w:tc>
        <w:tc>
          <w:tcPr>
            <w:tcW w:w="3908" w:type="dxa"/>
          </w:tcPr>
          <w:p w14:paraId="371DE806" w14:textId="77777777" w:rsidR="00ED1F6F" w:rsidRPr="00946D37" w:rsidRDefault="00ED1F6F" w:rsidP="00ED1F6F">
            <w:pPr>
              <w:suppressAutoHyphens/>
              <w:contextualSpacing/>
              <w:jc w:val="both"/>
              <w:rPr>
                <w:rFonts w:ascii="Arial" w:hAnsi="Arial" w:cs="Arial"/>
                <w:sz w:val="18"/>
                <w:szCs w:val="18"/>
              </w:rPr>
            </w:pPr>
            <w:r w:rsidRPr="00946D37">
              <w:rPr>
                <w:rFonts w:ascii="Arial" w:hAnsi="Arial" w:cs="Arial"/>
                <w:sz w:val="18"/>
                <w:szCs w:val="18"/>
              </w:rPr>
              <w:t>Ley N° 9578, para trasladar al Régimen no Contributivo de la C.C.S.S (RNC) recursos que provengan de proceso judiciales concluidos o abandonados por 10 años o más.</w:t>
            </w:r>
          </w:p>
        </w:tc>
        <w:tc>
          <w:tcPr>
            <w:tcW w:w="2977" w:type="dxa"/>
          </w:tcPr>
          <w:p w14:paraId="115AF7D6" w14:textId="77777777" w:rsidR="00ED1F6F" w:rsidRPr="00D12648" w:rsidRDefault="00ED1F6F" w:rsidP="00ED1F6F">
            <w:pPr>
              <w:suppressAutoHyphens/>
              <w:contextualSpacing/>
              <w:jc w:val="both"/>
              <w:rPr>
                <w:rFonts w:ascii="Arial" w:hAnsi="Arial" w:cs="Arial"/>
                <w:sz w:val="18"/>
                <w:szCs w:val="18"/>
              </w:rPr>
            </w:pPr>
            <w:r>
              <w:rPr>
                <w:rFonts w:ascii="Arial" w:hAnsi="Arial" w:cs="Arial"/>
                <w:sz w:val="18"/>
                <w:szCs w:val="18"/>
              </w:rPr>
              <w:t>Comunicación de la</w:t>
            </w:r>
            <w:r w:rsidRPr="00946D37">
              <w:rPr>
                <w:rFonts w:ascii="Arial" w:hAnsi="Arial" w:cs="Arial"/>
                <w:sz w:val="18"/>
                <w:szCs w:val="18"/>
              </w:rPr>
              <w:t xml:space="preserve"> Secretaría de la Corte</w:t>
            </w:r>
            <w:r>
              <w:rPr>
                <w:rFonts w:ascii="Arial" w:hAnsi="Arial" w:cs="Arial"/>
                <w:sz w:val="18"/>
                <w:szCs w:val="18"/>
              </w:rPr>
              <w:t>, s</w:t>
            </w:r>
            <w:r w:rsidRPr="00946D37">
              <w:rPr>
                <w:rFonts w:ascii="Arial" w:hAnsi="Arial" w:cs="Arial"/>
                <w:sz w:val="18"/>
                <w:szCs w:val="18"/>
              </w:rPr>
              <w:t>e publica con fundamento al acuerdo del Consejo Superior del Poder Judicial en sesión No. 26-2019 del 21 de marzo de 2019 artículo XVII, se acordó que los Despachos Judiciales del país deben continuar con la labor de identificación de expedientes que cumplan las condiciones de la ley 9578.</w:t>
            </w:r>
          </w:p>
        </w:tc>
      </w:tr>
    </w:tbl>
    <w:p w14:paraId="348B316B" w14:textId="77777777" w:rsidR="00ED1F6F" w:rsidRDefault="00ED1F6F" w:rsidP="00ED1F6F">
      <w:pPr>
        <w:pStyle w:val="Prrafodelista"/>
        <w:ind w:left="0"/>
        <w:rPr>
          <w:rFonts w:ascii="Arial" w:hAnsi="Arial" w:cs="Arial"/>
          <w:sz w:val="22"/>
          <w:szCs w:val="22"/>
        </w:rPr>
      </w:pPr>
    </w:p>
    <w:tbl>
      <w:tblPr>
        <w:tblpPr w:leftFromText="141" w:rightFromText="141" w:vertAnchor="text" w:horzAnchor="margin" w:tblpXSpec="center" w:tblpY="5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1217"/>
        <w:gridCol w:w="4050"/>
        <w:gridCol w:w="2816"/>
      </w:tblGrid>
      <w:tr w:rsidR="00ED1F6F" w:rsidRPr="00946D37" w14:paraId="7D6A233C" w14:textId="77777777" w:rsidTr="00C07559">
        <w:tc>
          <w:tcPr>
            <w:tcW w:w="1239" w:type="dxa"/>
          </w:tcPr>
          <w:p w14:paraId="5AF39FE6" w14:textId="77777777" w:rsidR="00ED1F6F" w:rsidRPr="00946D37" w:rsidRDefault="00ED1F6F" w:rsidP="00C07559">
            <w:pPr>
              <w:suppressAutoHyphens/>
              <w:contextualSpacing/>
              <w:jc w:val="both"/>
              <w:rPr>
                <w:rFonts w:ascii="Arial" w:hAnsi="Arial" w:cs="Arial"/>
                <w:sz w:val="18"/>
                <w:szCs w:val="18"/>
              </w:rPr>
            </w:pPr>
            <w:r w:rsidRPr="009B7388">
              <w:rPr>
                <w:rFonts w:ascii="Arial" w:hAnsi="Arial" w:cs="Arial"/>
                <w:sz w:val="18"/>
                <w:szCs w:val="18"/>
              </w:rPr>
              <w:lastRenderedPageBreak/>
              <w:t>81-2019</w:t>
            </w:r>
          </w:p>
          <w:p w14:paraId="4F4A2614" w14:textId="77777777" w:rsidR="00ED1F6F" w:rsidRPr="00946D37" w:rsidRDefault="00ED1F6F" w:rsidP="00C07559">
            <w:pPr>
              <w:suppressAutoHyphens/>
              <w:contextualSpacing/>
              <w:jc w:val="both"/>
              <w:rPr>
                <w:rFonts w:ascii="Arial" w:hAnsi="Arial" w:cs="Arial"/>
                <w:sz w:val="18"/>
                <w:szCs w:val="18"/>
              </w:rPr>
            </w:pPr>
          </w:p>
        </w:tc>
        <w:tc>
          <w:tcPr>
            <w:tcW w:w="1217" w:type="dxa"/>
          </w:tcPr>
          <w:p w14:paraId="6AA399D7" w14:textId="77777777" w:rsidR="00ED1F6F" w:rsidRPr="00946D37" w:rsidRDefault="00ED1F6F" w:rsidP="00C07559">
            <w:pPr>
              <w:suppressAutoHyphens/>
              <w:contextualSpacing/>
              <w:jc w:val="both"/>
              <w:rPr>
                <w:rFonts w:ascii="Arial" w:hAnsi="Arial" w:cs="Arial"/>
                <w:sz w:val="18"/>
                <w:szCs w:val="18"/>
              </w:rPr>
            </w:pPr>
            <w:r w:rsidRPr="00946D37">
              <w:rPr>
                <w:rFonts w:ascii="Arial" w:hAnsi="Arial" w:cs="Arial"/>
                <w:sz w:val="18"/>
                <w:szCs w:val="18"/>
              </w:rPr>
              <w:t>18/06/2019</w:t>
            </w:r>
          </w:p>
        </w:tc>
        <w:tc>
          <w:tcPr>
            <w:tcW w:w="4050" w:type="dxa"/>
          </w:tcPr>
          <w:p w14:paraId="2151BF60" w14:textId="77777777" w:rsidR="00ED1F6F" w:rsidRPr="00946D37" w:rsidRDefault="00ED1F6F" w:rsidP="00C07559">
            <w:pPr>
              <w:suppressAutoHyphens/>
              <w:contextualSpacing/>
              <w:jc w:val="both"/>
              <w:rPr>
                <w:rFonts w:ascii="Arial" w:hAnsi="Arial" w:cs="Arial"/>
                <w:sz w:val="18"/>
                <w:szCs w:val="18"/>
              </w:rPr>
            </w:pPr>
            <w:r w:rsidRPr="00946D37">
              <w:rPr>
                <w:rFonts w:ascii="Arial" w:hAnsi="Arial" w:cs="Arial"/>
                <w:sz w:val="18"/>
                <w:szCs w:val="18"/>
              </w:rPr>
              <w:t>Generación de intereses sobre depósitos judiciales en procesos con estado de Abandono o Concluidos girados al Régimen no Contributivo de la Caja Costarricense de Seguro Social (CCSS)</w:t>
            </w:r>
          </w:p>
        </w:tc>
        <w:tc>
          <w:tcPr>
            <w:tcW w:w="2816" w:type="dxa"/>
          </w:tcPr>
          <w:p w14:paraId="5827796D" w14:textId="77777777" w:rsidR="00ED1F6F" w:rsidRPr="00946D37" w:rsidRDefault="00ED1F6F" w:rsidP="00C07559">
            <w:pPr>
              <w:suppressAutoHyphens/>
              <w:contextualSpacing/>
              <w:jc w:val="both"/>
              <w:rPr>
                <w:rFonts w:ascii="Arial" w:hAnsi="Arial" w:cs="Arial"/>
                <w:sz w:val="18"/>
                <w:szCs w:val="18"/>
              </w:rPr>
            </w:pPr>
            <w:r w:rsidRPr="00946D37">
              <w:rPr>
                <w:rFonts w:ascii="Arial" w:hAnsi="Arial" w:cs="Arial"/>
                <w:sz w:val="18"/>
                <w:szCs w:val="18"/>
              </w:rPr>
              <w:t>Comunicación</w:t>
            </w:r>
            <w:r>
              <w:rPr>
                <w:rFonts w:ascii="Arial" w:hAnsi="Arial" w:cs="Arial"/>
                <w:sz w:val="18"/>
                <w:szCs w:val="18"/>
              </w:rPr>
              <w:t xml:space="preserve"> de la Dirección Ejecutiva, se publica </w:t>
            </w:r>
            <w:r w:rsidRPr="00946D37">
              <w:rPr>
                <w:rFonts w:ascii="Arial" w:hAnsi="Arial" w:cs="Arial"/>
                <w:sz w:val="18"/>
                <w:szCs w:val="18"/>
              </w:rPr>
              <w:t>e</w:t>
            </w:r>
            <w:r>
              <w:rPr>
                <w:rFonts w:ascii="Arial" w:hAnsi="Arial" w:cs="Arial"/>
                <w:sz w:val="18"/>
                <w:szCs w:val="18"/>
              </w:rPr>
              <w:t>l</w:t>
            </w:r>
            <w:r w:rsidRPr="00946D37">
              <w:rPr>
                <w:rFonts w:ascii="Arial" w:hAnsi="Arial" w:cs="Arial"/>
                <w:sz w:val="18"/>
                <w:szCs w:val="18"/>
              </w:rPr>
              <w:t xml:space="preserve"> proceso de generación de cálculo de intereses.</w:t>
            </w:r>
          </w:p>
        </w:tc>
      </w:tr>
      <w:tr w:rsidR="00ED1F6F" w:rsidRPr="00946D37" w14:paraId="363D93BA" w14:textId="77777777" w:rsidTr="00C07559">
        <w:tc>
          <w:tcPr>
            <w:tcW w:w="1239" w:type="dxa"/>
          </w:tcPr>
          <w:p w14:paraId="6BD6B06D" w14:textId="77777777" w:rsidR="00ED1F6F" w:rsidRPr="00946D37" w:rsidRDefault="00ED1F6F" w:rsidP="00C07559">
            <w:pPr>
              <w:suppressAutoHyphens/>
              <w:contextualSpacing/>
              <w:jc w:val="both"/>
              <w:rPr>
                <w:rFonts w:ascii="Arial" w:hAnsi="Arial" w:cs="Arial"/>
                <w:sz w:val="18"/>
                <w:szCs w:val="18"/>
              </w:rPr>
            </w:pPr>
            <w:r w:rsidRPr="009B7388">
              <w:rPr>
                <w:rFonts w:ascii="Arial" w:hAnsi="Arial" w:cs="Arial"/>
                <w:sz w:val="18"/>
                <w:szCs w:val="18"/>
              </w:rPr>
              <w:t>90-2019</w:t>
            </w:r>
          </w:p>
          <w:p w14:paraId="263B3AB6" w14:textId="77777777" w:rsidR="00ED1F6F" w:rsidRPr="00946D37" w:rsidRDefault="00ED1F6F" w:rsidP="00C07559">
            <w:pPr>
              <w:suppressAutoHyphens/>
              <w:contextualSpacing/>
              <w:jc w:val="both"/>
              <w:rPr>
                <w:rFonts w:ascii="Arial" w:hAnsi="Arial" w:cs="Arial"/>
                <w:sz w:val="18"/>
                <w:szCs w:val="18"/>
              </w:rPr>
            </w:pPr>
          </w:p>
        </w:tc>
        <w:tc>
          <w:tcPr>
            <w:tcW w:w="1217" w:type="dxa"/>
          </w:tcPr>
          <w:p w14:paraId="49482E5C" w14:textId="77777777" w:rsidR="00ED1F6F" w:rsidRPr="00946D37" w:rsidRDefault="00ED1F6F" w:rsidP="00C07559">
            <w:pPr>
              <w:suppressAutoHyphens/>
              <w:contextualSpacing/>
              <w:jc w:val="both"/>
              <w:rPr>
                <w:rFonts w:ascii="Arial" w:hAnsi="Arial" w:cs="Arial"/>
                <w:sz w:val="18"/>
                <w:szCs w:val="18"/>
              </w:rPr>
            </w:pPr>
            <w:r w:rsidRPr="00946D37">
              <w:rPr>
                <w:rFonts w:ascii="Arial" w:hAnsi="Arial" w:cs="Arial"/>
                <w:sz w:val="18"/>
                <w:szCs w:val="18"/>
              </w:rPr>
              <w:t>28/05/2019</w:t>
            </w:r>
          </w:p>
        </w:tc>
        <w:tc>
          <w:tcPr>
            <w:tcW w:w="4050" w:type="dxa"/>
          </w:tcPr>
          <w:p w14:paraId="71275BE1" w14:textId="77777777" w:rsidR="00ED1F6F" w:rsidRPr="00946D37" w:rsidRDefault="00ED1F6F" w:rsidP="00C07559">
            <w:pPr>
              <w:suppressAutoHyphens/>
              <w:contextualSpacing/>
              <w:jc w:val="both"/>
              <w:rPr>
                <w:rFonts w:ascii="Arial" w:hAnsi="Arial" w:cs="Arial"/>
                <w:sz w:val="18"/>
                <w:szCs w:val="18"/>
              </w:rPr>
            </w:pPr>
            <w:r w:rsidRPr="00946D37">
              <w:rPr>
                <w:rFonts w:ascii="Arial" w:hAnsi="Arial" w:cs="Arial"/>
                <w:sz w:val="18"/>
                <w:szCs w:val="18"/>
              </w:rPr>
              <w:t>Aclaración de las Circulares N° 167-2018 “Ley N°9578, para trasladar al Régimen no Contributivo de la C.C.S.S (RNC) recursos que provengan de proceso judiciales concluidos o abandonados por 10 años o más” y 7-2019 “Prórroga para el traslado al Régimen no Contributivo de la C.C.S.S (RNC) recursos que provengan de procesos judiciales concluidos o abandonados por 10 años o más.”</w:t>
            </w:r>
          </w:p>
        </w:tc>
        <w:tc>
          <w:tcPr>
            <w:tcW w:w="2816" w:type="dxa"/>
          </w:tcPr>
          <w:p w14:paraId="0DFCCC7D" w14:textId="77777777" w:rsidR="00ED1F6F" w:rsidRPr="00946D37" w:rsidRDefault="00ED1F6F" w:rsidP="00C07559">
            <w:pPr>
              <w:suppressAutoHyphens/>
              <w:contextualSpacing/>
              <w:jc w:val="both"/>
              <w:rPr>
                <w:rFonts w:ascii="Arial" w:hAnsi="Arial" w:cs="Arial"/>
                <w:sz w:val="18"/>
                <w:szCs w:val="18"/>
              </w:rPr>
            </w:pPr>
            <w:r w:rsidRPr="00946D37">
              <w:rPr>
                <w:rFonts w:ascii="Arial" w:hAnsi="Arial" w:cs="Arial"/>
                <w:sz w:val="18"/>
                <w:szCs w:val="18"/>
              </w:rPr>
              <w:t>Circular de Secretaría de la Corte</w:t>
            </w:r>
            <w:r>
              <w:rPr>
                <w:rFonts w:ascii="Arial" w:hAnsi="Arial" w:cs="Arial"/>
                <w:sz w:val="18"/>
                <w:szCs w:val="18"/>
              </w:rPr>
              <w:t xml:space="preserve">, se publica </w:t>
            </w:r>
            <w:r w:rsidRPr="007B2CEB">
              <w:rPr>
                <w:rFonts w:ascii="Arial" w:hAnsi="Arial" w:cs="Arial"/>
                <w:sz w:val="18"/>
                <w:szCs w:val="18"/>
              </w:rPr>
              <w:t>conforme al</w:t>
            </w:r>
            <w:r>
              <w:rPr>
                <w:rFonts w:ascii="Arial" w:hAnsi="Arial" w:cs="Arial"/>
                <w:sz w:val="18"/>
                <w:szCs w:val="18"/>
              </w:rPr>
              <w:t xml:space="preserve"> </w:t>
            </w:r>
            <w:r w:rsidRPr="007B2CEB">
              <w:rPr>
                <w:rFonts w:ascii="Arial" w:hAnsi="Arial" w:cs="Arial"/>
                <w:sz w:val="18"/>
                <w:szCs w:val="18"/>
              </w:rPr>
              <w:t>criterio rendido por la Comisión de la Jurisdicción Civil</w:t>
            </w:r>
            <w:r>
              <w:rPr>
                <w:rFonts w:ascii="Arial" w:hAnsi="Arial" w:cs="Arial"/>
                <w:sz w:val="18"/>
                <w:szCs w:val="18"/>
              </w:rPr>
              <w:t xml:space="preserve"> respecto a las causales para la conclusión del proceso.</w:t>
            </w:r>
          </w:p>
        </w:tc>
      </w:tr>
      <w:tr w:rsidR="00ED1F6F" w:rsidRPr="00946D37" w14:paraId="1D077E03" w14:textId="77777777" w:rsidTr="00C07559">
        <w:tc>
          <w:tcPr>
            <w:tcW w:w="1239" w:type="dxa"/>
          </w:tcPr>
          <w:p w14:paraId="735928E0" w14:textId="77777777" w:rsidR="00ED1F6F" w:rsidRPr="00946D37" w:rsidRDefault="00ED1F6F" w:rsidP="00C07559">
            <w:pPr>
              <w:suppressAutoHyphens/>
              <w:contextualSpacing/>
              <w:jc w:val="both"/>
              <w:rPr>
                <w:rFonts w:ascii="Arial" w:hAnsi="Arial" w:cs="Arial"/>
                <w:sz w:val="18"/>
                <w:szCs w:val="18"/>
              </w:rPr>
            </w:pPr>
            <w:r w:rsidRPr="009B7388">
              <w:rPr>
                <w:rFonts w:ascii="Arial" w:hAnsi="Arial" w:cs="Arial"/>
                <w:sz w:val="18"/>
                <w:szCs w:val="18"/>
              </w:rPr>
              <w:t>115-2019</w:t>
            </w:r>
          </w:p>
        </w:tc>
        <w:tc>
          <w:tcPr>
            <w:tcW w:w="1217" w:type="dxa"/>
          </w:tcPr>
          <w:p w14:paraId="3E81FF34" w14:textId="77777777" w:rsidR="00ED1F6F" w:rsidRPr="00946D37" w:rsidRDefault="00ED1F6F" w:rsidP="00C07559">
            <w:pPr>
              <w:suppressAutoHyphens/>
              <w:contextualSpacing/>
              <w:jc w:val="both"/>
              <w:rPr>
                <w:rFonts w:ascii="Arial" w:hAnsi="Arial" w:cs="Arial"/>
                <w:sz w:val="18"/>
                <w:szCs w:val="18"/>
              </w:rPr>
            </w:pPr>
            <w:r w:rsidRPr="00946D37">
              <w:rPr>
                <w:rFonts w:ascii="Arial" w:hAnsi="Arial" w:cs="Arial"/>
                <w:sz w:val="18"/>
                <w:szCs w:val="18"/>
              </w:rPr>
              <w:t>5/09/2019</w:t>
            </w:r>
          </w:p>
        </w:tc>
        <w:tc>
          <w:tcPr>
            <w:tcW w:w="4050" w:type="dxa"/>
          </w:tcPr>
          <w:p w14:paraId="1C28420A" w14:textId="77777777" w:rsidR="00ED1F6F" w:rsidRPr="00946D37" w:rsidRDefault="00ED1F6F" w:rsidP="00C07559">
            <w:pPr>
              <w:suppressAutoHyphens/>
              <w:contextualSpacing/>
              <w:jc w:val="both"/>
              <w:rPr>
                <w:rFonts w:ascii="Arial" w:hAnsi="Arial" w:cs="Arial"/>
                <w:sz w:val="18"/>
                <w:szCs w:val="18"/>
              </w:rPr>
            </w:pPr>
            <w:r w:rsidRPr="00946D37">
              <w:rPr>
                <w:rFonts w:ascii="Arial" w:hAnsi="Arial" w:cs="Arial"/>
                <w:sz w:val="18"/>
                <w:szCs w:val="18"/>
              </w:rPr>
              <w:t>Cumplimiento de la Ley 9578 respecto al traslado de recursos al Régimen no Contributivo de la C.C.S.S. (RNC)</w:t>
            </w:r>
          </w:p>
        </w:tc>
        <w:tc>
          <w:tcPr>
            <w:tcW w:w="2816" w:type="dxa"/>
          </w:tcPr>
          <w:p w14:paraId="4F7A2C6F" w14:textId="77777777" w:rsidR="00ED1F6F" w:rsidRPr="00946D37" w:rsidRDefault="00ED1F6F" w:rsidP="00C07559">
            <w:pPr>
              <w:suppressAutoHyphens/>
              <w:contextualSpacing/>
              <w:jc w:val="both"/>
              <w:rPr>
                <w:rFonts w:ascii="Arial" w:hAnsi="Arial" w:cs="Arial"/>
                <w:sz w:val="18"/>
                <w:szCs w:val="18"/>
              </w:rPr>
            </w:pPr>
            <w:r w:rsidRPr="00946D37">
              <w:rPr>
                <w:rFonts w:ascii="Arial" w:hAnsi="Arial" w:cs="Arial"/>
                <w:sz w:val="18"/>
                <w:szCs w:val="18"/>
              </w:rPr>
              <w:t>Comunicado de la Dirección Ejecutiva respecto a la capacitación brindada por FICO en junio 2019</w:t>
            </w:r>
            <w:r>
              <w:rPr>
                <w:rFonts w:ascii="Arial" w:hAnsi="Arial" w:cs="Arial"/>
                <w:sz w:val="18"/>
                <w:szCs w:val="18"/>
              </w:rPr>
              <w:t>.</w:t>
            </w:r>
          </w:p>
        </w:tc>
      </w:tr>
      <w:tr w:rsidR="00ED1F6F" w:rsidRPr="00946D37" w14:paraId="1F396E98" w14:textId="77777777" w:rsidTr="00C07559">
        <w:tc>
          <w:tcPr>
            <w:tcW w:w="1239" w:type="dxa"/>
          </w:tcPr>
          <w:p w14:paraId="4379EAD8" w14:textId="77777777" w:rsidR="00ED1F6F" w:rsidRPr="009B7388" w:rsidRDefault="00ED1F6F" w:rsidP="00C07559">
            <w:pPr>
              <w:suppressAutoHyphens/>
              <w:contextualSpacing/>
              <w:jc w:val="both"/>
              <w:rPr>
                <w:rFonts w:ascii="Arial" w:hAnsi="Arial" w:cs="Arial"/>
                <w:sz w:val="18"/>
                <w:szCs w:val="18"/>
              </w:rPr>
            </w:pPr>
            <w:r w:rsidRPr="009B7388">
              <w:rPr>
                <w:rFonts w:ascii="Arial" w:hAnsi="Arial" w:cs="Arial"/>
                <w:sz w:val="18"/>
                <w:szCs w:val="18"/>
              </w:rPr>
              <w:t>138-2019</w:t>
            </w:r>
          </w:p>
        </w:tc>
        <w:tc>
          <w:tcPr>
            <w:tcW w:w="1217" w:type="dxa"/>
          </w:tcPr>
          <w:p w14:paraId="37332B53" w14:textId="77777777" w:rsidR="00ED1F6F" w:rsidRPr="00946D37" w:rsidRDefault="00ED1F6F" w:rsidP="00C07559">
            <w:pPr>
              <w:suppressAutoHyphens/>
              <w:contextualSpacing/>
              <w:jc w:val="both"/>
              <w:rPr>
                <w:rFonts w:ascii="Arial" w:hAnsi="Arial" w:cs="Arial"/>
                <w:sz w:val="18"/>
                <w:szCs w:val="18"/>
              </w:rPr>
            </w:pPr>
            <w:r w:rsidRPr="00946D37">
              <w:rPr>
                <w:rFonts w:ascii="Arial" w:hAnsi="Arial" w:cs="Arial"/>
                <w:sz w:val="18"/>
                <w:szCs w:val="18"/>
              </w:rPr>
              <w:t>25/11/2019</w:t>
            </w:r>
          </w:p>
        </w:tc>
        <w:tc>
          <w:tcPr>
            <w:tcW w:w="4050" w:type="dxa"/>
          </w:tcPr>
          <w:p w14:paraId="4111D43D" w14:textId="77777777" w:rsidR="00ED1F6F" w:rsidRPr="00946D37" w:rsidRDefault="00ED1F6F" w:rsidP="00C07559">
            <w:pPr>
              <w:suppressAutoHyphens/>
              <w:contextualSpacing/>
              <w:jc w:val="both"/>
              <w:rPr>
                <w:rFonts w:ascii="Arial" w:hAnsi="Arial" w:cs="Arial"/>
                <w:sz w:val="18"/>
                <w:szCs w:val="18"/>
              </w:rPr>
            </w:pPr>
            <w:r w:rsidRPr="00946D37">
              <w:rPr>
                <w:rFonts w:ascii="Arial" w:hAnsi="Arial" w:cs="Arial"/>
                <w:sz w:val="18"/>
                <w:szCs w:val="18"/>
              </w:rPr>
              <w:t xml:space="preserve">Reiteraciones circulares </w:t>
            </w:r>
            <w:r>
              <w:rPr>
                <w:rFonts w:ascii="Arial" w:hAnsi="Arial" w:cs="Arial"/>
                <w:sz w:val="18"/>
                <w:szCs w:val="18"/>
              </w:rPr>
              <w:t>32</w:t>
            </w:r>
            <w:r w:rsidRPr="00946D37">
              <w:rPr>
                <w:rFonts w:ascii="Arial" w:hAnsi="Arial" w:cs="Arial"/>
                <w:sz w:val="18"/>
                <w:szCs w:val="18"/>
              </w:rPr>
              <w:t>-201</w:t>
            </w:r>
            <w:r>
              <w:rPr>
                <w:rFonts w:ascii="Arial" w:hAnsi="Arial" w:cs="Arial"/>
                <w:sz w:val="18"/>
                <w:szCs w:val="18"/>
              </w:rPr>
              <w:t>9</w:t>
            </w:r>
            <w:r w:rsidRPr="00946D37">
              <w:rPr>
                <w:rFonts w:ascii="Arial" w:hAnsi="Arial" w:cs="Arial"/>
                <w:sz w:val="18"/>
                <w:szCs w:val="18"/>
              </w:rPr>
              <w:t xml:space="preserve"> y </w:t>
            </w:r>
            <w:r>
              <w:rPr>
                <w:rFonts w:ascii="Arial" w:hAnsi="Arial" w:cs="Arial"/>
                <w:sz w:val="18"/>
                <w:szCs w:val="18"/>
              </w:rPr>
              <w:t>81</w:t>
            </w:r>
            <w:r w:rsidRPr="00946D37">
              <w:rPr>
                <w:rFonts w:ascii="Arial" w:hAnsi="Arial" w:cs="Arial"/>
                <w:sz w:val="18"/>
                <w:szCs w:val="18"/>
              </w:rPr>
              <w:t>-2019 </w:t>
            </w:r>
            <w:r w:rsidRPr="009B7388">
              <w:rPr>
                <w:rFonts w:ascii="Arial" w:hAnsi="Arial" w:cs="Arial"/>
                <w:sz w:val="18"/>
                <w:szCs w:val="18"/>
              </w:rPr>
              <w:t>“Generación de intereses sobre depósitos judiciales</w:t>
            </w:r>
            <w:r>
              <w:rPr>
                <w:rFonts w:ascii="Arial" w:hAnsi="Arial" w:cs="Arial"/>
                <w:sz w:val="18"/>
                <w:szCs w:val="18"/>
              </w:rPr>
              <w:t xml:space="preserve"> </w:t>
            </w:r>
            <w:r w:rsidRPr="009B7388">
              <w:rPr>
                <w:rFonts w:ascii="Arial" w:hAnsi="Arial" w:cs="Arial"/>
                <w:sz w:val="18"/>
                <w:szCs w:val="18"/>
              </w:rPr>
              <w:t>en procesos con estado de Abandono o Concluidos girados al Régimen no Contributivo de la Caja Costarricense</w:t>
            </w:r>
            <w:r>
              <w:rPr>
                <w:rFonts w:ascii="Arial" w:hAnsi="Arial" w:cs="Arial"/>
                <w:sz w:val="18"/>
                <w:szCs w:val="18"/>
              </w:rPr>
              <w:t xml:space="preserve"> </w:t>
            </w:r>
            <w:r w:rsidRPr="009B7388">
              <w:rPr>
                <w:rFonts w:ascii="Arial" w:hAnsi="Arial" w:cs="Arial"/>
                <w:sz w:val="18"/>
                <w:szCs w:val="18"/>
              </w:rPr>
              <w:t>de Seguro Social”</w:t>
            </w:r>
          </w:p>
        </w:tc>
        <w:tc>
          <w:tcPr>
            <w:tcW w:w="2816" w:type="dxa"/>
          </w:tcPr>
          <w:p w14:paraId="6407EDC4" w14:textId="77777777" w:rsidR="00ED1F6F" w:rsidRPr="00946D37" w:rsidRDefault="00ED1F6F" w:rsidP="00C07559">
            <w:pPr>
              <w:suppressAutoHyphens/>
              <w:contextualSpacing/>
              <w:jc w:val="both"/>
              <w:rPr>
                <w:rFonts w:ascii="Arial" w:hAnsi="Arial" w:cs="Arial"/>
                <w:sz w:val="18"/>
                <w:szCs w:val="18"/>
              </w:rPr>
            </w:pPr>
            <w:r w:rsidRPr="00946D37">
              <w:rPr>
                <w:rFonts w:ascii="Arial" w:hAnsi="Arial" w:cs="Arial"/>
                <w:sz w:val="18"/>
                <w:szCs w:val="18"/>
              </w:rPr>
              <w:t>Comunicado de la Dirección Ejecutiva</w:t>
            </w:r>
            <w:r>
              <w:rPr>
                <w:rFonts w:ascii="Arial" w:hAnsi="Arial" w:cs="Arial"/>
                <w:sz w:val="18"/>
                <w:szCs w:val="18"/>
              </w:rPr>
              <w:t xml:space="preserve">, </w:t>
            </w:r>
            <w:r w:rsidRPr="00946D37">
              <w:rPr>
                <w:rFonts w:ascii="Arial" w:hAnsi="Arial" w:cs="Arial"/>
                <w:sz w:val="18"/>
                <w:szCs w:val="18"/>
              </w:rPr>
              <w:t xml:space="preserve">reiteración </w:t>
            </w:r>
            <w:r>
              <w:rPr>
                <w:rFonts w:ascii="Arial" w:hAnsi="Arial" w:cs="Arial"/>
                <w:sz w:val="18"/>
                <w:szCs w:val="18"/>
              </w:rPr>
              <w:t>d</w:t>
            </w:r>
            <w:r w:rsidRPr="00946D37">
              <w:rPr>
                <w:rFonts w:ascii="Arial" w:hAnsi="Arial" w:cs="Arial"/>
                <w:sz w:val="18"/>
                <w:szCs w:val="18"/>
              </w:rPr>
              <w:t>e</w:t>
            </w:r>
            <w:r>
              <w:rPr>
                <w:rFonts w:ascii="Arial" w:hAnsi="Arial" w:cs="Arial"/>
                <w:sz w:val="18"/>
                <w:szCs w:val="18"/>
              </w:rPr>
              <w:t>l</w:t>
            </w:r>
            <w:r w:rsidRPr="00946D37">
              <w:rPr>
                <w:rFonts w:ascii="Arial" w:hAnsi="Arial" w:cs="Arial"/>
                <w:sz w:val="18"/>
                <w:szCs w:val="18"/>
              </w:rPr>
              <w:t xml:space="preserve"> proceso de generación de cálculo de intereses.</w:t>
            </w:r>
          </w:p>
        </w:tc>
      </w:tr>
      <w:tr w:rsidR="00ED1F6F" w:rsidRPr="00946D37" w14:paraId="08E56454" w14:textId="77777777" w:rsidTr="00C07559">
        <w:tc>
          <w:tcPr>
            <w:tcW w:w="1239" w:type="dxa"/>
          </w:tcPr>
          <w:p w14:paraId="79547064" w14:textId="77777777" w:rsidR="00ED1F6F" w:rsidRPr="009B7388" w:rsidRDefault="00ED1F6F" w:rsidP="00C07559">
            <w:pPr>
              <w:suppressAutoHyphens/>
              <w:contextualSpacing/>
              <w:jc w:val="both"/>
              <w:rPr>
                <w:rFonts w:ascii="Arial" w:hAnsi="Arial" w:cs="Arial"/>
                <w:sz w:val="18"/>
                <w:szCs w:val="18"/>
              </w:rPr>
            </w:pPr>
            <w:r w:rsidRPr="009B7388">
              <w:rPr>
                <w:rFonts w:ascii="Arial" w:hAnsi="Arial" w:cs="Arial"/>
                <w:sz w:val="18"/>
                <w:szCs w:val="18"/>
              </w:rPr>
              <w:t>157-2019</w:t>
            </w:r>
          </w:p>
        </w:tc>
        <w:tc>
          <w:tcPr>
            <w:tcW w:w="1217" w:type="dxa"/>
          </w:tcPr>
          <w:p w14:paraId="3768AEDB" w14:textId="77777777" w:rsidR="00ED1F6F" w:rsidRPr="00946D37" w:rsidRDefault="00ED1F6F" w:rsidP="00C07559">
            <w:pPr>
              <w:suppressAutoHyphens/>
              <w:contextualSpacing/>
              <w:jc w:val="both"/>
              <w:rPr>
                <w:rFonts w:ascii="Arial" w:hAnsi="Arial" w:cs="Arial"/>
                <w:sz w:val="18"/>
                <w:szCs w:val="18"/>
              </w:rPr>
            </w:pPr>
            <w:r w:rsidRPr="00946D37">
              <w:rPr>
                <w:rFonts w:ascii="Arial" w:hAnsi="Arial" w:cs="Arial"/>
                <w:sz w:val="18"/>
                <w:szCs w:val="18"/>
              </w:rPr>
              <w:t>20/12/2019</w:t>
            </w:r>
          </w:p>
        </w:tc>
        <w:tc>
          <w:tcPr>
            <w:tcW w:w="4050" w:type="dxa"/>
          </w:tcPr>
          <w:p w14:paraId="4608CB38" w14:textId="77777777" w:rsidR="00ED1F6F" w:rsidRPr="00946D37" w:rsidRDefault="00ED1F6F" w:rsidP="00C07559">
            <w:pPr>
              <w:suppressAutoHyphens/>
              <w:contextualSpacing/>
              <w:jc w:val="both"/>
              <w:rPr>
                <w:rFonts w:ascii="Arial" w:hAnsi="Arial" w:cs="Arial"/>
                <w:sz w:val="18"/>
                <w:szCs w:val="18"/>
              </w:rPr>
            </w:pPr>
            <w:r w:rsidRPr="00946D37">
              <w:rPr>
                <w:rFonts w:ascii="Arial" w:hAnsi="Arial" w:cs="Arial"/>
                <w:sz w:val="18"/>
                <w:szCs w:val="18"/>
              </w:rPr>
              <w:t>Giro de principal e intereses por Depósitos Judiciales en Procesos con Estado de Abandono o Concluidos a la CCSS</w:t>
            </w:r>
          </w:p>
        </w:tc>
        <w:tc>
          <w:tcPr>
            <w:tcW w:w="2816" w:type="dxa"/>
          </w:tcPr>
          <w:p w14:paraId="5A68FE01" w14:textId="77777777" w:rsidR="00ED1F6F" w:rsidRPr="00946D37" w:rsidRDefault="00ED1F6F" w:rsidP="00C07559">
            <w:pPr>
              <w:suppressAutoHyphens/>
              <w:contextualSpacing/>
              <w:jc w:val="both"/>
              <w:rPr>
                <w:rFonts w:ascii="Arial" w:hAnsi="Arial" w:cs="Arial"/>
                <w:sz w:val="18"/>
                <w:szCs w:val="18"/>
              </w:rPr>
            </w:pPr>
            <w:r w:rsidRPr="00946D37">
              <w:rPr>
                <w:rFonts w:ascii="Arial" w:hAnsi="Arial" w:cs="Arial"/>
                <w:sz w:val="18"/>
                <w:szCs w:val="18"/>
              </w:rPr>
              <w:t>Comunicación</w:t>
            </w:r>
            <w:r>
              <w:rPr>
                <w:rFonts w:ascii="Arial" w:hAnsi="Arial" w:cs="Arial"/>
                <w:sz w:val="18"/>
                <w:szCs w:val="18"/>
              </w:rPr>
              <w:t xml:space="preserve"> </w:t>
            </w:r>
            <w:r w:rsidRPr="00946D37">
              <w:rPr>
                <w:rFonts w:ascii="Arial" w:hAnsi="Arial" w:cs="Arial"/>
                <w:sz w:val="18"/>
                <w:szCs w:val="18"/>
              </w:rPr>
              <w:t xml:space="preserve">de la Dirección Ejecutiva </w:t>
            </w:r>
            <w:r>
              <w:rPr>
                <w:rFonts w:ascii="Arial" w:hAnsi="Arial" w:cs="Arial"/>
                <w:sz w:val="18"/>
                <w:szCs w:val="18"/>
              </w:rPr>
              <w:t>respecto al</w:t>
            </w:r>
            <w:r w:rsidRPr="00946D37">
              <w:rPr>
                <w:rFonts w:ascii="Arial" w:hAnsi="Arial" w:cs="Arial"/>
                <w:sz w:val="18"/>
                <w:szCs w:val="18"/>
              </w:rPr>
              <w:t xml:space="preserve"> proceso de generación de cálculo de intereses.</w:t>
            </w:r>
          </w:p>
        </w:tc>
      </w:tr>
      <w:tr w:rsidR="00ED1F6F" w:rsidRPr="00946D37" w14:paraId="1519338A" w14:textId="77777777" w:rsidTr="00C07559">
        <w:tc>
          <w:tcPr>
            <w:tcW w:w="1239" w:type="dxa"/>
          </w:tcPr>
          <w:p w14:paraId="63469692" w14:textId="77777777" w:rsidR="00ED1F6F" w:rsidRPr="0089042C" w:rsidRDefault="00ED1F6F" w:rsidP="00C07559">
            <w:pPr>
              <w:suppressAutoHyphens/>
              <w:contextualSpacing/>
              <w:jc w:val="both"/>
              <w:rPr>
                <w:rFonts w:ascii="Arial" w:hAnsi="Arial" w:cs="Arial"/>
                <w:sz w:val="18"/>
                <w:szCs w:val="18"/>
                <w:highlight w:val="yellow"/>
              </w:rPr>
            </w:pPr>
            <w:r w:rsidRPr="00946D37">
              <w:rPr>
                <w:rFonts w:ascii="Arial" w:hAnsi="Arial" w:cs="Arial"/>
                <w:sz w:val="18"/>
                <w:szCs w:val="18"/>
              </w:rPr>
              <w:t>101-2021</w:t>
            </w:r>
          </w:p>
        </w:tc>
        <w:tc>
          <w:tcPr>
            <w:tcW w:w="1217" w:type="dxa"/>
          </w:tcPr>
          <w:p w14:paraId="260B57C0" w14:textId="77777777" w:rsidR="00ED1F6F" w:rsidRPr="00946D37" w:rsidRDefault="00ED1F6F" w:rsidP="00C07559">
            <w:pPr>
              <w:suppressAutoHyphens/>
              <w:contextualSpacing/>
              <w:jc w:val="both"/>
              <w:rPr>
                <w:rFonts w:ascii="Arial" w:hAnsi="Arial" w:cs="Arial"/>
                <w:sz w:val="18"/>
                <w:szCs w:val="18"/>
              </w:rPr>
            </w:pPr>
            <w:r w:rsidRPr="00946D37">
              <w:rPr>
                <w:rFonts w:ascii="Arial" w:hAnsi="Arial" w:cs="Arial"/>
                <w:sz w:val="18"/>
                <w:szCs w:val="18"/>
              </w:rPr>
              <w:t>11/05/2021</w:t>
            </w:r>
          </w:p>
        </w:tc>
        <w:tc>
          <w:tcPr>
            <w:tcW w:w="4050" w:type="dxa"/>
          </w:tcPr>
          <w:p w14:paraId="1C322C21" w14:textId="77777777" w:rsidR="00ED1F6F" w:rsidRPr="00946D37" w:rsidRDefault="00ED1F6F" w:rsidP="00C07559">
            <w:pPr>
              <w:suppressAutoHyphens/>
              <w:contextualSpacing/>
              <w:jc w:val="both"/>
              <w:rPr>
                <w:rFonts w:ascii="Arial" w:hAnsi="Arial" w:cs="Arial"/>
                <w:sz w:val="18"/>
                <w:szCs w:val="18"/>
              </w:rPr>
            </w:pPr>
            <w:r w:rsidRPr="00946D37">
              <w:rPr>
                <w:rFonts w:ascii="Arial" w:hAnsi="Arial" w:cs="Arial"/>
                <w:sz w:val="18"/>
                <w:szCs w:val="18"/>
              </w:rPr>
              <w:t>Reactivación del traslado de recursos asociados a expedientes abandonados al Régimen No Contributivo de la CCSS, Ley ° 9578.</w:t>
            </w:r>
          </w:p>
        </w:tc>
        <w:tc>
          <w:tcPr>
            <w:tcW w:w="2816" w:type="dxa"/>
          </w:tcPr>
          <w:p w14:paraId="4BD3BD7D" w14:textId="77777777" w:rsidR="00ED1F6F" w:rsidRPr="00946D37" w:rsidRDefault="00ED1F6F" w:rsidP="00C07559">
            <w:pPr>
              <w:suppressAutoHyphens/>
              <w:contextualSpacing/>
              <w:jc w:val="both"/>
              <w:rPr>
                <w:rFonts w:ascii="Arial" w:hAnsi="Arial" w:cs="Arial"/>
                <w:sz w:val="18"/>
                <w:szCs w:val="18"/>
              </w:rPr>
            </w:pPr>
            <w:r w:rsidRPr="00946D37">
              <w:rPr>
                <w:rFonts w:ascii="Arial" w:hAnsi="Arial" w:cs="Arial"/>
                <w:sz w:val="18"/>
                <w:szCs w:val="18"/>
              </w:rPr>
              <w:t>Circular de Secretaría de la Corte</w:t>
            </w:r>
            <w:r>
              <w:rPr>
                <w:rFonts w:ascii="Arial" w:hAnsi="Arial" w:cs="Arial"/>
                <w:sz w:val="18"/>
                <w:szCs w:val="18"/>
              </w:rPr>
              <w:t xml:space="preserve">, se publica </w:t>
            </w:r>
            <w:r w:rsidRPr="007B2CEB">
              <w:rPr>
                <w:rFonts w:ascii="Arial" w:hAnsi="Arial" w:cs="Arial"/>
                <w:sz w:val="18"/>
                <w:szCs w:val="18"/>
              </w:rPr>
              <w:t>conforme</w:t>
            </w:r>
            <w:r>
              <w:rPr>
                <w:rFonts w:ascii="Arial" w:hAnsi="Arial" w:cs="Arial"/>
                <w:sz w:val="18"/>
                <w:szCs w:val="18"/>
              </w:rPr>
              <w:t xml:space="preserve"> el </w:t>
            </w:r>
            <w:r w:rsidRPr="00946D37">
              <w:rPr>
                <w:rFonts w:ascii="Arial" w:hAnsi="Arial" w:cs="Arial"/>
                <w:sz w:val="18"/>
                <w:szCs w:val="18"/>
              </w:rPr>
              <w:t>A</w:t>
            </w:r>
            <w:r>
              <w:rPr>
                <w:rFonts w:ascii="Arial" w:hAnsi="Arial" w:cs="Arial"/>
                <w:sz w:val="18"/>
                <w:szCs w:val="18"/>
              </w:rPr>
              <w:t xml:space="preserve">cuerdo de </w:t>
            </w:r>
            <w:r w:rsidRPr="00946D37">
              <w:rPr>
                <w:rFonts w:ascii="Arial" w:hAnsi="Arial" w:cs="Arial"/>
                <w:sz w:val="18"/>
                <w:szCs w:val="18"/>
              </w:rPr>
              <w:t>C</w:t>
            </w:r>
            <w:r>
              <w:rPr>
                <w:rFonts w:ascii="Arial" w:hAnsi="Arial" w:cs="Arial"/>
                <w:sz w:val="18"/>
                <w:szCs w:val="18"/>
              </w:rPr>
              <w:t xml:space="preserve">onsejo </w:t>
            </w:r>
            <w:r w:rsidRPr="00946D37">
              <w:rPr>
                <w:rFonts w:ascii="Arial" w:hAnsi="Arial" w:cs="Arial"/>
                <w:sz w:val="18"/>
                <w:szCs w:val="18"/>
              </w:rPr>
              <w:t>S</w:t>
            </w:r>
            <w:r>
              <w:rPr>
                <w:rFonts w:ascii="Arial" w:hAnsi="Arial" w:cs="Arial"/>
                <w:sz w:val="18"/>
                <w:szCs w:val="18"/>
              </w:rPr>
              <w:t xml:space="preserve">uperior en </w:t>
            </w:r>
            <w:r w:rsidRPr="00946D37">
              <w:rPr>
                <w:rFonts w:ascii="Arial" w:hAnsi="Arial" w:cs="Arial"/>
                <w:sz w:val="18"/>
                <w:szCs w:val="18"/>
              </w:rPr>
              <w:t>sesión N° 26-2021 celebrada el 6 de abril de 2021, artículo XV</w:t>
            </w:r>
          </w:p>
        </w:tc>
      </w:tr>
      <w:tr w:rsidR="00ED1F6F" w:rsidRPr="00946D37" w14:paraId="1144AF02" w14:textId="77777777" w:rsidTr="00C07559">
        <w:tc>
          <w:tcPr>
            <w:tcW w:w="1239" w:type="dxa"/>
          </w:tcPr>
          <w:p w14:paraId="02DAE16B" w14:textId="77777777" w:rsidR="00ED1F6F" w:rsidRPr="00946D37" w:rsidRDefault="00ED1F6F" w:rsidP="00ED1F6F">
            <w:pPr>
              <w:suppressAutoHyphens/>
              <w:contextualSpacing/>
              <w:jc w:val="both"/>
              <w:rPr>
                <w:rFonts w:ascii="Arial" w:hAnsi="Arial" w:cs="Arial"/>
                <w:sz w:val="18"/>
                <w:szCs w:val="18"/>
              </w:rPr>
            </w:pPr>
            <w:r w:rsidRPr="00946D37">
              <w:rPr>
                <w:rFonts w:ascii="Arial" w:hAnsi="Arial" w:cs="Arial"/>
                <w:sz w:val="18"/>
                <w:szCs w:val="18"/>
              </w:rPr>
              <w:t>235-2021</w:t>
            </w:r>
          </w:p>
        </w:tc>
        <w:tc>
          <w:tcPr>
            <w:tcW w:w="1217" w:type="dxa"/>
          </w:tcPr>
          <w:p w14:paraId="220686C3" w14:textId="77777777" w:rsidR="00ED1F6F" w:rsidRPr="00946D37" w:rsidRDefault="00ED1F6F" w:rsidP="00ED1F6F">
            <w:pPr>
              <w:suppressAutoHyphens/>
              <w:contextualSpacing/>
              <w:jc w:val="both"/>
              <w:rPr>
                <w:rFonts w:ascii="Arial" w:hAnsi="Arial" w:cs="Arial"/>
                <w:sz w:val="18"/>
                <w:szCs w:val="18"/>
              </w:rPr>
            </w:pPr>
            <w:r w:rsidRPr="00946D37">
              <w:rPr>
                <w:rFonts w:ascii="Arial" w:hAnsi="Arial" w:cs="Arial"/>
                <w:sz w:val="18"/>
                <w:szCs w:val="18"/>
              </w:rPr>
              <w:t>26/10/2021</w:t>
            </w:r>
          </w:p>
        </w:tc>
        <w:tc>
          <w:tcPr>
            <w:tcW w:w="4050" w:type="dxa"/>
          </w:tcPr>
          <w:p w14:paraId="6F6CA5DB" w14:textId="77777777" w:rsidR="00ED1F6F" w:rsidRPr="00946D37" w:rsidRDefault="00ED1F6F" w:rsidP="00ED1F6F">
            <w:pPr>
              <w:suppressAutoHyphens/>
              <w:contextualSpacing/>
              <w:jc w:val="both"/>
              <w:rPr>
                <w:rFonts w:ascii="Arial" w:hAnsi="Arial" w:cs="Arial"/>
                <w:sz w:val="18"/>
                <w:szCs w:val="18"/>
              </w:rPr>
            </w:pPr>
            <w:r w:rsidRPr="00946D37">
              <w:rPr>
                <w:rFonts w:ascii="Arial" w:hAnsi="Arial" w:cs="Arial"/>
                <w:sz w:val="18"/>
                <w:szCs w:val="18"/>
              </w:rPr>
              <w:t>Reiteración de la circular N°101-2021 sobre la “Reactivación del traslado de recursos asociados a expedientes abandonados al Régimen No Contributivo de la CCSS, Ley ° 9578”</w:t>
            </w:r>
          </w:p>
        </w:tc>
        <w:tc>
          <w:tcPr>
            <w:tcW w:w="2816" w:type="dxa"/>
          </w:tcPr>
          <w:p w14:paraId="3623AA2F" w14:textId="77777777" w:rsidR="00ED1F6F" w:rsidRPr="00946D37" w:rsidRDefault="00ED1F6F" w:rsidP="00ED1F6F">
            <w:pPr>
              <w:suppressAutoHyphens/>
              <w:contextualSpacing/>
              <w:jc w:val="both"/>
              <w:rPr>
                <w:rFonts w:ascii="Arial" w:hAnsi="Arial" w:cs="Arial"/>
                <w:sz w:val="18"/>
                <w:szCs w:val="18"/>
              </w:rPr>
            </w:pPr>
            <w:r w:rsidRPr="00946D37">
              <w:rPr>
                <w:rFonts w:ascii="Arial" w:hAnsi="Arial" w:cs="Arial"/>
                <w:sz w:val="18"/>
                <w:szCs w:val="18"/>
              </w:rPr>
              <w:t>Circular de Secretaría de la Corte</w:t>
            </w:r>
            <w:r>
              <w:rPr>
                <w:rFonts w:ascii="Arial" w:hAnsi="Arial" w:cs="Arial"/>
                <w:sz w:val="18"/>
                <w:szCs w:val="18"/>
              </w:rPr>
              <w:t xml:space="preserve">, se publica </w:t>
            </w:r>
            <w:r w:rsidRPr="007B2CEB">
              <w:rPr>
                <w:rFonts w:ascii="Arial" w:hAnsi="Arial" w:cs="Arial"/>
                <w:sz w:val="18"/>
                <w:szCs w:val="18"/>
              </w:rPr>
              <w:t>conforme</w:t>
            </w:r>
            <w:r>
              <w:rPr>
                <w:rFonts w:ascii="Arial" w:hAnsi="Arial" w:cs="Arial"/>
                <w:sz w:val="18"/>
                <w:szCs w:val="18"/>
              </w:rPr>
              <w:t xml:space="preserve"> el </w:t>
            </w:r>
            <w:r w:rsidRPr="00946D37">
              <w:rPr>
                <w:rFonts w:ascii="Arial" w:hAnsi="Arial" w:cs="Arial"/>
                <w:sz w:val="18"/>
                <w:szCs w:val="18"/>
              </w:rPr>
              <w:t>A</w:t>
            </w:r>
            <w:r>
              <w:rPr>
                <w:rFonts w:ascii="Arial" w:hAnsi="Arial" w:cs="Arial"/>
                <w:sz w:val="18"/>
                <w:szCs w:val="18"/>
              </w:rPr>
              <w:t xml:space="preserve">cuerdo de </w:t>
            </w:r>
            <w:r w:rsidRPr="00946D37">
              <w:rPr>
                <w:rFonts w:ascii="Arial" w:hAnsi="Arial" w:cs="Arial"/>
                <w:sz w:val="18"/>
                <w:szCs w:val="18"/>
              </w:rPr>
              <w:t>C</w:t>
            </w:r>
            <w:r>
              <w:rPr>
                <w:rFonts w:ascii="Arial" w:hAnsi="Arial" w:cs="Arial"/>
                <w:sz w:val="18"/>
                <w:szCs w:val="18"/>
              </w:rPr>
              <w:t xml:space="preserve">onsejo </w:t>
            </w:r>
            <w:r w:rsidRPr="00946D37">
              <w:rPr>
                <w:rFonts w:ascii="Arial" w:hAnsi="Arial" w:cs="Arial"/>
                <w:sz w:val="18"/>
                <w:szCs w:val="18"/>
              </w:rPr>
              <w:t>S</w:t>
            </w:r>
            <w:r>
              <w:rPr>
                <w:rFonts w:ascii="Arial" w:hAnsi="Arial" w:cs="Arial"/>
                <w:sz w:val="18"/>
                <w:szCs w:val="18"/>
              </w:rPr>
              <w:t xml:space="preserve">uperior </w:t>
            </w:r>
            <w:r w:rsidRPr="00946D37">
              <w:rPr>
                <w:rFonts w:ascii="Arial" w:hAnsi="Arial" w:cs="Arial"/>
                <w:sz w:val="18"/>
                <w:szCs w:val="18"/>
              </w:rPr>
              <w:t>sesión N° 85-2021 celebrada el 30 de setiembre de 2021, artículo XIV</w:t>
            </w:r>
          </w:p>
        </w:tc>
      </w:tr>
      <w:tr w:rsidR="00ED1F6F" w:rsidRPr="00946D37" w14:paraId="2CAE8D89" w14:textId="77777777" w:rsidTr="00C07559">
        <w:tc>
          <w:tcPr>
            <w:tcW w:w="1239" w:type="dxa"/>
          </w:tcPr>
          <w:p w14:paraId="12FAA2B7" w14:textId="77777777" w:rsidR="00ED1F6F" w:rsidRPr="00946D37" w:rsidRDefault="00ED1F6F" w:rsidP="00ED1F6F">
            <w:pPr>
              <w:suppressAutoHyphens/>
              <w:contextualSpacing/>
              <w:jc w:val="both"/>
              <w:rPr>
                <w:rFonts w:ascii="Arial" w:hAnsi="Arial" w:cs="Arial"/>
                <w:sz w:val="18"/>
                <w:szCs w:val="18"/>
              </w:rPr>
            </w:pPr>
            <w:r w:rsidRPr="009472BD">
              <w:rPr>
                <w:rFonts w:ascii="Arial" w:hAnsi="Arial" w:cs="Arial"/>
                <w:sz w:val="18"/>
                <w:szCs w:val="18"/>
              </w:rPr>
              <w:t>61-2022</w:t>
            </w:r>
          </w:p>
        </w:tc>
        <w:tc>
          <w:tcPr>
            <w:tcW w:w="1217" w:type="dxa"/>
          </w:tcPr>
          <w:p w14:paraId="344108CB" w14:textId="77777777" w:rsidR="00ED1F6F" w:rsidRPr="00946D37" w:rsidRDefault="00ED1F6F" w:rsidP="00ED1F6F">
            <w:pPr>
              <w:suppressAutoHyphens/>
              <w:contextualSpacing/>
              <w:jc w:val="both"/>
              <w:rPr>
                <w:rFonts w:ascii="Arial" w:hAnsi="Arial" w:cs="Arial"/>
                <w:sz w:val="18"/>
                <w:szCs w:val="18"/>
              </w:rPr>
            </w:pPr>
            <w:r w:rsidRPr="00946D37">
              <w:rPr>
                <w:rFonts w:ascii="Arial" w:hAnsi="Arial" w:cs="Arial"/>
                <w:sz w:val="18"/>
                <w:szCs w:val="18"/>
              </w:rPr>
              <w:t>5/04/2022</w:t>
            </w:r>
          </w:p>
        </w:tc>
        <w:tc>
          <w:tcPr>
            <w:tcW w:w="4050" w:type="dxa"/>
          </w:tcPr>
          <w:p w14:paraId="3DFB2412" w14:textId="77777777" w:rsidR="00ED1F6F" w:rsidRPr="00946D37" w:rsidRDefault="00ED1F6F" w:rsidP="00ED1F6F">
            <w:pPr>
              <w:suppressAutoHyphens/>
              <w:contextualSpacing/>
              <w:jc w:val="both"/>
              <w:rPr>
                <w:rFonts w:ascii="Arial" w:hAnsi="Arial" w:cs="Arial"/>
                <w:sz w:val="18"/>
                <w:szCs w:val="18"/>
              </w:rPr>
            </w:pPr>
            <w:r w:rsidRPr="00946D37">
              <w:rPr>
                <w:rFonts w:ascii="Arial" w:hAnsi="Arial" w:cs="Arial"/>
                <w:sz w:val="18"/>
                <w:szCs w:val="18"/>
              </w:rPr>
              <w:t xml:space="preserve">Reiteración de la circular </w:t>
            </w:r>
            <w:proofErr w:type="spellStart"/>
            <w:r w:rsidRPr="00946D37">
              <w:rPr>
                <w:rFonts w:ascii="Arial" w:hAnsi="Arial" w:cs="Arial"/>
                <w:sz w:val="18"/>
                <w:szCs w:val="18"/>
              </w:rPr>
              <w:t>Nº</w:t>
            </w:r>
            <w:proofErr w:type="spellEnd"/>
            <w:r w:rsidRPr="00946D37">
              <w:rPr>
                <w:rFonts w:ascii="Arial" w:hAnsi="Arial" w:cs="Arial"/>
                <w:sz w:val="18"/>
                <w:szCs w:val="18"/>
              </w:rPr>
              <w:t xml:space="preserve"> 167-2018; sobre “Ley N° 9578, para trasladar al Régimen no Contributivo de la C.C.S.S (RNC) recursos que provengan de proceso judiciales concluidos o abandonados por 10 años o más”</w:t>
            </w:r>
          </w:p>
        </w:tc>
        <w:tc>
          <w:tcPr>
            <w:tcW w:w="2816" w:type="dxa"/>
          </w:tcPr>
          <w:p w14:paraId="66A39596" w14:textId="77777777" w:rsidR="00ED1F6F" w:rsidRPr="00946D37" w:rsidRDefault="00ED1F6F" w:rsidP="00ED1F6F">
            <w:pPr>
              <w:suppressAutoHyphens/>
              <w:contextualSpacing/>
              <w:jc w:val="both"/>
              <w:rPr>
                <w:rFonts w:ascii="Arial" w:hAnsi="Arial" w:cs="Arial"/>
                <w:sz w:val="18"/>
                <w:szCs w:val="18"/>
              </w:rPr>
            </w:pPr>
            <w:r w:rsidRPr="00946D37">
              <w:rPr>
                <w:rFonts w:ascii="Arial" w:hAnsi="Arial" w:cs="Arial"/>
                <w:sz w:val="18"/>
                <w:szCs w:val="18"/>
              </w:rPr>
              <w:t>Circular de Secretaría de la Corte</w:t>
            </w:r>
            <w:r>
              <w:rPr>
                <w:rFonts w:ascii="Arial" w:hAnsi="Arial" w:cs="Arial"/>
                <w:sz w:val="18"/>
                <w:szCs w:val="18"/>
              </w:rPr>
              <w:t xml:space="preserve">, se publica </w:t>
            </w:r>
            <w:r w:rsidRPr="007B2CEB">
              <w:rPr>
                <w:rFonts w:ascii="Arial" w:hAnsi="Arial" w:cs="Arial"/>
                <w:sz w:val="18"/>
                <w:szCs w:val="18"/>
              </w:rPr>
              <w:t>conforme</w:t>
            </w:r>
            <w:r>
              <w:rPr>
                <w:rFonts w:ascii="Arial" w:hAnsi="Arial" w:cs="Arial"/>
                <w:sz w:val="18"/>
                <w:szCs w:val="18"/>
              </w:rPr>
              <w:t xml:space="preserve"> el </w:t>
            </w:r>
            <w:r w:rsidRPr="00946D37">
              <w:rPr>
                <w:rFonts w:ascii="Arial" w:hAnsi="Arial" w:cs="Arial"/>
                <w:sz w:val="18"/>
                <w:szCs w:val="18"/>
              </w:rPr>
              <w:t>A</w:t>
            </w:r>
            <w:r>
              <w:rPr>
                <w:rFonts w:ascii="Arial" w:hAnsi="Arial" w:cs="Arial"/>
                <w:sz w:val="18"/>
                <w:szCs w:val="18"/>
              </w:rPr>
              <w:t xml:space="preserve">cuerdo de </w:t>
            </w:r>
            <w:r w:rsidRPr="00946D37">
              <w:rPr>
                <w:rFonts w:ascii="Arial" w:hAnsi="Arial" w:cs="Arial"/>
                <w:sz w:val="18"/>
                <w:szCs w:val="18"/>
              </w:rPr>
              <w:t>C</w:t>
            </w:r>
            <w:r>
              <w:rPr>
                <w:rFonts w:ascii="Arial" w:hAnsi="Arial" w:cs="Arial"/>
                <w:sz w:val="18"/>
                <w:szCs w:val="18"/>
              </w:rPr>
              <w:t xml:space="preserve">onsejo </w:t>
            </w:r>
            <w:r w:rsidRPr="00946D37">
              <w:rPr>
                <w:rFonts w:ascii="Arial" w:hAnsi="Arial" w:cs="Arial"/>
                <w:sz w:val="18"/>
                <w:szCs w:val="18"/>
              </w:rPr>
              <w:t>S</w:t>
            </w:r>
            <w:r>
              <w:rPr>
                <w:rFonts w:ascii="Arial" w:hAnsi="Arial" w:cs="Arial"/>
                <w:sz w:val="18"/>
                <w:szCs w:val="18"/>
              </w:rPr>
              <w:t>uperior en</w:t>
            </w:r>
            <w:r w:rsidRPr="00946D37">
              <w:rPr>
                <w:rFonts w:ascii="Arial" w:hAnsi="Arial" w:cs="Arial"/>
                <w:sz w:val="18"/>
                <w:szCs w:val="18"/>
              </w:rPr>
              <w:t xml:space="preserve"> sesión N° 23-2022 celebrada el día 15 de marzo de 2022, artículo LV</w:t>
            </w:r>
          </w:p>
        </w:tc>
      </w:tr>
      <w:tr w:rsidR="00ED1F6F" w:rsidRPr="00946D37" w14:paraId="06D56B7B" w14:textId="77777777" w:rsidTr="00C07559">
        <w:tc>
          <w:tcPr>
            <w:tcW w:w="1239" w:type="dxa"/>
          </w:tcPr>
          <w:p w14:paraId="3F7885C7" w14:textId="77777777" w:rsidR="00ED1F6F" w:rsidRPr="00946D37" w:rsidRDefault="00ED1F6F" w:rsidP="00ED1F6F">
            <w:pPr>
              <w:suppressAutoHyphens/>
              <w:contextualSpacing/>
              <w:jc w:val="both"/>
              <w:rPr>
                <w:rFonts w:ascii="Arial" w:hAnsi="Arial" w:cs="Arial"/>
                <w:sz w:val="18"/>
                <w:szCs w:val="18"/>
              </w:rPr>
            </w:pPr>
            <w:r w:rsidRPr="009472BD">
              <w:rPr>
                <w:rFonts w:ascii="Arial" w:hAnsi="Arial" w:cs="Arial"/>
                <w:sz w:val="18"/>
                <w:szCs w:val="18"/>
              </w:rPr>
              <w:t>118-2022</w:t>
            </w:r>
          </w:p>
        </w:tc>
        <w:tc>
          <w:tcPr>
            <w:tcW w:w="1217" w:type="dxa"/>
          </w:tcPr>
          <w:p w14:paraId="0DB1084D" w14:textId="77777777" w:rsidR="00ED1F6F" w:rsidRPr="00946D37" w:rsidRDefault="00ED1F6F" w:rsidP="00ED1F6F">
            <w:pPr>
              <w:suppressAutoHyphens/>
              <w:contextualSpacing/>
              <w:jc w:val="both"/>
              <w:rPr>
                <w:rFonts w:ascii="Arial" w:hAnsi="Arial" w:cs="Arial"/>
                <w:sz w:val="18"/>
                <w:szCs w:val="18"/>
              </w:rPr>
            </w:pPr>
            <w:r w:rsidRPr="00946D37">
              <w:rPr>
                <w:rFonts w:ascii="Arial" w:hAnsi="Arial" w:cs="Arial"/>
                <w:sz w:val="18"/>
                <w:szCs w:val="18"/>
              </w:rPr>
              <w:t>29/07/2022</w:t>
            </w:r>
          </w:p>
        </w:tc>
        <w:tc>
          <w:tcPr>
            <w:tcW w:w="4050" w:type="dxa"/>
          </w:tcPr>
          <w:p w14:paraId="5B981FC1" w14:textId="77777777" w:rsidR="00ED1F6F" w:rsidRPr="00946D37" w:rsidRDefault="00ED1F6F" w:rsidP="00ED1F6F">
            <w:pPr>
              <w:suppressAutoHyphens/>
              <w:contextualSpacing/>
              <w:jc w:val="both"/>
              <w:rPr>
                <w:rFonts w:ascii="Arial" w:hAnsi="Arial" w:cs="Arial"/>
                <w:sz w:val="18"/>
                <w:szCs w:val="18"/>
              </w:rPr>
            </w:pPr>
            <w:r w:rsidRPr="00946D37">
              <w:rPr>
                <w:rFonts w:ascii="Arial" w:hAnsi="Arial" w:cs="Arial"/>
                <w:sz w:val="18"/>
                <w:szCs w:val="18"/>
              </w:rPr>
              <w:t>Giro a favor del Régimen no Contributivo de la Caja Costarricense de Seguro Social (RNC CCSS) de bienes (como es el caso de monedas y billetes), no asociados a causas judiciales</w:t>
            </w:r>
          </w:p>
        </w:tc>
        <w:tc>
          <w:tcPr>
            <w:tcW w:w="2816" w:type="dxa"/>
          </w:tcPr>
          <w:p w14:paraId="76070846" w14:textId="77777777" w:rsidR="00ED1F6F" w:rsidRPr="00946D37" w:rsidRDefault="00ED1F6F" w:rsidP="00ED1F6F">
            <w:pPr>
              <w:suppressAutoHyphens/>
              <w:contextualSpacing/>
              <w:jc w:val="both"/>
              <w:rPr>
                <w:rFonts w:ascii="Arial" w:hAnsi="Arial" w:cs="Arial"/>
                <w:sz w:val="18"/>
                <w:szCs w:val="18"/>
              </w:rPr>
            </w:pPr>
            <w:r w:rsidRPr="00946D37">
              <w:rPr>
                <w:rFonts w:ascii="Arial" w:hAnsi="Arial" w:cs="Arial"/>
                <w:sz w:val="18"/>
                <w:szCs w:val="18"/>
              </w:rPr>
              <w:t>Comunicado de la Dirección Ejecutiva respecto el acuerdo del Consejo Superior en la sesión N° 60-2020 celebrada el 18 de junio de 2020, artículo XXIII</w:t>
            </w:r>
          </w:p>
        </w:tc>
      </w:tr>
    </w:tbl>
    <w:p w14:paraId="4488FF83" w14:textId="77777777" w:rsidR="00ED1F6F" w:rsidRDefault="00ED1F6F" w:rsidP="00ED1F6F">
      <w:pPr>
        <w:contextualSpacing/>
        <w:jc w:val="both"/>
        <w:rPr>
          <w:rFonts w:ascii="Arial" w:hAnsi="Arial" w:cs="Arial"/>
          <w:sz w:val="22"/>
          <w:szCs w:val="22"/>
        </w:rPr>
      </w:pPr>
    </w:p>
    <w:p w14:paraId="56BF1669" w14:textId="77777777" w:rsidR="00ED1F6F" w:rsidRDefault="00ED1F6F" w:rsidP="00ED1F6F">
      <w:pPr>
        <w:contextualSpacing/>
        <w:jc w:val="both"/>
        <w:rPr>
          <w:rFonts w:ascii="Arial" w:hAnsi="Arial" w:cs="Arial"/>
          <w:sz w:val="22"/>
          <w:szCs w:val="22"/>
        </w:rPr>
      </w:pPr>
    </w:p>
    <w:tbl>
      <w:tblPr>
        <w:tblpPr w:leftFromText="141" w:rightFromText="141" w:vertAnchor="text" w:horzAnchor="margin" w:tblpXSpec="center" w:tblpY="5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217"/>
        <w:gridCol w:w="3908"/>
        <w:gridCol w:w="2977"/>
      </w:tblGrid>
      <w:tr w:rsidR="00ED1F6F" w:rsidRPr="00946D37" w14:paraId="3D36C5A2" w14:textId="77777777" w:rsidTr="00C07559">
        <w:tc>
          <w:tcPr>
            <w:tcW w:w="1362" w:type="dxa"/>
          </w:tcPr>
          <w:p w14:paraId="7BCBA178" w14:textId="77777777" w:rsidR="00ED1F6F" w:rsidRPr="009472BD" w:rsidRDefault="00ED1F6F" w:rsidP="00ED1F6F">
            <w:pPr>
              <w:suppressAutoHyphens/>
              <w:contextualSpacing/>
              <w:jc w:val="both"/>
              <w:rPr>
                <w:rFonts w:ascii="Arial" w:hAnsi="Arial" w:cs="Arial"/>
                <w:sz w:val="18"/>
                <w:szCs w:val="18"/>
              </w:rPr>
            </w:pPr>
            <w:r w:rsidRPr="009472BD">
              <w:rPr>
                <w:rFonts w:ascii="Arial" w:hAnsi="Arial" w:cs="Arial"/>
                <w:sz w:val="18"/>
                <w:szCs w:val="18"/>
              </w:rPr>
              <w:lastRenderedPageBreak/>
              <w:t>119 - 2022</w:t>
            </w:r>
          </w:p>
        </w:tc>
        <w:tc>
          <w:tcPr>
            <w:tcW w:w="1217" w:type="dxa"/>
          </w:tcPr>
          <w:p w14:paraId="4DFE64F1" w14:textId="77777777" w:rsidR="00ED1F6F" w:rsidRPr="00946D37" w:rsidRDefault="00ED1F6F" w:rsidP="00ED1F6F">
            <w:pPr>
              <w:suppressAutoHyphens/>
              <w:contextualSpacing/>
              <w:jc w:val="both"/>
              <w:rPr>
                <w:rFonts w:ascii="Arial" w:hAnsi="Arial" w:cs="Arial"/>
                <w:sz w:val="18"/>
                <w:szCs w:val="18"/>
              </w:rPr>
            </w:pPr>
            <w:r w:rsidRPr="00946D37">
              <w:rPr>
                <w:rFonts w:ascii="Arial" w:hAnsi="Arial" w:cs="Arial"/>
                <w:sz w:val="18"/>
                <w:szCs w:val="18"/>
              </w:rPr>
              <w:t>24/06/2022</w:t>
            </w:r>
          </w:p>
        </w:tc>
        <w:tc>
          <w:tcPr>
            <w:tcW w:w="3908" w:type="dxa"/>
          </w:tcPr>
          <w:p w14:paraId="33733E34" w14:textId="77777777" w:rsidR="00ED1F6F" w:rsidRPr="00946D37" w:rsidRDefault="00ED1F6F" w:rsidP="00ED1F6F">
            <w:pPr>
              <w:suppressAutoHyphens/>
              <w:contextualSpacing/>
              <w:jc w:val="both"/>
              <w:rPr>
                <w:rFonts w:ascii="Arial" w:hAnsi="Arial" w:cs="Arial"/>
                <w:sz w:val="18"/>
                <w:szCs w:val="18"/>
              </w:rPr>
            </w:pPr>
            <w:r w:rsidRPr="00946D37">
              <w:rPr>
                <w:rFonts w:ascii="Arial" w:hAnsi="Arial" w:cs="Arial"/>
                <w:sz w:val="18"/>
                <w:szCs w:val="18"/>
              </w:rPr>
              <w:t>Revisión periódica de la casilla “Traslado al Régimen No Contributivo” ubicada en el Sistema de Gestión de Depósitos Judiciales (SGDJ), para la oportuna autorización de los montos aprobados en el Sistema de Depósitos Judiciales (SDJ).</w:t>
            </w:r>
          </w:p>
        </w:tc>
        <w:tc>
          <w:tcPr>
            <w:tcW w:w="2977" w:type="dxa"/>
          </w:tcPr>
          <w:p w14:paraId="672623C2" w14:textId="77777777" w:rsidR="00ED1F6F" w:rsidRPr="00946D37" w:rsidRDefault="00ED1F6F" w:rsidP="00ED1F6F">
            <w:pPr>
              <w:suppressAutoHyphens/>
              <w:contextualSpacing/>
              <w:jc w:val="both"/>
              <w:rPr>
                <w:rFonts w:ascii="Arial" w:hAnsi="Arial" w:cs="Arial"/>
                <w:sz w:val="18"/>
                <w:szCs w:val="18"/>
              </w:rPr>
            </w:pPr>
            <w:r w:rsidRPr="00946D37">
              <w:rPr>
                <w:rFonts w:ascii="Arial" w:hAnsi="Arial" w:cs="Arial"/>
                <w:sz w:val="18"/>
                <w:szCs w:val="18"/>
              </w:rPr>
              <w:t xml:space="preserve">Comunicado de la Secretaría de la Corte </w:t>
            </w:r>
            <w:r w:rsidRPr="00946D37">
              <w:rPr>
                <w:rFonts w:ascii="Arial" w:hAnsi="Arial" w:cs="Arial"/>
                <w:color w:val="000000"/>
                <w:sz w:val="18"/>
                <w:szCs w:val="18"/>
                <w:shd w:val="clear" w:color="auto" w:fill="FFFFFF"/>
              </w:rPr>
              <w:t>conforme</w:t>
            </w:r>
            <w:r w:rsidRPr="00946D37">
              <w:rPr>
                <w:rFonts w:ascii="Arial" w:hAnsi="Arial" w:cs="Arial"/>
                <w:sz w:val="18"/>
                <w:szCs w:val="18"/>
              </w:rPr>
              <w:t xml:space="preserve"> al acuerdo Consejo Superior en sesión N° 48-2022 celebrada el 07 de junio de 2022, artículo XII</w:t>
            </w:r>
          </w:p>
        </w:tc>
      </w:tr>
      <w:tr w:rsidR="00ED1F6F" w:rsidRPr="00946D37" w14:paraId="302B9FE8" w14:textId="77777777" w:rsidTr="00C07559">
        <w:tc>
          <w:tcPr>
            <w:tcW w:w="1362" w:type="dxa"/>
          </w:tcPr>
          <w:p w14:paraId="7948B0DD" w14:textId="77777777" w:rsidR="00ED1F6F" w:rsidRPr="009472BD" w:rsidRDefault="00ED1F6F" w:rsidP="00C07559">
            <w:pPr>
              <w:suppressAutoHyphens/>
              <w:contextualSpacing/>
              <w:jc w:val="both"/>
              <w:rPr>
                <w:rFonts w:ascii="Arial" w:hAnsi="Arial" w:cs="Arial"/>
                <w:sz w:val="18"/>
                <w:szCs w:val="18"/>
              </w:rPr>
            </w:pPr>
            <w:r w:rsidRPr="009472BD">
              <w:rPr>
                <w:rFonts w:ascii="Arial" w:hAnsi="Arial" w:cs="Arial"/>
                <w:sz w:val="18"/>
                <w:szCs w:val="18"/>
              </w:rPr>
              <w:t>125-2022</w:t>
            </w:r>
          </w:p>
        </w:tc>
        <w:tc>
          <w:tcPr>
            <w:tcW w:w="1217" w:type="dxa"/>
          </w:tcPr>
          <w:p w14:paraId="74B60664" w14:textId="77777777" w:rsidR="00ED1F6F" w:rsidRPr="00946D37" w:rsidRDefault="00ED1F6F" w:rsidP="00C07559">
            <w:pPr>
              <w:suppressAutoHyphens/>
              <w:contextualSpacing/>
              <w:jc w:val="both"/>
              <w:rPr>
                <w:rFonts w:ascii="Arial" w:hAnsi="Arial" w:cs="Arial"/>
                <w:sz w:val="18"/>
                <w:szCs w:val="18"/>
              </w:rPr>
            </w:pPr>
            <w:r w:rsidRPr="00946D37">
              <w:rPr>
                <w:rFonts w:ascii="Arial" w:hAnsi="Arial" w:cs="Arial"/>
                <w:sz w:val="18"/>
                <w:szCs w:val="18"/>
              </w:rPr>
              <w:t>24/08/2022</w:t>
            </w:r>
          </w:p>
        </w:tc>
        <w:tc>
          <w:tcPr>
            <w:tcW w:w="3908" w:type="dxa"/>
          </w:tcPr>
          <w:p w14:paraId="06203121" w14:textId="77777777" w:rsidR="00ED1F6F" w:rsidRPr="00946D37" w:rsidRDefault="00ED1F6F" w:rsidP="00C07559">
            <w:pPr>
              <w:suppressAutoHyphens/>
              <w:contextualSpacing/>
              <w:jc w:val="both"/>
              <w:rPr>
                <w:rFonts w:ascii="Arial" w:hAnsi="Arial" w:cs="Arial"/>
                <w:sz w:val="18"/>
                <w:szCs w:val="18"/>
              </w:rPr>
            </w:pPr>
            <w:r w:rsidRPr="00946D37">
              <w:rPr>
                <w:rFonts w:ascii="Arial" w:hAnsi="Arial" w:cs="Arial"/>
                <w:sz w:val="18"/>
                <w:szCs w:val="18"/>
              </w:rPr>
              <w:t>Giro a favor del Régimen no Contributivo de la Caja Costarricense de Seguro Social (RNC CCSS) de bienes (como es el caso de monedas y billetes), no asociados a causas judiciales</w:t>
            </w:r>
          </w:p>
        </w:tc>
        <w:tc>
          <w:tcPr>
            <w:tcW w:w="2977" w:type="dxa"/>
          </w:tcPr>
          <w:p w14:paraId="1C0969C6" w14:textId="77777777" w:rsidR="00ED1F6F" w:rsidRPr="00946D37" w:rsidRDefault="00ED1F6F" w:rsidP="00C07559">
            <w:pPr>
              <w:suppressAutoHyphens/>
              <w:contextualSpacing/>
              <w:jc w:val="both"/>
              <w:rPr>
                <w:rFonts w:ascii="Arial" w:hAnsi="Arial" w:cs="Arial"/>
                <w:sz w:val="18"/>
                <w:szCs w:val="18"/>
              </w:rPr>
            </w:pPr>
            <w:r w:rsidRPr="00946D37">
              <w:rPr>
                <w:rFonts w:ascii="Arial" w:hAnsi="Arial" w:cs="Arial"/>
                <w:sz w:val="18"/>
                <w:szCs w:val="18"/>
              </w:rPr>
              <w:t>Comunicado de la Dirección Ejecutiva respecto el acuerdo del Consejo Superior en la sesión N° 60-2020 celebrada el 18 de junio de 2020, artículo XXIII,</w:t>
            </w:r>
          </w:p>
        </w:tc>
      </w:tr>
      <w:tr w:rsidR="00ED1F6F" w:rsidRPr="00946D37" w14:paraId="1C2BD3F4" w14:textId="77777777" w:rsidTr="00C07559">
        <w:tc>
          <w:tcPr>
            <w:tcW w:w="1362" w:type="dxa"/>
          </w:tcPr>
          <w:p w14:paraId="14A24BFE" w14:textId="77777777" w:rsidR="00ED1F6F" w:rsidRPr="009472BD" w:rsidRDefault="00ED1F6F" w:rsidP="00C07559">
            <w:pPr>
              <w:suppressAutoHyphens/>
              <w:contextualSpacing/>
              <w:jc w:val="both"/>
              <w:rPr>
                <w:rFonts w:ascii="Arial" w:hAnsi="Arial" w:cs="Arial"/>
                <w:sz w:val="18"/>
                <w:szCs w:val="18"/>
              </w:rPr>
            </w:pPr>
            <w:r w:rsidRPr="009472BD">
              <w:rPr>
                <w:rFonts w:ascii="Arial" w:hAnsi="Arial" w:cs="Arial"/>
                <w:sz w:val="18"/>
                <w:szCs w:val="18"/>
              </w:rPr>
              <w:t>208-2024</w:t>
            </w:r>
          </w:p>
        </w:tc>
        <w:tc>
          <w:tcPr>
            <w:tcW w:w="1217" w:type="dxa"/>
          </w:tcPr>
          <w:p w14:paraId="314A1868" w14:textId="77777777" w:rsidR="00ED1F6F" w:rsidRPr="00946D37" w:rsidRDefault="00ED1F6F" w:rsidP="00C07559">
            <w:pPr>
              <w:suppressAutoHyphens/>
              <w:contextualSpacing/>
              <w:jc w:val="both"/>
              <w:rPr>
                <w:rFonts w:ascii="Arial" w:hAnsi="Arial" w:cs="Arial"/>
                <w:sz w:val="18"/>
                <w:szCs w:val="18"/>
              </w:rPr>
            </w:pPr>
            <w:r>
              <w:rPr>
                <w:rFonts w:ascii="Arial" w:hAnsi="Arial" w:cs="Arial"/>
                <w:sz w:val="18"/>
                <w:szCs w:val="18"/>
              </w:rPr>
              <w:t>28/10/2024</w:t>
            </w:r>
          </w:p>
        </w:tc>
        <w:tc>
          <w:tcPr>
            <w:tcW w:w="3908" w:type="dxa"/>
          </w:tcPr>
          <w:p w14:paraId="02970C0D" w14:textId="77777777" w:rsidR="00ED1F6F" w:rsidRPr="00946D37" w:rsidRDefault="00ED1F6F" w:rsidP="00C07559">
            <w:pPr>
              <w:suppressAutoHyphens/>
              <w:contextualSpacing/>
              <w:jc w:val="both"/>
              <w:rPr>
                <w:rFonts w:ascii="Arial" w:hAnsi="Arial" w:cs="Arial"/>
                <w:sz w:val="18"/>
                <w:szCs w:val="18"/>
              </w:rPr>
            </w:pPr>
            <w:r w:rsidRPr="00946D37">
              <w:rPr>
                <w:rFonts w:ascii="Arial" w:hAnsi="Arial" w:cs="Arial"/>
                <w:sz w:val="18"/>
                <w:szCs w:val="18"/>
              </w:rPr>
              <w:t>Proceso de depuración y traslado de recursos acreditados en los distintos expedientes judiciales correspondientes a procesos en abandono en custodia de las Administraciones Regionales.</w:t>
            </w:r>
          </w:p>
        </w:tc>
        <w:tc>
          <w:tcPr>
            <w:tcW w:w="2977" w:type="dxa"/>
          </w:tcPr>
          <w:p w14:paraId="77B60006" w14:textId="77777777" w:rsidR="00ED1F6F" w:rsidRPr="00946D37" w:rsidRDefault="00ED1F6F" w:rsidP="00C07559">
            <w:pPr>
              <w:suppressAutoHyphens/>
              <w:contextualSpacing/>
              <w:jc w:val="both"/>
              <w:rPr>
                <w:rFonts w:ascii="Arial" w:hAnsi="Arial" w:cs="Arial"/>
                <w:sz w:val="18"/>
                <w:szCs w:val="18"/>
              </w:rPr>
            </w:pPr>
            <w:r w:rsidRPr="00946D37">
              <w:rPr>
                <w:rFonts w:ascii="Arial" w:hAnsi="Arial" w:cs="Arial"/>
                <w:sz w:val="18"/>
                <w:szCs w:val="18"/>
              </w:rPr>
              <w:t>El Consejo Superior, en sesión N° 83-2024 celebrada el 17 de setiembre de 2024, artículo XVII, a solicitud de la Dirección Ejecutiva, dispuso hacer de conocimiento, que este Órgano en sesión N° 55-2022 celebrada el 30 de junio de 2022, artículo XV, autorizó el procedimiento de depuración de los expedientes de “Procesos Abandonados”</w:t>
            </w:r>
          </w:p>
        </w:tc>
      </w:tr>
      <w:tr w:rsidR="00ED1F6F" w:rsidRPr="00946D37" w14:paraId="086A3108" w14:textId="77777777" w:rsidTr="00C07559">
        <w:tc>
          <w:tcPr>
            <w:tcW w:w="1362" w:type="dxa"/>
          </w:tcPr>
          <w:p w14:paraId="586F0617" w14:textId="77777777" w:rsidR="00ED1F6F" w:rsidRPr="007C4036" w:rsidRDefault="00ED1F6F" w:rsidP="00C07559">
            <w:pPr>
              <w:suppressAutoHyphens/>
              <w:contextualSpacing/>
              <w:jc w:val="both"/>
              <w:rPr>
                <w:rFonts w:ascii="Arial" w:hAnsi="Arial" w:cs="Arial"/>
                <w:sz w:val="18"/>
                <w:szCs w:val="18"/>
                <w:highlight w:val="yellow"/>
              </w:rPr>
            </w:pPr>
            <w:r w:rsidRPr="009472BD">
              <w:rPr>
                <w:rFonts w:ascii="Arial" w:hAnsi="Arial" w:cs="Arial"/>
                <w:sz w:val="18"/>
                <w:szCs w:val="18"/>
              </w:rPr>
              <w:t>78-2025</w:t>
            </w:r>
          </w:p>
        </w:tc>
        <w:tc>
          <w:tcPr>
            <w:tcW w:w="1217" w:type="dxa"/>
          </w:tcPr>
          <w:p w14:paraId="36498104" w14:textId="77777777" w:rsidR="00ED1F6F" w:rsidRDefault="00ED1F6F" w:rsidP="00C07559">
            <w:pPr>
              <w:suppressAutoHyphens/>
              <w:contextualSpacing/>
              <w:jc w:val="both"/>
              <w:rPr>
                <w:rFonts w:ascii="Arial" w:hAnsi="Arial" w:cs="Arial"/>
                <w:sz w:val="18"/>
                <w:szCs w:val="18"/>
              </w:rPr>
            </w:pPr>
            <w:r w:rsidRPr="00946D37">
              <w:rPr>
                <w:rFonts w:ascii="Arial" w:hAnsi="Arial" w:cs="Arial"/>
                <w:sz w:val="18"/>
                <w:szCs w:val="18"/>
              </w:rPr>
              <w:t>30/05/2025</w:t>
            </w:r>
          </w:p>
        </w:tc>
        <w:tc>
          <w:tcPr>
            <w:tcW w:w="3908" w:type="dxa"/>
          </w:tcPr>
          <w:p w14:paraId="3CE73611" w14:textId="77777777" w:rsidR="00ED1F6F" w:rsidRPr="00946D37" w:rsidRDefault="00ED1F6F" w:rsidP="00C07559">
            <w:pPr>
              <w:suppressAutoHyphens/>
              <w:contextualSpacing/>
              <w:jc w:val="both"/>
              <w:rPr>
                <w:rFonts w:ascii="Arial" w:hAnsi="Arial" w:cs="Arial"/>
                <w:sz w:val="18"/>
                <w:szCs w:val="18"/>
              </w:rPr>
            </w:pPr>
            <w:r w:rsidRPr="00946D37">
              <w:rPr>
                <w:rFonts w:ascii="Arial" w:hAnsi="Arial" w:cs="Arial"/>
                <w:sz w:val="18"/>
                <w:szCs w:val="18"/>
              </w:rPr>
              <w:t>Proceso de depuración y traslado de recursos acreditados en los distintos expedientes judiciales correspondientes a procesos en abandono en custodia de las Administraciones Regionales</w:t>
            </w:r>
          </w:p>
        </w:tc>
        <w:tc>
          <w:tcPr>
            <w:tcW w:w="2977" w:type="dxa"/>
          </w:tcPr>
          <w:p w14:paraId="0D120C2F" w14:textId="77777777" w:rsidR="00ED1F6F" w:rsidRPr="00946D37" w:rsidRDefault="00ED1F6F" w:rsidP="00C07559">
            <w:pPr>
              <w:suppressAutoHyphens/>
              <w:contextualSpacing/>
              <w:jc w:val="both"/>
              <w:rPr>
                <w:rFonts w:ascii="Arial" w:hAnsi="Arial" w:cs="Arial"/>
                <w:sz w:val="18"/>
                <w:szCs w:val="18"/>
              </w:rPr>
            </w:pPr>
            <w:r w:rsidRPr="00946D37">
              <w:rPr>
                <w:rFonts w:ascii="Arial" w:hAnsi="Arial" w:cs="Arial"/>
                <w:sz w:val="18"/>
                <w:szCs w:val="18"/>
              </w:rPr>
              <w:t xml:space="preserve">Comunicado de la Secretaría de la Corte </w:t>
            </w:r>
            <w:r w:rsidRPr="00946D37">
              <w:rPr>
                <w:rFonts w:ascii="Arial" w:hAnsi="Arial" w:cs="Arial"/>
                <w:color w:val="000000"/>
                <w:sz w:val="18"/>
                <w:szCs w:val="18"/>
                <w:shd w:val="clear" w:color="auto" w:fill="FFFFFF"/>
              </w:rPr>
              <w:t>conforme</w:t>
            </w:r>
            <w:r w:rsidRPr="00946D37">
              <w:rPr>
                <w:rFonts w:ascii="Arial" w:hAnsi="Arial" w:cs="Arial"/>
                <w:sz w:val="18"/>
                <w:szCs w:val="18"/>
              </w:rPr>
              <w:t xml:space="preserve"> al acuerdo Consejo Superior en sesión </w:t>
            </w:r>
            <w:r>
              <w:rPr>
                <w:rFonts w:ascii="Arial" w:hAnsi="Arial" w:cs="Arial"/>
                <w:sz w:val="18"/>
                <w:szCs w:val="18"/>
              </w:rPr>
              <w:t>N°</w:t>
            </w:r>
            <w:r w:rsidRPr="00946D37">
              <w:rPr>
                <w:rFonts w:ascii="Arial" w:hAnsi="Arial" w:cs="Arial"/>
                <w:sz w:val="18"/>
                <w:szCs w:val="18"/>
              </w:rPr>
              <w:t xml:space="preserve"> 31-2025 celebrada el 22 abril de 2025, artículo XVIII </w:t>
            </w:r>
          </w:p>
        </w:tc>
      </w:tr>
      <w:tr w:rsidR="00ED1F6F" w:rsidRPr="00946D37" w14:paraId="3208E75D" w14:textId="77777777" w:rsidTr="00C07559">
        <w:tc>
          <w:tcPr>
            <w:tcW w:w="1362" w:type="dxa"/>
          </w:tcPr>
          <w:p w14:paraId="6CE7BE18" w14:textId="77777777" w:rsidR="00ED1F6F" w:rsidRPr="00946D37" w:rsidRDefault="00ED1F6F" w:rsidP="00C07559">
            <w:pPr>
              <w:suppressAutoHyphens/>
              <w:contextualSpacing/>
              <w:jc w:val="both"/>
              <w:rPr>
                <w:rFonts w:ascii="Arial" w:hAnsi="Arial" w:cs="Arial"/>
                <w:sz w:val="18"/>
                <w:szCs w:val="18"/>
              </w:rPr>
            </w:pPr>
            <w:r w:rsidRPr="009472BD">
              <w:rPr>
                <w:rFonts w:ascii="Arial" w:hAnsi="Arial" w:cs="Arial"/>
                <w:sz w:val="18"/>
                <w:szCs w:val="18"/>
              </w:rPr>
              <w:t>167-2025</w:t>
            </w:r>
          </w:p>
        </w:tc>
        <w:tc>
          <w:tcPr>
            <w:tcW w:w="1217" w:type="dxa"/>
          </w:tcPr>
          <w:p w14:paraId="117495C8" w14:textId="77777777" w:rsidR="00ED1F6F" w:rsidRPr="00946D37" w:rsidRDefault="00ED1F6F" w:rsidP="00C07559">
            <w:pPr>
              <w:suppressAutoHyphens/>
              <w:contextualSpacing/>
              <w:jc w:val="both"/>
              <w:rPr>
                <w:rFonts w:ascii="Arial" w:hAnsi="Arial" w:cs="Arial"/>
                <w:sz w:val="18"/>
                <w:szCs w:val="18"/>
              </w:rPr>
            </w:pPr>
            <w:r w:rsidRPr="00946D37">
              <w:rPr>
                <w:rFonts w:ascii="Arial" w:hAnsi="Arial" w:cs="Arial"/>
                <w:sz w:val="18"/>
                <w:szCs w:val="18"/>
              </w:rPr>
              <w:t>28/08/2025</w:t>
            </w:r>
          </w:p>
        </w:tc>
        <w:tc>
          <w:tcPr>
            <w:tcW w:w="3908" w:type="dxa"/>
          </w:tcPr>
          <w:p w14:paraId="40A2E542" w14:textId="77777777" w:rsidR="00ED1F6F" w:rsidRPr="00946D37" w:rsidRDefault="00ED1F6F" w:rsidP="00C07559">
            <w:pPr>
              <w:suppressAutoHyphens/>
              <w:contextualSpacing/>
              <w:jc w:val="both"/>
              <w:rPr>
                <w:rFonts w:ascii="Arial" w:hAnsi="Arial" w:cs="Arial"/>
                <w:sz w:val="18"/>
                <w:szCs w:val="18"/>
              </w:rPr>
            </w:pPr>
            <w:r w:rsidRPr="00946D37">
              <w:rPr>
                <w:rFonts w:ascii="Arial" w:hAnsi="Arial" w:cs="Arial"/>
                <w:sz w:val="18"/>
                <w:szCs w:val="18"/>
              </w:rPr>
              <w:t xml:space="preserve">Adición a la “Circular </w:t>
            </w:r>
            <w:proofErr w:type="spellStart"/>
            <w:r w:rsidRPr="00946D37">
              <w:rPr>
                <w:rFonts w:ascii="Arial" w:hAnsi="Arial" w:cs="Arial"/>
                <w:sz w:val="18"/>
                <w:szCs w:val="18"/>
              </w:rPr>
              <w:t>Nº</w:t>
            </w:r>
            <w:proofErr w:type="spellEnd"/>
            <w:r w:rsidRPr="00946D37">
              <w:rPr>
                <w:rFonts w:ascii="Arial" w:hAnsi="Arial" w:cs="Arial"/>
                <w:sz w:val="18"/>
                <w:szCs w:val="18"/>
              </w:rPr>
              <w:t xml:space="preserve"> 56-2019: Ley N° 9578, para trasladar al Régimen no Contributivo de la C.C.S.S (RNC) recursos que provengan de proceso judiciales concluidos o abandonados por 10 años o más”.   </w:t>
            </w:r>
          </w:p>
        </w:tc>
        <w:tc>
          <w:tcPr>
            <w:tcW w:w="2977" w:type="dxa"/>
          </w:tcPr>
          <w:p w14:paraId="4441F961" w14:textId="77777777" w:rsidR="00ED1F6F" w:rsidRPr="00946D37" w:rsidRDefault="00ED1F6F" w:rsidP="00C07559">
            <w:pPr>
              <w:suppressAutoHyphens/>
              <w:contextualSpacing/>
              <w:jc w:val="both"/>
              <w:rPr>
                <w:rFonts w:ascii="Arial" w:hAnsi="Arial" w:cs="Arial"/>
                <w:sz w:val="18"/>
                <w:szCs w:val="18"/>
              </w:rPr>
            </w:pPr>
            <w:r w:rsidRPr="00946D37">
              <w:rPr>
                <w:rFonts w:ascii="Arial" w:hAnsi="Arial" w:cs="Arial"/>
                <w:sz w:val="18"/>
                <w:szCs w:val="18"/>
              </w:rPr>
              <w:t xml:space="preserve">Comunicado de la Secretaría de la Corte </w:t>
            </w:r>
            <w:r w:rsidRPr="00946D37">
              <w:rPr>
                <w:rFonts w:ascii="Arial" w:hAnsi="Arial" w:cs="Arial"/>
                <w:color w:val="000000"/>
                <w:sz w:val="18"/>
                <w:szCs w:val="18"/>
                <w:shd w:val="clear" w:color="auto" w:fill="FFFFFF"/>
              </w:rPr>
              <w:t>conforme</w:t>
            </w:r>
            <w:r w:rsidRPr="00946D37">
              <w:rPr>
                <w:rFonts w:ascii="Arial" w:hAnsi="Arial" w:cs="Arial"/>
                <w:sz w:val="18"/>
                <w:szCs w:val="18"/>
              </w:rPr>
              <w:t xml:space="preserve"> al acuerdo Consejo Superior en sesión N° 26-2021 celebrada el 6 de abril de 2021, artículo XV</w:t>
            </w:r>
            <w:r>
              <w:rPr>
                <w:rFonts w:ascii="Arial" w:hAnsi="Arial" w:cs="Arial"/>
                <w:sz w:val="18"/>
                <w:szCs w:val="18"/>
              </w:rPr>
              <w:t>.</w:t>
            </w:r>
          </w:p>
        </w:tc>
      </w:tr>
    </w:tbl>
    <w:p w14:paraId="1AA0AE8F" w14:textId="77777777" w:rsidR="00E652A5" w:rsidRDefault="00E652A5" w:rsidP="00E652A5">
      <w:pPr>
        <w:spacing w:line="240" w:lineRule="auto"/>
        <w:contextualSpacing/>
        <w:jc w:val="both"/>
        <w:rPr>
          <w:rFonts w:ascii="Arial" w:hAnsi="Arial" w:cs="Arial"/>
          <w:sz w:val="22"/>
          <w:szCs w:val="22"/>
        </w:rPr>
      </w:pPr>
    </w:p>
    <w:p w14:paraId="21555A46" w14:textId="77777777" w:rsidR="00E652A5" w:rsidRDefault="00E652A5" w:rsidP="00E652A5">
      <w:pPr>
        <w:spacing w:line="240" w:lineRule="auto"/>
        <w:contextualSpacing/>
        <w:jc w:val="both"/>
        <w:rPr>
          <w:rFonts w:ascii="Arial" w:hAnsi="Arial" w:cs="Arial"/>
          <w:sz w:val="22"/>
          <w:szCs w:val="22"/>
        </w:rPr>
      </w:pPr>
      <w:r>
        <w:rPr>
          <w:rFonts w:ascii="Arial" w:hAnsi="Arial" w:cs="Arial"/>
          <w:sz w:val="22"/>
          <w:szCs w:val="22"/>
        </w:rPr>
        <w:t xml:space="preserve">Como se puede apreciar la mayoría de las circulares indicadas anteriormente corresponde a la reiteración de los procedimientos establecidos y otras se han generado </w:t>
      </w:r>
      <w:r w:rsidRPr="00C471F7">
        <w:rPr>
          <w:rFonts w:ascii="Arial" w:hAnsi="Arial" w:cs="Arial"/>
          <w:sz w:val="22"/>
          <w:szCs w:val="22"/>
        </w:rPr>
        <w:t>en respuesta a situaciones específicas</w:t>
      </w:r>
      <w:r>
        <w:rPr>
          <w:rFonts w:ascii="Arial" w:hAnsi="Arial" w:cs="Arial"/>
          <w:sz w:val="22"/>
          <w:szCs w:val="22"/>
        </w:rPr>
        <w:t xml:space="preserve"> como</w:t>
      </w:r>
      <w:r w:rsidRPr="00C471F7">
        <w:rPr>
          <w:rFonts w:ascii="Arial" w:hAnsi="Arial" w:cs="Arial"/>
          <w:sz w:val="22"/>
          <w:szCs w:val="22"/>
        </w:rPr>
        <w:t xml:space="preserve"> ajustes tecnológicos, criterios jurídicos y acuerdos del Consejo Superior</w:t>
      </w:r>
      <w:r>
        <w:rPr>
          <w:rFonts w:ascii="Arial" w:hAnsi="Arial" w:cs="Arial"/>
          <w:sz w:val="22"/>
          <w:szCs w:val="22"/>
        </w:rPr>
        <w:t>.</w:t>
      </w:r>
    </w:p>
    <w:p w14:paraId="6274FD5A" w14:textId="77777777" w:rsidR="00E652A5" w:rsidRDefault="00E652A5" w:rsidP="00E652A5">
      <w:pPr>
        <w:spacing w:line="240" w:lineRule="auto"/>
        <w:ind w:left="425"/>
        <w:contextualSpacing/>
        <w:jc w:val="both"/>
        <w:rPr>
          <w:rFonts w:ascii="Arial" w:hAnsi="Arial" w:cs="Arial"/>
          <w:sz w:val="22"/>
          <w:szCs w:val="22"/>
        </w:rPr>
      </w:pPr>
    </w:p>
    <w:p w14:paraId="3D28624D" w14:textId="77777777" w:rsidR="00E652A5" w:rsidRDefault="00E652A5" w:rsidP="00E652A5">
      <w:pPr>
        <w:spacing w:after="0" w:line="240" w:lineRule="auto"/>
        <w:contextualSpacing/>
        <w:jc w:val="both"/>
        <w:rPr>
          <w:rFonts w:ascii="Arial" w:hAnsi="Arial" w:cs="Arial"/>
          <w:sz w:val="22"/>
          <w:szCs w:val="22"/>
        </w:rPr>
      </w:pPr>
      <w:r w:rsidRPr="009F7DA2">
        <w:rPr>
          <w:rFonts w:ascii="Arial" w:hAnsi="Arial" w:cs="Arial"/>
          <w:sz w:val="22"/>
          <w:szCs w:val="22"/>
        </w:rPr>
        <w:t>Que</w:t>
      </w:r>
      <w:r>
        <w:rPr>
          <w:rFonts w:ascii="Arial" w:hAnsi="Arial" w:cs="Arial"/>
          <w:sz w:val="22"/>
          <w:szCs w:val="22"/>
        </w:rPr>
        <w:t xml:space="preserve"> es de considerar que, </w:t>
      </w:r>
      <w:r w:rsidRPr="009F7DA2">
        <w:rPr>
          <w:rFonts w:ascii="Arial" w:hAnsi="Arial" w:cs="Arial"/>
          <w:sz w:val="22"/>
          <w:szCs w:val="22"/>
        </w:rPr>
        <w:t xml:space="preserve">los dineros de procesos judiciales se encuentran </w:t>
      </w:r>
      <w:r w:rsidRPr="00C650A0">
        <w:rPr>
          <w:rFonts w:ascii="Arial" w:hAnsi="Arial" w:cs="Arial"/>
          <w:sz w:val="22"/>
          <w:szCs w:val="22"/>
          <w:u w:val="single"/>
        </w:rPr>
        <w:t>acreditados en los expedientes electrónicos del SDJ de cada una de las causas</w:t>
      </w:r>
      <w:r w:rsidRPr="009F7DA2">
        <w:rPr>
          <w:rFonts w:ascii="Arial" w:hAnsi="Arial" w:cs="Arial"/>
          <w:sz w:val="22"/>
          <w:szCs w:val="22"/>
        </w:rPr>
        <w:t xml:space="preserve">, sin embargo, antes de existir el SDJ estos dineros se mantenía en cuentas bancarias en colones por cada despacho y en dólares una a nivel nacional. Producto del traslado de los dineros de estas cuentas al SDJ, debido a diversas causas gran cantidad de depósitos se </w:t>
      </w:r>
      <w:r w:rsidRPr="00C650A0">
        <w:rPr>
          <w:rFonts w:ascii="Arial" w:hAnsi="Arial" w:cs="Arial"/>
          <w:sz w:val="22"/>
          <w:szCs w:val="22"/>
          <w:u w:val="single"/>
        </w:rPr>
        <w:t>trasladaron a cuentas bancarias denominadas “Procesos Abandonados”</w:t>
      </w:r>
      <w:r>
        <w:rPr>
          <w:rFonts w:ascii="Arial" w:hAnsi="Arial" w:cs="Arial"/>
          <w:sz w:val="22"/>
          <w:szCs w:val="22"/>
        </w:rPr>
        <w:t>,</w:t>
      </w:r>
      <w:r w:rsidRPr="009F7DA2">
        <w:rPr>
          <w:rFonts w:ascii="Arial" w:hAnsi="Arial" w:cs="Arial"/>
          <w:sz w:val="22"/>
          <w:szCs w:val="22"/>
        </w:rPr>
        <w:t xml:space="preserve"> las cuales fueron trasladadas </w:t>
      </w:r>
      <w:r>
        <w:rPr>
          <w:rFonts w:ascii="Arial" w:hAnsi="Arial" w:cs="Arial"/>
          <w:sz w:val="22"/>
          <w:szCs w:val="22"/>
        </w:rPr>
        <w:t>posteriormente y se mantienen en la actualidad en</w:t>
      </w:r>
      <w:r w:rsidRPr="009F7DA2">
        <w:rPr>
          <w:rFonts w:ascii="Arial" w:hAnsi="Arial" w:cs="Arial"/>
          <w:sz w:val="22"/>
          <w:szCs w:val="22"/>
        </w:rPr>
        <w:t xml:space="preserve"> expediente</w:t>
      </w:r>
      <w:r>
        <w:rPr>
          <w:rFonts w:ascii="Arial" w:hAnsi="Arial" w:cs="Arial"/>
          <w:sz w:val="22"/>
          <w:szCs w:val="22"/>
        </w:rPr>
        <w:t>s</w:t>
      </w:r>
      <w:r w:rsidRPr="009F7DA2">
        <w:rPr>
          <w:rFonts w:ascii="Arial" w:hAnsi="Arial" w:cs="Arial"/>
          <w:sz w:val="22"/>
          <w:szCs w:val="22"/>
        </w:rPr>
        <w:t xml:space="preserve"> electrónicos con el mismo nombre</w:t>
      </w:r>
      <w:r>
        <w:rPr>
          <w:rFonts w:ascii="Arial" w:hAnsi="Arial" w:cs="Arial"/>
          <w:sz w:val="22"/>
          <w:szCs w:val="22"/>
        </w:rPr>
        <w:t xml:space="preserve">. </w:t>
      </w:r>
    </w:p>
    <w:p w14:paraId="5150006F" w14:textId="77777777" w:rsidR="00E652A5" w:rsidRDefault="00E652A5" w:rsidP="00E652A5">
      <w:pPr>
        <w:spacing w:line="240" w:lineRule="auto"/>
        <w:ind w:left="425"/>
        <w:contextualSpacing/>
        <w:jc w:val="both"/>
        <w:rPr>
          <w:rFonts w:ascii="Arial" w:hAnsi="Arial" w:cs="Arial"/>
          <w:sz w:val="22"/>
          <w:szCs w:val="22"/>
        </w:rPr>
      </w:pPr>
    </w:p>
    <w:p w14:paraId="052D81B6" w14:textId="77777777" w:rsidR="00E652A5" w:rsidRPr="009F7DA2" w:rsidRDefault="00E652A5" w:rsidP="00E652A5">
      <w:pPr>
        <w:spacing w:line="240" w:lineRule="auto"/>
        <w:contextualSpacing/>
        <w:jc w:val="both"/>
        <w:rPr>
          <w:rFonts w:ascii="Arial" w:hAnsi="Arial" w:cs="Arial"/>
          <w:sz w:val="22"/>
          <w:szCs w:val="22"/>
        </w:rPr>
      </w:pPr>
      <w:r>
        <w:rPr>
          <w:rFonts w:ascii="Arial" w:hAnsi="Arial" w:cs="Arial"/>
          <w:sz w:val="22"/>
          <w:szCs w:val="22"/>
        </w:rPr>
        <w:t xml:space="preserve">Al respecto es de considerar que, los dineros que están acreditados en los expedientes de las causas son responsabilidad de los Despachos Judiciales, mientras que los dineros de Procesos Abandonados están siendo administrados por </w:t>
      </w:r>
      <w:r w:rsidRPr="009F7DA2">
        <w:rPr>
          <w:rFonts w:ascii="Arial" w:hAnsi="Arial" w:cs="Arial"/>
          <w:sz w:val="22"/>
          <w:szCs w:val="22"/>
        </w:rPr>
        <w:t xml:space="preserve">las áreas administrativas, sea el </w:t>
      </w:r>
      <w:r w:rsidRPr="009F7DA2">
        <w:rPr>
          <w:rFonts w:ascii="Arial" w:hAnsi="Arial" w:cs="Arial"/>
          <w:sz w:val="22"/>
          <w:szCs w:val="22"/>
        </w:rPr>
        <w:lastRenderedPageBreak/>
        <w:t xml:space="preserve">Departamento Financiero Contable o las Administraciones Regionales.  Por tanto, </w:t>
      </w:r>
      <w:r>
        <w:rPr>
          <w:rFonts w:ascii="Arial" w:hAnsi="Arial" w:cs="Arial"/>
          <w:sz w:val="22"/>
          <w:szCs w:val="22"/>
        </w:rPr>
        <w:t xml:space="preserve">estos últimos </w:t>
      </w:r>
      <w:r w:rsidRPr="009F7DA2">
        <w:rPr>
          <w:rFonts w:ascii="Arial" w:hAnsi="Arial" w:cs="Arial"/>
          <w:sz w:val="22"/>
          <w:szCs w:val="22"/>
        </w:rPr>
        <w:t>se giran conforme ordenan los Despachos Judiciales.</w:t>
      </w:r>
    </w:p>
    <w:p w14:paraId="3DD5DF5C" w14:textId="77777777" w:rsidR="00E652A5" w:rsidRDefault="00E652A5" w:rsidP="00E652A5">
      <w:pPr>
        <w:spacing w:after="0" w:line="240" w:lineRule="auto"/>
        <w:contextualSpacing/>
        <w:jc w:val="both"/>
        <w:rPr>
          <w:rFonts w:ascii="Arial" w:hAnsi="Arial" w:cs="Arial"/>
          <w:sz w:val="22"/>
          <w:szCs w:val="22"/>
        </w:rPr>
      </w:pPr>
    </w:p>
    <w:p w14:paraId="50E6A7C2" w14:textId="77777777" w:rsidR="00E652A5" w:rsidRPr="00A05B7F" w:rsidRDefault="00E652A5" w:rsidP="00E652A5">
      <w:pPr>
        <w:spacing w:after="0" w:line="240" w:lineRule="auto"/>
        <w:contextualSpacing/>
        <w:jc w:val="both"/>
        <w:rPr>
          <w:rFonts w:ascii="Arial" w:hAnsi="Arial" w:cs="Arial"/>
          <w:sz w:val="22"/>
          <w:szCs w:val="22"/>
        </w:rPr>
      </w:pPr>
      <w:r w:rsidRPr="00A05B7F">
        <w:rPr>
          <w:rFonts w:ascii="Arial" w:hAnsi="Arial" w:cs="Arial"/>
          <w:sz w:val="22"/>
          <w:szCs w:val="22"/>
        </w:rPr>
        <w:t>Que producto de lo que establece la ley 9578 se definieron los procedimientos para depurar y trasladar los dineros de procesos abandonados a las causas o al RNC, según lo que resuelvan los despachos judiciales responsables de la causa judicial relacionada a estos dineros, por lo que el Consejo Superior apr</w:t>
      </w:r>
      <w:r>
        <w:rPr>
          <w:rFonts w:ascii="Arial" w:hAnsi="Arial" w:cs="Arial"/>
          <w:sz w:val="22"/>
          <w:szCs w:val="22"/>
        </w:rPr>
        <w:t>o</w:t>
      </w:r>
      <w:r w:rsidRPr="00A05B7F">
        <w:rPr>
          <w:rFonts w:ascii="Arial" w:hAnsi="Arial" w:cs="Arial"/>
          <w:sz w:val="22"/>
          <w:szCs w:val="22"/>
        </w:rPr>
        <w:t>b</w:t>
      </w:r>
      <w:r>
        <w:rPr>
          <w:rFonts w:ascii="Arial" w:hAnsi="Arial" w:cs="Arial"/>
          <w:sz w:val="22"/>
          <w:szCs w:val="22"/>
        </w:rPr>
        <w:t>ó</w:t>
      </w:r>
      <w:r w:rsidRPr="00A05B7F">
        <w:rPr>
          <w:rFonts w:ascii="Arial" w:hAnsi="Arial" w:cs="Arial"/>
          <w:sz w:val="22"/>
          <w:szCs w:val="22"/>
        </w:rPr>
        <w:t xml:space="preserve"> los procedimientos y planes de trabajo, relacionados </w:t>
      </w:r>
      <w:r>
        <w:rPr>
          <w:rFonts w:ascii="Arial" w:hAnsi="Arial" w:cs="Arial"/>
          <w:sz w:val="22"/>
          <w:szCs w:val="22"/>
        </w:rPr>
        <w:t>a los dineros acreditados en los expedientes de Proceso en Abandono, los cuales se citan seguidamente</w:t>
      </w:r>
      <w:r w:rsidRPr="00A05B7F">
        <w:rPr>
          <w:rFonts w:ascii="Arial" w:hAnsi="Arial" w:cs="Arial"/>
          <w:sz w:val="22"/>
          <w:szCs w:val="22"/>
        </w:rPr>
        <w:t xml:space="preserve">: </w:t>
      </w:r>
    </w:p>
    <w:p w14:paraId="3BBEA76D" w14:textId="77777777" w:rsidR="00E652A5" w:rsidRPr="00A05B7F" w:rsidRDefault="00E652A5" w:rsidP="00E652A5">
      <w:pPr>
        <w:spacing w:line="240" w:lineRule="auto"/>
        <w:ind w:left="1440"/>
        <w:contextualSpacing/>
        <w:jc w:val="both"/>
        <w:rPr>
          <w:rFonts w:ascii="Arial" w:hAnsi="Arial" w:cs="Arial"/>
          <w:sz w:val="22"/>
          <w:szCs w:val="22"/>
        </w:rPr>
      </w:pPr>
    </w:p>
    <w:p w14:paraId="1C29D44C" w14:textId="77777777" w:rsidR="00E652A5" w:rsidRPr="00A05B7F" w:rsidRDefault="00E652A5" w:rsidP="00E652A5">
      <w:pPr>
        <w:numPr>
          <w:ilvl w:val="1"/>
          <w:numId w:val="1"/>
        </w:numPr>
        <w:spacing w:after="0" w:line="240" w:lineRule="auto"/>
        <w:ind w:left="709"/>
        <w:contextualSpacing/>
        <w:jc w:val="both"/>
        <w:rPr>
          <w:rFonts w:ascii="Arial" w:hAnsi="Arial" w:cs="Arial"/>
          <w:sz w:val="22"/>
          <w:szCs w:val="22"/>
        </w:rPr>
      </w:pPr>
      <w:r w:rsidRPr="00A05B7F">
        <w:rPr>
          <w:rFonts w:ascii="Arial" w:hAnsi="Arial" w:cs="Arial"/>
          <w:sz w:val="22"/>
          <w:szCs w:val="22"/>
        </w:rPr>
        <w:t>En sesión N°78-2021 de fecha 07 de setiembre de 2021, artículo XV, se aprueba el procedimiento para la depuración de dineros en moneda dólares que originalmente fueron depositados en la cuenta 156638-5 relacionados a procesos judiciales de los diferentes despachos judiciales del país y que posteriormente fueron acreditados en el expediente del SDJ a cargo del Departamento Financiero Contable denominado “Procesos Abandonados”</w:t>
      </w:r>
    </w:p>
    <w:p w14:paraId="0BC216F8" w14:textId="77777777" w:rsidR="00E652A5" w:rsidRPr="00A05B7F" w:rsidRDefault="00E652A5" w:rsidP="00E652A5">
      <w:pPr>
        <w:spacing w:line="240" w:lineRule="auto"/>
        <w:ind w:left="709"/>
        <w:contextualSpacing/>
        <w:jc w:val="both"/>
        <w:rPr>
          <w:rFonts w:ascii="Arial" w:hAnsi="Arial" w:cs="Arial"/>
          <w:sz w:val="22"/>
          <w:szCs w:val="22"/>
        </w:rPr>
      </w:pPr>
    </w:p>
    <w:p w14:paraId="2FF7D3C7" w14:textId="77777777" w:rsidR="00E652A5" w:rsidRPr="00A05B7F" w:rsidRDefault="00E652A5" w:rsidP="00E652A5">
      <w:pPr>
        <w:numPr>
          <w:ilvl w:val="1"/>
          <w:numId w:val="1"/>
        </w:numPr>
        <w:spacing w:after="0" w:line="240" w:lineRule="auto"/>
        <w:ind w:left="709"/>
        <w:contextualSpacing/>
        <w:jc w:val="both"/>
        <w:rPr>
          <w:rFonts w:ascii="Arial" w:hAnsi="Arial" w:cs="Arial"/>
          <w:sz w:val="22"/>
          <w:szCs w:val="22"/>
        </w:rPr>
      </w:pPr>
      <w:r w:rsidRPr="00A05B7F">
        <w:rPr>
          <w:rFonts w:ascii="Arial" w:hAnsi="Arial" w:cs="Arial"/>
          <w:sz w:val="22"/>
          <w:szCs w:val="22"/>
        </w:rPr>
        <w:t>En sesión N° 55-2022 de fecha 30 de junio de 2022 artículo XV, aprueba el procedimiento para la depuración de los dineros depositados en los expedientes de Procesos en Abandono de los diferentes circuitos del país, con sustento en el criterio de la Dirección Jurídica N° DJ-AJ-C-699-2021 de fecha 1° de diciembre de 2021.</w:t>
      </w:r>
    </w:p>
    <w:p w14:paraId="51844F29" w14:textId="77777777" w:rsidR="00E652A5" w:rsidRPr="00A05B7F" w:rsidRDefault="00E652A5" w:rsidP="00E652A5">
      <w:pPr>
        <w:spacing w:line="240" w:lineRule="auto"/>
        <w:ind w:left="709"/>
        <w:contextualSpacing/>
        <w:jc w:val="both"/>
        <w:rPr>
          <w:rFonts w:ascii="Arial" w:hAnsi="Arial" w:cs="Arial"/>
          <w:sz w:val="22"/>
          <w:szCs w:val="22"/>
        </w:rPr>
      </w:pPr>
    </w:p>
    <w:p w14:paraId="5BDDB7E0" w14:textId="77777777" w:rsidR="00E652A5" w:rsidRPr="00A05B7F" w:rsidRDefault="00E652A5" w:rsidP="00E652A5">
      <w:pPr>
        <w:numPr>
          <w:ilvl w:val="1"/>
          <w:numId w:val="1"/>
        </w:numPr>
        <w:spacing w:after="0" w:line="240" w:lineRule="auto"/>
        <w:ind w:left="709"/>
        <w:contextualSpacing/>
        <w:jc w:val="both"/>
        <w:rPr>
          <w:rFonts w:ascii="Arial" w:hAnsi="Arial" w:cs="Arial"/>
          <w:sz w:val="22"/>
          <w:szCs w:val="22"/>
        </w:rPr>
      </w:pPr>
      <w:r w:rsidRPr="00A05B7F">
        <w:rPr>
          <w:rFonts w:ascii="Arial" w:hAnsi="Arial" w:cs="Arial"/>
          <w:sz w:val="22"/>
          <w:szCs w:val="22"/>
        </w:rPr>
        <w:t>En sesión N° 26-2024 celebrada el 10 de abril del 2024, artículo XIV, se aprueba continuar con la depuración de dineros en moneda dólares contenidos en el expediente de Proceso</w:t>
      </w:r>
      <w:r>
        <w:rPr>
          <w:rFonts w:ascii="Arial" w:hAnsi="Arial" w:cs="Arial"/>
          <w:sz w:val="22"/>
          <w:szCs w:val="22"/>
        </w:rPr>
        <w:t>s</w:t>
      </w:r>
      <w:r w:rsidRPr="00A05B7F">
        <w:rPr>
          <w:rFonts w:ascii="Arial" w:hAnsi="Arial" w:cs="Arial"/>
          <w:sz w:val="22"/>
          <w:szCs w:val="22"/>
        </w:rPr>
        <w:t xml:space="preserve"> Abandonados de San José.</w:t>
      </w:r>
    </w:p>
    <w:p w14:paraId="63E4005D" w14:textId="77777777" w:rsidR="00E652A5" w:rsidRPr="00A05B7F" w:rsidRDefault="00E652A5" w:rsidP="00E652A5">
      <w:pPr>
        <w:pStyle w:val="Prrafodelista"/>
        <w:spacing w:line="240" w:lineRule="auto"/>
        <w:ind w:left="709"/>
        <w:rPr>
          <w:rFonts w:ascii="Arial" w:hAnsi="Arial" w:cs="Arial"/>
          <w:sz w:val="22"/>
          <w:szCs w:val="22"/>
        </w:rPr>
      </w:pPr>
    </w:p>
    <w:p w14:paraId="3CEED085" w14:textId="77777777" w:rsidR="00E652A5" w:rsidRPr="00A05B7F" w:rsidRDefault="00E652A5" w:rsidP="00E652A5">
      <w:pPr>
        <w:numPr>
          <w:ilvl w:val="1"/>
          <w:numId w:val="1"/>
        </w:numPr>
        <w:spacing w:after="0" w:line="240" w:lineRule="auto"/>
        <w:ind w:left="709"/>
        <w:contextualSpacing/>
        <w:jc w:val="both"/>
        <w:rPr>
          <w:rFonts w:ascii="Arial" w:hAnsi="Arial" w:cs="Arial"/>
          <w:sz w:val="22"/>
          <w:szCs w:val="22"/>
        </w:rPr>
      </w:pPr>
      <w:r w:rsidRPr="00A05B7F">
        <w:rPr>
          <w:rFonts w:ascii="Arial" w:hAnsi="Arial" w:cs="Arial"/>
          <w:sz w:val="22"/>
          <w:szCs w:val="22"/>
        </w:rPr>
        <w:t>En sesión N°</w:t>
      </w:r>
      <w:r>
        <w:rPr>
          <w:rFonts w:ascii="Arial" w:hAnsi="Arial" w:cs="Arial"/>
          <w:sz w:val="22"/>
          <w:szCs w:val="22"/>
        </w:rPr>
        <w:t xml:space="preserve"> </w:t>
      </w:r>
      <w:r w:rsidRPr="00A05B7F">
        <w:rPr>
          <w:rFonts w:ascii="Arial" w:hAnsi="Arial" w:cs="Arial"/>
          <w:sz w:val="22"/>
          <w:szCs w:val="22"/>
        </w:rPr>
        <w:t>83-2024 de fecha 17 de setiembre de 2024 artículo XVII reiteró a la Comisión de la Jurisdicción Civil que la determinación sobre el traslado al RNC de expedientes destruidos es un tema jurisdiccional, el cual deberá resolver cada despacho al amparo de lo establecido en la Ley 9578, lo anterior según lo acordado por este Consejo en las sesiones N° 63-2019 celebrada el 16 de julio de 2019, artículo XL y N° 81-2019 celebrada el 17 de setiembre de 2019, artículo XXVIII.</w:t>
      </w:r>
    </w:p>
    <w:p w14:paraId="30C244E6" w14:textId="77777777" w:rsidR="00E652A5" w:rsidRDefault="00E652A5" w:rsidP="00E652A5">
      <w:pPr>
        <w:spacing w:after="0" w:line="240" w:lineRule="auto"/>
        <w:ind w:left="709"/>
        <w:contextualSpacing/>
        <w:jc w:val="both"/>
        <w:rPr>
          <w:rFonts w:ascii="Arial" w:hAnsi="Arial" w:cs="Arial"/>
          <w:sz w:val="22"/>
          <w:szCs w:val="22"/>
        </w:rPr>
      </w:pPr>
    </w:p>
    <w:p w14:paraId="27DA0971" w14:textId="77777777" w:rsidR="00E652A5" w:rsidRPr="00A05B7F" w:rsidRDefault="00E652A5" w:rsidP="00E652A5">
      <w:pPr>
        <w:numPr>
          <w:ilvl w:val="1"/>
          <w:numId w:val="1"/>
        </w:numPr>
        <w:spacing w:after="0" w:line="240" w:lineRule="auto"/>
        <w:ind w:left="709"/>
        <w:contextualSpacing/>
        <w:jc w:val="both"/>
        <w:rPr>
          <w:rFonts w:ascii="Arial" w:hAnsi="Arial" w:cs="Arial"/>
          <w:sz w:val="22"/>
          <w:szCs w:val="22"/>
        </w:rPr>
      </w:pPr>
      <w:r w:rsidRPr="00A05B7F">
        <w:rPr>
          <w:rFonts w:ascii="Arial" w:hAnsi="Arial" w:cs="Arial"/>
          <w:sz w:val="22"/>
          <w:szCs w:val="22"/>
        </w:rPr>
        <w:t>En sesión N° 31-2025 de fecha 22 de abril de 2025 artículo XVIII, se ordenó que los despachos judiciales, cuando determinen que corresponde trasladar los recursos de los expedientes de Procesos Abandonados al expediente de la causa, en la solicitud de traslado adjunte la resolución u oficio con la que ese despacho indique la razón por la que procede dicho traslado y la persona o entidad a quien corresponde el giro de los recursos dinerarios y con esto evitar que los recursos permanezcan tiempo ociosos en los expedientes de las causas o que puedan correr riesgo de giros indebidos.</w:t>
      </w:r>
    </w:p>
    <w:p w14:paraId="72A8FE60" w14:textId="77777777" w:rsidR="00E652A5" w:rsidRPr="00A05B7F" w:rsidRDefault="00E652A5" w:rsidP="00E652A5">
      <w:pPr>
        <w:spacing w:line="240" w:lineRule="auto"/>
        <w:ind w:left="709"/>
        <w:contextualSpacing/>
        <w:jc w:val="both"/>
        <w:rPr>
          <w:rFonts w:ascii="Arial" w:hAnsi="Arial" w:cs="Arial"/>
          <w:sz w:val="22"/>
          <w:szCs w:val="22"/>
        </w:rPr>
      </w:pPr>
    </w:p>
    <w:p w14:paraId="5833B045" w14:textId="77777777" w:rsidR="00E652A5" w:rsidRDefault="00E652A5" w:rsidP="00E652A5">
      <w:pPr>
        <w:numPr>
          <w:ilvl w:val="1"/>
          <w:numId w:val="1"/>
        </w:numPr>
        <w:spacing w:after="0" w:line="240" w:lineRule="auto"/>
        <w:ind w:left="709"/>
        <w:contextualSpacing/>
        <w:jc w:val="both"/>
        <w:rPr>
          <w:rFonts w:ascii="Arial" w:hAnsi="Arial" w:cs="Arial"/>
          <w:sz w:val="22"/>
          <w:szCs w:val="22"/>
        </w:rPr>
      </w:pPr>
      <w:r w:rsidRPr="00A05B7F">
        <w:rPr>
          <w:rFonts w:ascii="Arial" w:hAnsi="Arial" w:cs="Arial"/>
          <w:sz w:val="22"/>
          <w:szCs w:val="22"/>
        </w:rPr>
        <w:t xml:space="preserve">En sesión N° 63-2025 celebrada el 17 de julio de 2025, artículo XXIII conoció informe de la Auditoría Judicial N° 795-45-IAC-SAEEC-2025 del 09 de julio de 2025 y ordenó a la Comisión de la Jurisdicción Civil, en coordinación con la Dirección Ejecutiva y el Departamento Financiero Contable definir un procedimiento para gestionar los depósitos con saldo de expedientes destruidos y establecer de esta manera lineamientos claros y uniformes que armonicen la aplicación de las circulares N°56-2019 y N°90-2019 de la Secretaría General de la Corte, Resolución </w:t>
      </w:r>
      <w:proofErr w:type="spellStart"/>
      <w:r w:rsidRPr="00A05B7F">
        <w:rPr>
          <w:rFonts w:ascii="Arial" w:hAnsi="Arial" w:cs="Arial"/>
          <w:sz w:val="22"/>
          <w:szCs w:val="22"/>
        </w:rPr>
        <w:t>Nº</w:t>
      </w:r>
      <w:proofErr w:type="spellEnd"/>
      <w:r w:rsidRPr="00A05B7F">
        <w:rPr>
          <w:rFonts w:ascii="Arial" w:hAnsi="Arial" w:cs="Arial"/>
          <w:sz w:val="22"/>
          <w:szCs w:val="22"/>
        </w:rPr>
        <w:t xml:space="preserve"> 09100-2025 de la Sala Constitucional y la Ley N°9578</w:t>
      </w:r>
      <w:r>
        <w:rPr>
          <w:rFonts w:ascii="Arial" w:hAnsi="Arial" w:cs="Arial"/>
          <w:sz w:val="22"/>
          <w:szCs w:val="22"/>
        </w:rPr>
        <w:t>.</w:t>
      </w:r>
    </w:p>
    <w:p w14:paraId="51FE2999" w14:textId="77777777" w:rsidR="00E652A5" w:rsidRDefault="00E652A5" w:rsidP="00E652A5">
      <w:pPr>
        <w:pStyle w:val="Prrafodelista"/>
        <w:spacing w:line="240" w:lineRule="auto"/>
        <w:ind w:left="709"/>
        <w:rPr>
          <w:rFonts w:ascii="Arial" w:hAnsi="Arial" w:cs="Arial"/>
          <w:sz w:val="22"/>
          <w:szCs w:val="22"/>
        </w:rPr>
      </w:pPr>
    </w:p>
    <w:p w14:paraId="1E8EA6F4" w14:textId="77777777" w:rsidR="00E652A5" w:rsidRPr="00A05B7F" w:rsidRDefault="00E652A5" w:rsidP="00E652A5">
      <w:pPr>
        <w:spacing w:line="240" w:lineRule="auto"/>
        <w:ind w:left="709"/>
        <w:contextualSpacing/>
        <w:jc w:val="both"/>
        <w:rPr>
          <w:rFonts w:ascii="Arial" w:hAnsi="Arial" w:cs="Arial"/>
          <w:sz w:val="22"/>
          <w:szCs w:val="22"/>
        </w:rPr>
      </w:pPr>
      <w:r>
        <w:rPr>
          <w:rFonts w:ascii="Arial" w:hAnsi="Arial" w:cs="Arial"/>
          <w:sz w:val="22"/>
          <w:szCs w:val="22"/>
        </w:rPr>
        <w:t>En atención de lo anterior,</w:t>
      </w:r>
      <w:r w:rsidRPr="00A05B7F">
        <w:rPr>
          <w:rFonts w:ascii="Arial" w:hAnsi="Arial" w:cs="Arial"/>
          <w:sz w:val="22"/>
          <w:szCs w:val="22"/>
        </w:rPr>
        <w:t xml:space="preserve"> se publicó la circular </w:t>
      </w:r>
      <w:r>
        <w:rPr>
          <w:rFonts w:ascii="Arial" w:hAnsi="Arial" w:cs="Arial"/>
          <w:sz w:val="22"/>
          <w:szCs w:val="22"/>
        </w:rPr>
        <w:t xml:space="preserve">N° </w:t>
      </w:r>
      <w:r w:rsidRPr="00A05B7F">
        <w:rPr>
          <w:rFonts w:ascii="Arial" w:hAnsi="Arial" w:cs="Arial"/>
          <w:sz w:val="22"/>
          <w:szCs w:val="22"/>
        </w:rPr>
        <w:t>167-2025 en la que se indica que, al ser un expediente destruido los dineros deben ser trasladados a dicho régimen, pese a no existir materialmente resolución alguna que le pusiera fin, ya que el “acta de eliminación” del expediente sigue el respectivo procedimiento para la destrucción de expedientes regulado por la Ley Orgánica del Poder Judicial, en su artículo 47 bis.</w:t>
      </w:r>
    </w:p>
    <w:p w14:paraId="61A7A658" w14:textId="77777777" w:rsidR="00E652A5" w:rsidRPr="00A05B7F" w:rsidRDefault="00E652A5" w:rsidP="00E652A5">
      <w:pPr>
        <w:pStyle w:val="Prrafodelista"/>
        <w:spacing w:line="240" w:lineRule="auto"/>
        <w:ind w:left="993"/>
        <w:rPr>
          <w:rFonts w:ascii="Arial" w:hAnsi="Arial" w:cs="Arial"/>
          <w:sz w:val="22"/>
          <w:szCs w:val="22"/>
        </w:rPr>
      </w:pPr>
    </w:p>
    <w:sectPr w:rsidR="00E652A5" w:rsidRPr="00A05B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E461A9"/>
    <w:multiLevelType w:val="hybridMultilevel"/>
    <w:tmpl w:val="34CA8D2E"/>
    <w:lvl w:ilvl="0" w:tplc="140A000F">
      <w:start w:val="1"/>
      <w:numFmt w:val="decimal"/>
      <w:lvlText w:val="%1."/>
      <w:lvlJc w:val="left"/>
      <w:pPr>
        <w:ind w:left="720" w:hanging="360"/>
      </w:pPr>
      <w:rPr>
        <w:rFonts w:hint="default"/>
      </w:rPr>
    </w:lvl>
    <w:lvl w:ilvl="1" w:tplc="140A000D">
      <w:start w:val="1"/>
      <w:numFmt w:val="bullet"/>
      <w:lvlText w:val=""/>
      <w:lvlJc w:val="left"/>
      <w:pPr>
        <w:ind w:left="1440" w:hanging="360"/>
      </w:pPr>
      <w:rPr>
        <w:rFonts w:ascii="Wingdings" w:hAnsi="Wingdings"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724763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F6F"/>
    <w:rsid w:val="00143F01"/>
    <w:rsid w:val="00166660"/>
    <w:rsid w:val="00461559"/>
    <w:rsid w:val="004E602B"/>
    <w:rsid w:val="006E4A40"/>
    <w:rsid w:val="0089774F"/>
    <w:rsid w:val="00983912"/>
    <w:rsid w:val="00987FBD"/>
    <w:rsid w:val="00BF6D54"/>
    <w:rsid w:val="00D17F09"/>
    <w:rsid w:val="00E652A5"/>
    <w:rsid w:val="00ED1F6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2B0B0"/>
  <w15:chartTrackingRefBased/>
  <w15:docId w15:val="{EB269099-0EB7-4022-B623-122441E7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D1F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D1F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D1F6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D1F6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D1F6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D1F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D1F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D1F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D1F6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1F6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D1F6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D1F6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D1F6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D1F6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D1F6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D1F6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D1F6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D1F6F"/>
    <w:rPr>
      <w:rFonts w:eastAsiaTheme="majorEastAsia" w:cstheme="majorBidi"/>
      <w:color w:val="272727" w:themeColor="text1" w:themeTint="D8"/>
    </w:rPr>
  </w:style>
  <w:style w:type="paragraph" w:styleId="Ttulo">
    <w:name w:val="Title"/>
    <w:basedOn w:val="Normal"/>
    <w:next w:val="Normal"/>
    <w:link w:val="TtuloCar"/>
    <w:uiPriority w:val="10"/>
    <w:qFormat/>
    <w:rsid w:val="00ED1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D1F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D1F6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D1F6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D1F6F"/>
    <w:pPr>
      <w:spacing w:before="160"/>
      <w:jc w:val="center"/>
    </w:pPr>
    <w:rPr>
      <w:i/>
      <w:iCs/>
      <w:color w:val="404040" w:themeColor="text1" w:themeTint="BF"/>
    </w:rPr>
  </w:style>
  <w:style w:type="character" w:customStyle="1" w:styleId="CitaCar">
    <w:name w:val="Cita Car"/>
    <w:basedOn w:val="Fuentedeprrafopredeter"/>
    <w:link w:val="Cita"/>
    <w:uiPriority w:val="29"/>
    <w:rsid w:val="00ED1F6F"/>
    <w:rPr>
      <w:i/>
      <w:iCs/>
      <w:color w:val="404040" w:themeColor="text1" w:themeTint="BF"/>
    </w:rPr>
  </w:style>
  <w:style w:type="paragraph" w:styleId="Prrafodelista">
    <w:name w:val="List Paragraph"/>
    <w:basedOn w:val="Normal"/>
    <w:uiPriority w:val="34"/>
    <w:qFormat/>
    <w:rsid w:val="00ED1F6F"/>
    <w:pPr>
      <w:ind w:left="720"/>
      <w:contextualSpacing/>
    </w:pPr>
  </w:style>
  <w:style w:type="character" w:styleId="nfasisintenso">
    <w:name w:val="Intense Emphasis"/>
    <w:basedOn w:val="Fuentedeprrafopredeter"/>
    <w:uiPriority w:val="21"/>
    <w:qFormat/>
    <w:rsid w:val="00ED1F6F"/>
    <w:rPr>
      <w:i/>
      <w:iCs/>
      <w:color w:val="0F4761" w:themeColor="accent1" w:themeShade="BF"/>
    </w:rPr>
  </w:style>
  <w:style w:type="paragraph" w:styleId="Citadestacada">
    <w:name w:val="Intense Quote"/>
    <w:basedOn w:val="Normal"/>
    <w:next w:val="Normal"/>
    <w:link w:val="CitadestacadaCar"/>
    <w:uiPriority w:val="30"/>
    <w:qFormat/>
    <w:rsid w:val="00ED1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D1F6F"/>
    <w:rPr>
      <w:i/>
      <w:iCs/>
      <w:color w:val="0F4761" w:themeColor="accent1" w:themeShade="BF"/>
    </w:rPr>
  </w:style>
  <w:style w:type="character" w:styleId="Referenciaintensa">
    <w:name w:val="Intense Reference"/>
    <w:basedOn w:val="Fuentedeprrafopredeter"/>
    <w:uiPriority w:val="32"/>
    <w:qFormat/>
    <w:rsid w:val="00ED1F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1884</Words>
  <Characters>10365</Characters>
  <Application>Microsoft Office Word</Application>
  <DocSecurity>4</DocSecurity>
  <Lines>86</Lines>
  <Paragraphs>24</Paragraphs>
  <ScaleCrop>false</ScaleCrop>
  <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López Ramírez (Jefa Subproceso de Ingresos)</dc:creator>
  <cp:keywords/>
  <dc:description/>
  <cp:lastModifiedBy>Indira Jiménez González (Autorizado/Secretaría General de la Corte)</cp:lastModifiedBy>
  <cp:revision>2</cp:revision>
  <dcterms:created xsi:type="dcterms:W3CDTF">2026-05-26T19:17:00Z</dcterms:created>
  <dcterms:modified xsi:type="dcterms:W3CDTF">2026-05-26T19:17:00Z</dcterms:modified>
</cp:coreProperties>
</file>