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072BB9" w14:textId="410DDE07" w:rsidR="008E6220" w:rsidRPr="00912958" w:rsidRDefault="00285A32" w:rsidP="00E15455">
      <w:pPr>
        <w:suppressAutoHyphens w:val="0"/>
        <w:jc w:val="center"/>
        <w:textAlignment w:val="baseline"/>
        <w:rPr>
          <w:rFonts w:ascii="Arial Narrow" w:eastAsia="SimSun" w:hAnsi="Arial Narrow"/>
          <w:bCs/>
          <w:kern w:val="0"/>
          <w:lang w:eastAsia="zh-CN" w:bidi="hi-IN"/>
        </w:rPr>
      </w:pPr>
      <w:r w:rsidRPr="00912958">
        <w:rPr>
          <w:rFonts w:ascii="Arial Narrow" w:eastAsia="SimSun" w:hAnsi="Arial Narrow"/>
          <w:bCs/>
          <w:kern w:val="0"/>
          <w:lang w:eastAsia="zh-CN" w:bidi="hi-IN"/>
        </w:rPr>
        <w:t>CIRCULAR</w:t>
      </w:r>
      <w:r w:rsidR="00A63C5D" w:rsidRPr="00912958">
        <w:rPr>
          <w:rFonts w:ascii="Arial Narrow" w:eastAsia="SimSun" w:hAnsi="Arial Narrow"/>
          <w:bCs/>
          <w:kern w:val="0"/>
          <w:lang w:eastAsia="zh-CN" w:bidi="hi-IN"/>
        </w:rPr>
        <w:t xml:space="preserve"> </w:t>
      </w:r>
      <w:r w:rsidR="005E22E2" w:rsidRPr="00912958">
        <w:rPr>
          <w:rFonts w:ascii="Arial Narrow" w:eastAsia="SimSun" w:hAnsi="Arial Narrow"/>
          <w:bCs/>
          <w:kern w:val="0"/>
          <w:lang w:eastAsia="zh-CN" w:bidi="hi-IN"/>
        </w:rPr>
        <w:t>N</w:t>
      </w:r>
      <w:r w:rsidR="00267346" w:rsidRPr="00912958">
        <w:rPr>
          <w:rFonts w:ascii="Arial Narrow" w:eastAsia="SimSun" w:hAnsi="Arial Narrow"/>
          <w:bCs/>
          <w:kern w:val="0"/>
          <w:lang w:eastAsia="zh-CN" w:bidi="hi-IN"/>
        </w:rPr>
        <w:t>°</w:t>
      </w:r>
      <w:r w:rsidR="00753415" w:rsidRPr="00912958">
        <w:rPr>
          <w:rFonts w:ascii="Arial Narrow" w:eastAsia="SimSun" w:hAnsi="Arial Narrow"/>
          <w:bCs/>
          <w:kern w:val="0"/>
          <w:lang w:eastAsia="zh-CN" w:bidi="hi-IN"/>
        </w:rPr>
        <w:t>33</w:t>
      </w:r>
      <w:r w:rsidR="00AA63E2" w:rsidRPr="00912958">
        <w:rPr>
          <w:rFonts w:ascii="Arial Narrow" w:eastAsia="SimSun" w:hAnsi="Arial Narrow"/>
          <w:bCs/>
          <w:kern w:val="0"/>
          <w:lang w:eastAsia="zh-CN" w:bidi="hi-IN"/>
        </w:rPr>
        <w:t>-202</w:t>
      </w:r>
      <w:r w:rsidR="006C0A9F" w:rsidRPr="00912958">
        <w:rPr>
          <w:rFonts w:ascii="Arial Narrow" w:eastAsia="SimSun" w:hAnsi="Arial Narrow"/>
          <w:bCs/>
          <w:kern w:val="0"/>
          <w:lang w:eastAsia="zh-CN" w:bidi="hi-IN"/>
        </w:rPr>
        <w:t>6</w:t>
      </w:r>
    </w:p>
    <w:p w14:paraId="60F32560" w14:textId="77777777" w:rsidR="004F3186" w:rsidRPr="00912958" w:rsidRDefault="004F3186" w:rsidP="00876032">
      <w:pPr>
        <w:suppressAutoHyphens w:val="0"/>
        <w:ind w:firstLine="709"/>
        <w:jc w:val="both"/>
        <w:textAlignment w:val="baseline"/>
        <w:rPr>
          <w:rFonts w:ascii="Arial Narrow" w:eastAsia="SimSun" w:hAnsi="Arial Narrow"/>
          <w:bCs/>
          <w:kern w:val="0"/>
          <w:lang w:eastAsia="zh-CN" w:bidi="hi-IN"/>
        </w:rPr>
      </w:pPr>
    </w:p>
    <w:p w14:paraId="54055397" w14:textId="1EFDF624" w:rsidR="00FC415C" w:rsidRPr="00912958" w:rsidRDefault="003C0AEA" w:rsidP="00204BD1">
      <w:pPr>
        <w:autoSpaceDE w:val="0"/>
        <w:autoSpaceDN w:val="0"/>
        <w:adjustRightInd w:val="0"/>
        <w:ind w:firstLine="709"/>
        <w:jc w:val="both"/>
        <w:rPr>
          <w:rFonts w:ascii="Arial Narrow" w:hAnsi="Arial Narrow"/>
          <w:color w:val="000000" w:themeColor="text1"/>
        </w:rPr>
      </w:pPr>
      <w:r w:rsidRPr="00912958">
        <w:rPr>
          <w:rFonts w:ascii="Arial Narrow" w:hAnsi="Arial Narrow"/>
          <w:bCs/>
          <w:color w:val="000000" w:themeColor="text1"/>
        </w:rPr>
        <w:t>Asunto:</w:t>
      </w:r>
      <w:r w:rsidRPr="00912958">
        <w:rPr>
          <w:rFonts w:ascii="Arial Narrow" w:hAnsi="Arial Narrow"/>
          <w:color w:val="000000" w:themeColor="text1"/>
        </w:rPr>
        <w:t xml:space="preserve"> </w:t>
      </w:r>
      <w:r w:rsidR="00204BD1" w:rsidRPr="00912958">
        <w:rPr>
          <w:rFonts w:ascii="Arial Narrow" w:hAnsi="Arial Narrow"/>
          <w:color w:val="000000" w:themeColor="text1"/>
        </w:rPr>
        <w:t>Actualización de la circular 230-2022, sobre los lineamientos sobre resoluciones que llevan número de voto en materia civil y de cobro judicial y que deben de contabilizarse en la respectiva cuota de fallo de las personas juzgadoras de los despachos civiles y de cobro judicial; y, lineamientos sobre el procedimiento para el pase a fallo de los procesos.</w:t>
      </w:r>
    </w:p>
    <w:p w14:paraId="0703270E" w14:textId="77777777" w:rsidR="00204BD1" w:rsidRPr="00912958" w:rsidRDefault="00204BD1" w:rsidP="00204BD1">
      <w:pPr>
        <w:autoSpaceDE w:val="0"/>
        <w:autoSpaceDN w:val="0"/>
        <w:adjustRightInd w:val="0"/>
        <w:ind w:firstLine="709"/>
        <w:jc w:val="both"/>
        <w:rPr>
          <w:rFonts w:ascii="Arial Narrow" w:hAnsi="Arial Narrow"/>
          <w:bCs/>
        </w:rPr>
      </w:pPr>
    </w:p>
    <w:p w14:paraId="1C8E7206" w14:textId="55961537" w:rsidR="008C4C8C" w:rsidRPr="00912958" w:rsidRDefault="008C4C8C" w:rsidP="008C4C8C">
      <w:pPr>
        <w:ind w:left="851" w:right="851" w:firstLine="709"/>
        <w:jc w:val="center"/>
        <w:rPr>
          <w:rFonts w:ascii="Arial Narrow" w:hAnsi="Arial Narrow"/>
          <w:bCs/>
        </w:rPr>
      </w:pPr>
      <w:r w:rsidRPr="00912958">
        <w:rPr>
          <w:rFonts w:ascii="Arial Narrow" w:hAnsi="Arial Narrow"/>
          <w:bCs/>
        </w:rPr>
        <w:t>A TODOS LOS DESPACHOS Y OFICINAS JUDICIALES DEL PAÍS</w:t>
      </w:r>
      <w:r w:rsidR="003353DC" w:rsidRPr="00912958">
        <w:t xml:space="preserve"> </w:t>
      </w:r>
      <w:r w:rsidR="003353DC" w:rsidRPr="00912958">
        <w:rPr>
          <w:rFonts w:ascii="Arial Narrow" w:hAnsi="Arial Narrow"/>
          <w:bCs/>
        </w:rPr>
        <w:t>QUE CONOCEN MATERIA CIVIL Y DE COBRO JUDICIAL</w:t>
      </w:r>
    </w:p>
    <w:p w14:paraId="493F5F26" w14:textId="77777777" w:rsidR="008C4C8C" w:rsidRPr="00912958" w:rsidRDefault="008C4C8C" w:rsidP="008C4C8C">
      <w:pPr>
        <w:ind w:left="851" w:right="851" w:firstLine="709"/>
        <w:jc w:val="center"/>
        <w:rPr>
          <w:rFonts w:ascii="Arial Narrow" w:hAnsi="Arial Narrow"/>
          <w:bCs/>
        </w:rPr>
      </w:pPr>
    </w:p>
    <w:p w14:paraId="33BE4271" w14:textId="1FB92214" w:rsidR="003C0AEA" w:rsidRPr="00912958" w:rsidRDefault="008C4C8C" w:rsidP="008C4C8C">
      <w:pPr>
        <w:ind w:left="851" w:right="851" w:firstLine="709"/>
        <w:jc w:val="center"/>
        <w:rPr>
          <w:rFonts w:ascii="Arial Narrow" w:hAnsi="Arial Narrow"/>
          <w:bCs/>
        </w:rPr>
      </w:pPr>
      <w:r w:rsidRPr="00912958">
        <w:rPr>
          <w:rFonts w:ascii="Arial Narrow" w:hAnsi="Arial Narrow"/>
          <w:bCs/>
        </w:rPr>
        <w:t>SE LES HACE SABER QUE:</w:t>
      </w:r>
    </w:p>
    <w:p w14:paraId="782E0840" w14:textId="77777777" w:rsidR="008C4C8C" w:rsidRPr="00912958" w:rsidRDefault="008C4C8C" w:rsidP="008C4C8C">
      <w:pPr>
        <w:ind w:left="851" w:right="851" w:firstLine="709"/>
        <w:jc w:val="center"/>
        <w:rPr>
          <w:rFonts w:ascii="Arial Narrow" w:hAnsi="Arial Narrow"/>
          <w:bCs/>
          <w:color w:val="000000" w:themeColor="text1"/>
        </w:rPr>
      </w:pPr>
    </w:p>
    <w:p w14:paraId="2B09EDEA" w14:textId="77777777" w:rsidR="00595043" w:rsidRPr="00912958" w:rsidRDefault="00804FEA" w:rsidP="00032B41">
      <w:pPr>
        <w:tabs>
          <w:tab w:val="left" w:pos="9072"/>
        </w:tabs>
        <w:suppressAutoHyphens w:val="0"/>
        <w:ind w:firstLine="709"/>
        <w:jc w:val="both"/>
        <w:rPr>
          <w:rFonts w:ascii="Arial Narrow" w:hAnsi="Arial Narrow"/>
        </w:rPr>
      </w:pPr>
      <w:r w:rsidRPr="00912958">
        <w:rPr>
          <w:rFonts w:ascii="Arial Narrow" w:hAnsi="Arial Narrow"/>
        </w:rPr>
        <w:t>El</w:t>
      </w:r>
      <w:r w:rsidR="001B77CE" w:rsidRPr="00912958">
        <w:rPr>
          <w:rFonts w:ascii="Arial Narrow" w:hAnsi="Arial Narrow"/>
        </w:rPr>
        <w:t xml:space="preserve"> Consejo Superior</w:t>
      </w:r>
      <w:r w:rsidR="007354EE" w:rsidRPr="00912958">
        <w:rPr>
          <w:rFonts w:ascii="Arial Narrow" w:hAnsi="Arial Narrow"/>
        </w:rPr>
        <w:t xml:space="preserve"> del Poder Judicial</w:t>
      </w:r>
      <w:r w:rsidR="001B77CE" w:rsidRPr="00912958">
        <w:rPr>
          <w:rFonts w:ascii="Arial Narrow" w:hAnsi="Arial Narrow"/>
        </w:rPr>
        <w:t>, e</w:t>
      </w:r>
      <w:r w:rsidR="003C0AEA" w:rsidRPr="00912958">
        <w:rPr>
          <w:rFonts w:ascii="Arial Narrow" w:eastAsia="Calibri" w:hAnsi="Arial Narrow"/>
          <w:color w:val="000000" w:themeColor="text1"/>
        </w:rPr>
        <w:t xml:space="preserve">n sesión </w:t>
      </w:r>
      <w:r w:rsidR="00080124" w:rsidRPr="00912958">
        <w:rPr>
          <w:rFonts w:ascii="Arial Narrow" w:eastAsia="Calibri" w:hAnsi="Arial Narrow"/>
          <w:color w:val="000000" w:themeColor="text1"/>
        </w:rPr>
        <w:t>N°13-2026 celebrada el 17 de febrero de 2026</w:t>
      </w:r>
      <w:r w:rsidR="003C0AEA" w:rsidRPr="00912958">
        <w:rPr>
          <w:rFonts w:ascii="Arial Narrow" w:hAnsi="Arial Narrow"/>
        </w:rPr>
        <w:t xml:space="preserve">, artículo </w:t>
      </w:r>
      <w:r w:rsidR="009D59E6" w:rsidRPr="00912958">
        <w:rPr>
          <w:rFonts w:ascii="Arial Narrow" w:hAnsi="Arial Narrow"/>
        </w:rPr>
        <w:t>XXXIII</w:t>
      </w:r>
      <w:r w:rsidR="003C0AEA" w:rsidRPr="00912958">
        <w:rPr>
          <w:rFonts w:ascii="Arial Narrow" w:hAnsi="Arial Narrow"/>
        </w:rPr>
        <w:t>,</w:t>
      </w:r>
      <w:r w:rsidR="00187F98" w:rsidRPr="00912958">
        <w:rPr>
          <w:rFonts w:ascii="Arial Narrow" w:hAnsi="Arial Narrow"/>
        </w:rPr>
        <w:t xml:space="preserve"> </w:t>
      </w:r>
      <w:r w:rsidR="00595043" w:rsidRPr="00912958">
        <w:rPr>
          <w:rFonts w:ascii="Arial Narrow" w:hAnsi="Arial Narrow"/>
        </w:rPr>
        <w:t>dispuso actualizar la circular número 230-2022, sobre las tareas de pase a fallo que aplican para las oficinas de Cobro Judicial como parte del estándar de tareas y ubicaciones aprobadas en el mismo acuerdo, las cuales se detallan a continuación:</w:t>
      </w:r>
    </w:p>
    <w:p w14:paraId="0860812A" w14:textId="77777777" w:rsidR="00595043" w:rsidRPr="00912958" w:rsidRDefault="00595043" w:rsidP="00032B41">
      <w:pPr>
        <w:tabs>
          <w:tab w:val="left" w:pos="9072"/>
        </w:tabs>
        <w:suppressAutoHyphens w:val="0"/>
        <w:ind w:firstLine="709"/>
        <w:jc w:val="both"/>
        <w:rPr>
          <w:rFonts w:ascii="Arial Narrow" w:hAnsi="Arial Narrow"/>
          <w:sz w:val="22"/>
          <w:szCs w:val="22"/>
        </w:rPr>
      </w:pPr>
    </w:p>
    <w:p w14:paraId="56973804" w14:textId="77777777" w:rsidR="00595043" w:rsidRPr="00912958" w:rsidRDefault="00595043" w:rsidP="00032B41">
      <w:pPr>
        <w:tabs>
          <w:tab w:val="left" w:pos="9072"/>
        </w:tabs>
        <w:suppressAutoHyphens w:val="0"/>
        <w:ind w:firstLine="709"/>
        <w:jc w:val="both"/>
        <w:rPr>
          <w:rFonts w:ascii="Arial Narrow" w:hAnsi="Arial Narrow"/>
          <w:sz w:val="22"/>
          <w:szCs w:val="22"/>
        </w:rPr>
      </w:pPr>
    </w:p>
    <w:tbl>
      <w:tblPr>
        <w:tblStyle w:val="Tablaconcuadrcula"/>
        <w:tblW w:w="0" w:type="auto"/>
        <w:tblLook w:val="04A0" w:firstRow="1" w:lastRow="0" w:firstColumn="1" w:lastColumn="0" w:noHBand="0" w:noVBand="1"/>
      </w:tblPr>
      <w:tblGrid>
        <w:gridCol w:w="840"/>
        <w:gridCol w:w="6798"/>
        <w:gridCol w:w="1190"/>
      </w:tblGrid>
      <w:tr w:rsidR="00A07DFF" w:rsidRPr="00912958" w14:paraId="394C5E94" w14:textId="77777777" w:rsidTr="00A07DFF">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7DE67" w14:textId="77777777" w:rsidR="00A07DFF" w:rsidRPr="00912958" w:rsidRDefault="00A07DFF" w:rsidP="00A772A7">
            <w:pPr>
              <w:spacing w:line="276" w:lineRule="auto"/>
              <w:jc w:val="center"/>
              <w:rPr>
                <w:rFonts w:ascii="Arial Narrow" w:hAnsi="Arial Narrow"/>
              </w:rPr>
            </w:pPr>
            <w:r w:rsidRPr="00912958">
              <w:rPr>
                <w:rFonts w:ascii="Arial Narrow" w:hAnsi="Arial Narrow"/>
              </w:rPr>
              <w:t>Código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C073D" w14:textId="77777777" w:rsidR="00A07DFF" w:rsidRPr="00912958" w:rsidRDefault="00A07DFF" w:rsidP="00A772A7">
            <w:pPr>
              <w:spacing w:line="276" w:lineRule="auto"/>
              <w:jc w:val="center"/>
              <w:rPr>
                <w:rFonts w:ascii="Arial Narrow" w:hAnsi="Arial Narrow"/>
              </w:rPr>
            </w:pPr>
            <w:r w:rsidRPr="00912958">
              <w:rPr>
                <w:rFonts w:ascii="Arial Narrow" w:hAnsi="Arial Narrow"/>
              </w:rPr>
              <w:t>Descripción de la tarea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E5F57" w14:textId="77777777" w:rsidR="00A07DFF" w:rsidRPr="00912958" w:rsidRDefault="00A07DFF" w:rsidP="00A772A7">
            <w:pPr>
              <w:spacing w:line="276" w:lineRule="auto"/>
              <w:jc w:val="center"/>
              <w:rPr>
                <w:rFonts w:ascii="Arial Narrow" w:hAnsi="Arial Narrow"/>
              </w:rPr>
            </w:pPr>
            <w:r w:rsidRPr="00912958">
              <w:rPr>
                <w:rFonts w:ascii="Arial Narrow" w:hAnsi="Arial Narrow"/>
              </w:rPr>
              <w:t>Plazo Horas</w:t>
            </w:r>
          </w:p>
        </w:tc>
      </w:tr>
      <w:tr w:rsidR="00A07DFF" w:rsidRPr="00912958" w14:paraId="24337A07"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41D522A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PF77</w:t>
            </w:r>
          </w:p>
        </w:tc>
        <w:tc>
          <w:tcPr>
            <w:tcW w:w="0" w:type="auto"/>
            <w:tcBorders>
              <w:top w:val="single" w:sz="4" w:space="0" w:color="auto"/>
              <w:left w:val="single" w:sz="4" w:space="0" w:color="auto"/>
              <w:bottom w:val="single" w:sz="4" w:space="0" w:color="auto"/>
              <w:right w:val="single" w:sz="4" w:space="0" w:color="auto"/>
            </w:tcBorders>
            <w:vAlign w:val="center"/>
          </w:tcPr>
          <w:p w14:paraId="289FB7DD"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Excepciones Procesales</w:t>
            </w:r>
          </w:p>
        </w:tc>
        <w:tc>
          <w:tcPr>
            <w:tcW w:w="0" w:type="auto"/>
            <w:tcBorders>
              <w:top w:val="single" w:sz="4" w:space="0" w:color="auto"/>
              <w:left w:val="single" w:sz="4" w:space="0" w:color="auto"/>
              <w:bottom w:val="single" w:sz="4" w:space="0" w:color="auto"/>
              <w:right w:val="single" w:sz="4" w:space="0" w:color="auto"/>
            </w:tcBorders>
            <w:vAlign w:val="center"/>
          </w:tcPr>
          <w:p w14:paraId="125D668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5B0F216C"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65DD135E"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PF78</w:t>
            </w:r>
          </w:p>
        </w:tc>
        <w:tc>
          <w:tcPr>
            <w:tcW w:w="0" w:type="auto"/>
            <w:tcBorders>
              <w:top w:val="single" w:sz="4" w:space="0" w:color="auto"/>
              <w:left w:val="single" w:sz="4" w:space="0" w:color="auto"/>
              <w:bottom w:val="single" w:sz="4" w:space="0" w:color="auto"/>
              <w:right w:val="single" w:sz="4" w:space="0" w:color="auto"/>
            </w:tcBorders>
            <w:vAlign w:val="center"/>
          </w:tcPr>
          <w:p w14:paraId="6D3CD928"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Homologaciones</w:t>
            </w:r>
          </w:p>
        </w:tc>
        <w:tc>
          <w:tcPr>
            <w:tcW w:w="0" w:type="auto"/>
            <w:tcBorders>
              <w:top w:val="single" w:sz="4" w:space="0" w:color="auto"/>
              <w:left w:val="single" w:sz="4" w:space="0" w:color="auto"/>
              <w:bottom w:val="single" w:sz="4" w:space="0" w:color="auto"/>
              <w:right w:val="single" w:sz="4" w:space="0" w:color="auto"/>
            </w:tcBorders>
            <w:vAlign w:val="center"/>
          </w:tcPr>
          <w:p w14:paraId="5263D5D5"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0AE012AD"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6E820C4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PF79</w:t>
            </w:r>
          </w:p>
        </w:tc>
        <w:tc>
          <w:tcPr>
            <w:tcW w:w="0" w:type="auto"/>
            <w:tcBorders>
              <w:top w:val="single" w:sz="4" w:space="0" w:color="auto"/>
              <w:left w:val="single" w:sz="4" w:space="0" w:color="auto"/>
              <w:bottom w:val="single" w:sz="4" w:space="0" w:color="auto"/>
              <w:right w:val="single" w:sz="4" w:space="0" w:color="auto"/>
            </w:tcBorders>
            <w:vAlign w:val="center"/>
          </w:tcPr>
          <w:p w14:paraId="0E1E6DD8"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Demanda improponible</w:t>
            </w:r>
          </w:p>
        </w:tc>
        <w:tc>
          <w:tcPr>
            <w:tcW w:w="0" w:type="auto"/>
            <w:tcBorders>
              <w:top w:val="single" w:sz="4" w:space="0" w:color="auto"/>
              <w:left w:val="single" w:sz="4" w:space="0" w:color="auto"/>
              <w:bottom w:val="single" w:sz="4" w:space="0" w:color="auto"/>
              <w:right w:val="single" w:sz="4" w:space="0" w:color="auto"/>
            </w:tcBorders>
            <w:vAlign w:val="center"/>
          </w:tcPr>
          <w:p w14:paraId="4068ADCB"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360</w:t>
            </w:r>
          </w:p>
        </w:tc>
      </w:tr>
      <w:tr w:rsidR="00A07DFF" w:rsidRPr="00912958" w14:paraId="3D75DD7D"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513926B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PF80</w:t>
            </w:r>
          </w:p>
        </w:tc>
        <w:tc>
          <w:tcPr>
            <w:tcW w:w="0" w:type="auto"/>
            <w:tcBorders>
              <w:top w:val="single" w:sz="4" w:space="0" w:color="auto"/>
              <w:left w:val="single" w:sz="4" w:space="0" w:color="auto"/>
              <w:bottom w:val="single" w:sz="4" w:space="0" w:color="auto"/>
              <w:right w:val="single" w:sz="4" w:space="0" w:color="auto"/>
            </w:tcBorders>
            <w:vAlign w:val="center"/>
          </w:tcPr>
          <w:p w14:paraId="188F8A09"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Votos orales</w:t>
            </w:r>
          </w:p>
        </w:tc>
        <w:tc>
          <w:tcPr>
            <w:tcW w:w="0" w:type="auto"/>
            <w:tcBorders>
              <w:top w:val="single" w:sz="4" w:space="0" w:color="auto"/>
              <w:left w:val="single" w:sz="4" w:space="0" w:color="auto"/>
              <w:bottom w:val="single" w:sz="4" w:space="0" w:color="auto"/>
              <w:right w:val="single" w:sz="4" w:space="0" w:color="auto"/>
            </w:tcBorders>
            <w:vAlign w:val="center"/>
          </w:tcPr>
          <w:p w14:paraId="55AF344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24</w:t>
            </w:r>
          </w:p>
        </w:tc>
      </w:tr>
      <w:tr w:rsidR="00A07DFF" w:rsidRPr="00912958" w14:paraId="094596A7"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6DBEDFBF"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PF81</w:t>
            </w:r>
          </w:p>
        </w:tc>
        <w:tc>
          <w:tcPr>
            <w:tcW w:w="0" w:type="auto"/>
            <w:tcBorders>
              <w:top w:val="single" w:sz="4" w:space="0" w:color="auto"/>
              <w:left w:val="single" w:sz="4" w:space="0" w:color="auto"/>
              <w:bottom w:val="single" w:sz="4" w:space="0" w:color="auto"/>
              <w:right w:val="single" w:sz="4" w:space="0" w:color="auto"/>
            </w:tcBorders>
            <w:vAlign w:val="center"/>
          </w:tcPr>
          <w:p w14:paraId="4E9A8C56"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 xml:space="preserve">Exp. Listo para fallo - medidas cautelares </w:t>
            </w:r>
          </w:p>
        </w:tc>
        <w:tc>
          <w:tcPr>
            <w:tcW w:w="0" w:type="auto"/>
            <w:tcBorders>
              <w:top w:val="single" w:sz="4" w:space="0" w:color="auto"/>
              <w:left w:val="single" w:sz="4" w:space="0" w:color="auto"/>
              <w:bottom w:val="single" w:sz="4" w:space="0" w:color="auto"/>
              <w:right w:val="single" w:sz="4" w:space="0" w:color="auto"/>
            </w:tcBorders>
            <w:vAlign w:val="center"/>
          </w:tcPr>
          <w:p w14:paraId="1A069317"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0F3430EF"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4DB1281C"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PF82</w:t>
            </w:r>
          </w:p>
        </w:tc>
        <w:tc>
          <w:tcPr>
            <w:tcW w:w="0" w:type="auto"/>
            <w:tcBorders>
              <w:top w:val="single" w:sz="4" w:space="0" w:color="auto"/>
              <w:left w:val="single" w:sz="4" w:space="0" w:color="auto"/>
              <w:bottom w:val="single" w:sz="4" w:space="0" w:color="auto"/>
              <w:right w:val="single" w:sz="4" w:space="0" w:color="auto"/>
            </w:tcBorders>
            <w:vAlign w:val="center"/>
          </w:tcPr>
          <w:p w14:paraId="205C90CB"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sentencia escrita que provengan de audiencia previa</w:t>
            </w:r>
          </w:p>
        </w:tc>
        <w:tc>
          <w:tcPr>
            <w:tcW w:w="0" w:type="auto"/>
            <w:tcBorders>
              <w:top w:val="single" w:sz="4" w:space="0" w:color="auto"/>
              <w:left w:val="single" w:sz="4" w:space="0" w:color="auto"/>
              <w:bottom w:val="single" w:sz="4" w:space="0" w:color="auto"/>
              <w:right w:val="single" w:sz="4" w:space="0" w:color="auto"/>
            </w:tcBorders>
            <w:vAlign w:val="center"/>
          </w:tcPr>
          <w:p w14:paraId="1A2B6E53"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360</w:t>
            </w:r>
          </w:p>
        </w:tc>
      </w:tr>
      <w:tr w:rsidR="00A07DFF" w:rsidRPr="00912958" w14:paraId="2A32A5F9"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6045FEF0"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PF83</w:t>
            </w:r>
          </w:p>
        </w:tc>
        <w:tc>
          <w:tcPr>
            <w:tcW w:w="0" w:type="auto"/>
            <w:tcBorders>
              <w:top w:val="single" w:sz="4" w:space="0" w:color="auto"/>
              <w:left w:val="single" w:sz="4" w:space="0" w:color="auto"/>
              <w:bottom w:val="single" w:sz="4" w:space="0" w:color="auto"/>
              <w:right w:val="single" w:sz="4" w:space="0" w:color="auto"/>
            </w:tcBorders>
            <w:vAlign w:val="center"/>
          </w:tcPr>
          <w:p w14:paraId="78522D47"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sentencia que no proviene de audiencia</w:t>
            </w:r>
          </w:p>
        </w:tc>
        <w:tc>
          <w:tcPr>
            <w:tcW w:w="0" w:type="auto"/>
            <w:tcBorders>
              <w:top w:val="single" w:sz="4" w:space="0" w:color="auto"/>
              <w:left w:val="single" w:sz="4" w:space="0" w:color="auto"/>
              <w:bottom w:val="single" w:sz="4" w:space="0" w:color="auto"/>
              <w:right w:val="single" w:sz="4" w:space="0" w:color="auto"/>
            </w:tcBorders>
            <w:vAlign w:val="center"/>
          </w:tcPr>
          <w:p w14:paraId="039FF2CF"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360</w:t>
            </w:r>
          </w:p>
        </w:tc>
      </w:tr>
      <w:tr w:rsidR="00A07DFF" w:rsidRPr="00912958" w14:paraId="7AE69D0A"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741612D4"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PF84</w:t>
            </w:r>
          </w:p>
        </w:tc>
        <w:tc>
          <w:tcPr>
            <w:tcW w:w="0" w:type="auto"/>
            <w:tcBorders>
              <w:top w:val="single" w:sz="4" w:space="0" w:color="auto"/>
              <w:left w:val="single" w:sz="4" w:space="0" w:color="auto"/>
              <w:bottom w:val="single" w:sz="4" w:space="0" w:color="auto"/>
              <w:right w:val="single" w:sz="4" w:space="0" w:color="auto"/>
            </w:tcBorders>
            <w:vAlign w:val="center"/>
          </w:tcPr>
          <w:p w14:paraId="0DDD32E6"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Tercerías</w:t>
            </w:r>
          </w:p>
        </w:tc>
        <w:tc>
          <w:tcPr>
            <w:tcW w:w="0" w:type="auto"/>
            <w:tcBorders>
              <w:top w:val="single" w:sz="4" w:space="0" w:color="auto"/>
              <w:left w:val="single" w:sz="4" w:space="0" w:color="auto"/>
              <w:bottom w:val="single" w:sz="4" w:space="0" w:color="auto"/>
              <w:right w:val="single" w:sz="4" w:space="0" w:color="auto"/>
            </w:tcBorders>
            <w:vAlign w:val="center"/>
          </w:tcPr>
          <w:p w14:paraId="79F659F9"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18F11713"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7C2384EF"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PF85</w:t>
            </w:r>
          </w:p>
        </w:tc>
        <w:tc>
          <w:tcPr>
            <w:tcW w:w="0" w:type="auto"/>
            <w:tcBorders>
              <w:top w:val="single" w:sz="4" w:space="0" w:color="auto"/>
              <w:left w:val="single" w:sz="4" w:space="0" w:color="auto"/>
              <w:bottom w:val="single" w:sz="4" w:space="0" w:color="auto"/>
              <w:right w:val="single" w:sz="4" w:space="0" w:color="auto"/>
            </w:tcBorders>
            <w:vAlign w:val="center"/>
          </w:tcPr>
          <w:p w14:paraId="79AFD236"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Incidentes</w:t>
            </w:r>
          </w:p>
        </w:tc>
        <w:tc>
          <w:tcPr>
            <w:tcW w:w="0" w:type="auto"/>
            <w:tcBorders>
              <w:top w:val="single" w:sz="4" w:space="0" w:color="auto"/>
              <w:left w:val="single" w:sz="4" w:space="0" w:color="auto"/>
              <w:bottom w:val="single" w:sz="4" w:space="0" w:color="auto"/>
              <w:right w:val="single" w:sz="4" w:space="0" w:color="auto"/>
            </w:tcBorders>
            <w:vAlign w:val="center"/>
          </w:tcPr>
          <w:p w14:paraId="69205887"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3C040B56"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740EFA2F"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PF86</w:t>
            </w:r>
          </w:p>
        </w:tc>
        <w:tc>
          <w:tcPr>
            <w:tcW w:w="0" w:type="auto"/>
            <w:tcBorders>
              <w:top w:val="single" w:sz="4" w:space="0" w:color="auto"/>
              <w:left w:val="single" w:sz="4" w:space="0" w:color="auto"/>
              <w:bottom w:val="single" w:sz="4" w:space="0" w:color="auto"/>
              <w:right w:val="single" w:sz="4" w:space="0" w:color="auto"/>
            </w:tcBorders>
            <w:vAlign w:val="center"/>
          </w:tcPr>
          <w:p w14:paraId="7DA0C572"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liquidaciones con oposición</w:t>
            </w:r>
          </w:p>
        </w:tc>
        <w:tc>
          <w:tcPr>
            <w:tcW w:w="0" w:type="auto"/>
            <w:tcBorders>
              <w:top w:val="single" w:sz="4" w:space="0" w:color="auto"/>
              <w:left w:val="single" w:sz="4" w:space="0" w:color="auto"/>
              <w:bottom w:val="single" w:sz="4" w:space="0" w:color="auto"/>
              <w:right w:val="single" w:sz="4" w:space="0" w:color="auto"/>
            </w:tcBorders>
            <w:vAlign w:val="center"/>
          </w:tcPr>
          <w:p w14:paraId="1BC3A7AB"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1975D458"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0233AF46"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PF89</w:t>
            </w:r>
          </w:p>
        </w:tc>
        <w:tc>
          <w:tcPr>
            <w:tcW w:w="0" w:type="auto"/>
            <w:tcBorders>
              <w:top w:val="single" w:sz="4" w:space="0" w:color="auto"/>
              <w:left w:val="single" w:sz="4" w:space="0" w:color="auto"/>
              <w:bottom w:val="single" w:sz="4" w:space="0" w:color="auto"/>
              <w:right w:val="single" w:sz="4" w:space="0" w:color="auto"/>
            </w:tcBorders>
            <w:vAlign w:val="center"/>
          </w:tcPr>
          <w:p w14:paraId="13D7B96B"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Caducidad del proceso-resolución de fondo (con audiencia previa)</w:t>
            </w:r>
          </w:p>
        </w:tc>
        <w:tc>
          <w:tcPr>
            <w:tcW w:w="0" w:type="auto"/>
            <w:tcBorders>
              <w:top w:val="single" w:sz="4" w:space="0" w:color="auto"/>
              <w:left w:val="single" w:sz="4" w:space="0" w:color="auto"/>
              <w:bottom w:val="single" w:sz="4" w:space="0" w:color="auto"/>
              <w:right w:val="single" w:sz="4" w:space="0" w:color="auto"/>
            </w:tcBorders>
            <w:vAlign w:val="center"/>
          </w:tcPr>
          <w:p w14:paraId="55F0FF0F"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r w:rsidR="00A07DFF" w:rsidRPr="00912958" w14:paraId="3622DAA3" w14:textId="77777777" w:rsidTr="00A07DFF">
        <w:trPr>
          <w:trHeight w:hRule="exact" w:val="340"/>
        </w:trPr>
        <w:tc>
          <w:tcPr>
            <w:tcW w:w="0" w:type="auto"/>
            <w:tcBorders>
              <w:top w:val="single" w:sz="4" w:space="0" w:color="auto"/>
              <w:left w:val="single" w:sz="4" w:space="0" w:color="auto"/>
              <w:bottom w:val="single" w:sz="4" w:space="0" w:color="auto"/>
              <w:right w:val="single" w:sz="4" w:space="0" w:color="auto"/>
            </w:tcBorders>
            <w:vAlign w:val="center"/>
          </w:tcPr>
          <w:p w14:paraId="585FEB0A"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PF92</w:t>
            </w:r>
          </w:p>
        </w:tc>
        <w:tc>
          <w:tcPr>
            <w:tcW w:w="0" w:type="auto"/>
            <w:tcBorders>
              <w:top w:val="single" w:sz="4" w:space="0" w:color="auto"/>
              <w:left w:val="single" w:sz="4" w:space="0" w:color="auto"/>
              <w:bottom w:val="single" w:sz="4" w:space="0" w:color="auto"/>
              <w:right w:val="single" w:sz="4" w:space="0" w:color="auto"/>
            </w:tcBorders>
            <w:vAlign w:val="center"/>
          </w:tcPr>
          <w:p w14:paraId="72C8CBE0" w14:textId="77777777" w:rsidR="00A07DFF" w:rsidRPr="00912958" w:rsidRDefault="00A07DFF" w:rsidP="00A772A7">
            <w:pPr>
              <w:spacing w:line="276" w:lineRule="auto"/>
              <w:jc w:val="both"/>
              <w:rPr>
                <w:rFonts w:ascii="Arial Narrow" w:hAnsi="Arial Narrow" w:cs="Book Antiqua"/>
                <w:snapToGrid w:val="0"/>
              </w:rPr>
            </w:pPr>
            <w:r w:rsidRPr="00912958">
              <w:rPr>
                <w:rFonts w:ascii="Arial Narrow" w:hAnsi="Arial Narrow"/>
              </w:rPr>
              <w:t>Exp. Listo para fallo - Levantamiento de embargos sin tercería</w:t>
            </w:r>
          </w:p>
        </w:tc>
        <w:tc>
          <w:tcPr>
            <w:tcW w:w="0" w:type="auto"/>
            <w:tcBorders>
              <w:top w:val="single" w:sz="4" w:space="0" w:color="auto"/>
              <w:left w:val="single" w:sz="4" w:space="0" w:color="auto"/>
              <w:bottom w:val="single" w:sz="4" w:space="0" w:color="auto"/>
              <w:right w:val="single" w:sz="4" w:space="0" w:color="auto"/>
            </w:tcBorders>
            <w:vAlign w:val="center"/>
          </w:tcPr>
          <w:p w14:paraId="1C424A23" w14:textId="77777777" w:rsidR="00A07DFF" w:rsidRPr="00912958" w:rsidRDefault="00A07DFF" w:rsidP="00A772A7">
            <w:pPr>
              <w:spacing w:line="276" w:lineRule="auto"/>
              <w:jc w:val="center"/>
              <w:rPr>
                <w:rFonts w:ascii="Arial Narrow" w:hAnsi="Arial Narrow" w:cs="Book Antiqua"/>
                <w:snapToGrid w:val="0"/>
              </w:rPr>
            </w:pPr>
            <w:r w:rsidRPr="00912958">
              <w:rPr>
                <w:rFonts w:ascii="Arial Narrow" w:hAnsi="Arial Narrow"/>
              </w:rPr>
              <w:t>120</w:t>
            </w:r>
          </w:p>
        </w:tc>
      </w:tr>
    </w:tbl>
    <w:p w14:paraId="43369620" w14:textId="77777777" w:rsidR="005461FC" w:rsidRPr="00912958" w:rsidRDefault="005461FC" w:rsidP="002221D0">
      <w:pPr>
        <w:ind w:right="851"/>
        <w:rPr>
          <w:rFonts w:ascii="Arial Narrow" w:hAnsi="Arial Narrow"/>
          <w:sz w:val="22"/>
          <w:szCs w:val="22"/>
        </w:rPr>
      </w:pPr>
    </w:p>
    <w:p w14:paraId="0BB93CBE" w14:textId="4162A8B4" w:rsidR="005461FC" w:rsidRPr="00912958" w:rsidRDefault="005461FC" w:rsidP="005461FC">
      <w:pPr>
        <w:tabs>
          <w:tab w:val="left" w:pos="9072"/>
        </w:tabs>
        <w:suppressAutoHyphens w:val="0"/>
        <w:ind w:firstLine="709"/>
        <w:jc w:val="both"/>
        <w:rPr>
          <w:rFonts w:ascii="Arial Narrow" w:hAnsi="Arial Narrow"/>
        </w:rPr>
      </w:pPr>
      <w:r w:rsidRPr="00912958">
        <w:rPr>
          <w:rFonts w:ascii="Arial Narrow" w:hAnsi="Arial Narrow"/>
        </w:rPr>
        <w:t>La tarea de pase a fallo “Exp. Listo para fallo-Admisión de prueba” no forma parte del estandar de tareas y ubicaciones definido para las oficinas de Cobro Judicial. En su lugar, se sustituye por la tarea “Para valorar oposición y eventual admisión de prueba”, la cual no está vinculada al libro de pase a fallo electrónico. En consecuencia, se actualiza lo relativo con la resolución “Resolución sobre la admisibilidad de pruebas (escrito u oral)”.  En cuanto a la tarea “Oposición infundada”, esta se mantiene sin cambios, conforme a los establecido en la Circular 230-2022.</w:t>
      </w:r>
    </w:p>
    <w:p w14:paraId="3221682E" w14:textId="77777777" w:rsidR="008370E6" w:rsidRPr="00912958" w:rsidRDefault="008370E6" w:rsidP="005461FC">
      <w:pPr>
        <w:tabs>
          <w:tab w:val="left" w:pos="9072"/>
        </w:tabs>
        <w:suppressAutoHyphens w:val="0"/>
        <w:ind w:firstLine="709"/>
        <w:jc w:val="both"/>
        <w:rPr>
          <w:rFonts w:ascii="Arial Narrow" w:hAnsi="Arial Narrow"/>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1202"/>
        <w:gridCol w:w="776"/>
        <w:gridCol w:w="593"/>
        <w:gridCol w:w="1067"/>
        <w:gridCol w:w="921"/>
        <w:gridCol w:w="995"/>
        <w:gridCol w:w="1005"/>
        <w:gridCol w:w="1056"/>
      </w:tblGrid>
      <w:tr w:rsidR="008370E6" w:rsidRPr="00912958" w14:paraId="0C91A193" w14:textId="77777777" w:rsidTr="008370E6">
        <w:trPr>
          <w:trHeight w:val="1200"/>
        </w:trPr>
        <w:tc>
          <w:tcPr>
            <w:tcW w:w="0" w:type="auto"/>
            <w:shd w:val="clear" w:color="auto" w:fill="F2F2F2" w:themeFill="background1" w:themeFillShade="F2"/>
            <w:tcMar>
              <w:top w:w="0" w:type="dxa"/>
              <w:left w:w="70" w:type="dxa"/>
              <w:bottom w:w="0" w:type="dxa"/>
              <w:right w:w="70" w:type="dxa"/>
            </w:tcMar>
          </w:tcPr>
          <w:p w14:paraId="783A392E" w14:textId="77777777" w:rsidR="008370E6" w:rsidRPr="00912958" w:rsidRDefault="008370E6" w:rsidP="00A772A7">
            <w:pPr>
              <w:jc w:val="center"/>
              <w:rPr>
                <w:rFonts w:ascii="Arial Narrow" w:hAnsi="Arial Narrow"/>
              </w:rPr>
            </w:pPr>
            <w:r w:rsidRPr="00912958">
              <w:rPr>
                <w:rFonts w:ascii="Arial Narrow" w:hAnsi="Arial Narrow"/>
              </w:rPr>
              <w:t>Tipo de resolución</w:t>
            </w:r>
          </w:p>
        </w:tc>
        <w:tc>
          <w:tcPr>
            <w:tcW w:w="0" w:type="auto"/>
            <w:shd w:val="clear" w:color="auto" w:fill="F2F2F2" w:themeFill="background1" w:themeFillShade="F2"/>
            <w:tcMar>
              <w:top w:w="0" w:type="dxa"/>
              <w:left w:w="70" w:type="dxa"/>
              <w:bottom w:w="0" w:type="dxa"/>
              <w:right w:w="70" w:type="dxa"/>
            </w:tcMar>
          </w:tcPr>
          <w:p w14:paraId="6CB086BB" w14:textId="77777777" w:rsidR="008370E6" w:rsidRPr="00912958" w:rsidRDefault="008370E6" w:rsidP="00A772A7">
            <w:pPr>
              <w:jc w:val="center"/>
              <w:rPr>
                <w:rFonts w:ascii="Arial Narrow" w:hAnsi="Arial Narrow"/>
              </w:rPr>
            </w:pPr>
            <w:r w:rsidRPr="00912958">
              <w:rPr>
                <w:rFonts w:ascii="Arial Narrow" w:hAnsi="Arial Narrow"/>
              </w:rPr>
              <w:t>Resultado Jurídico de la Resolución</w:t>
            </w:r>
          </w:p>
        </w:tc>
        <w:tc>
          <w:tcPr>
            <w:tcW w:w="0" w:type="auto"/>
            <w:shd w:val="clear" w:color="auto" w:fill="F2F2F2" w:themeFill="background1" w:themeFillShade="F2"/>
            <w:tcMar>
              <w:top w:w="0" w:type="dxa"/>
              <w:left w:w="70" w:type="dxa"/>
              <w:bottom w:w="0" w:type="dxa"/>
              <w:right w:w="70" w:type="dxa"/>
            </w:tcMar>
          </w:tcPr>
          <w:p w14:paraId="4B2D98DD" w14:textId="77777777" w:rsidR="008370E6" w:rsidRPr="00912958" w:rsidRDefault="008370E6" w:rsidP="00A772A7">
            <w:pPr>
              <w:jc w:val="center"/>
              <w:rPr>
                <w:rFonts w:ascii="Arial Narrow" w:hAnsi="Arial Narrow"/>
              </w:rPr>
            </w:pPr>
            <w:r w:rsidRPr="00912958">
              <w:rPr>
                <w:rFonts w:ascii="Arial Narrow" w:hAnsi="Arial Narrow"/>
              </w:rPr>
              <w:t>¿Lleva número de voto?</w:t>
            </w:r>
          </w:p>
        </w:tc>
        <w:tc>
          <w:tcPr>
            <w:tcW w:w="0" w:type="auto"/>
            <w:shd w:val="clear" w:color="auto" w:fill="F2F2F2" w:themeFill="background1" w:themeFillShade="F2"/>
          </w:tcPr>
          <w:p w14:paraId="2F4E238A" w14:textId="77777777" w:rsidR="008370E6" w:rsidRPr="00912958" w:rsidRDefault="008370E6" w:rsidP="00A772A7">
            <w:pPr>
              <w:jc w:val="center"/>
              <w:rPr>
                <w:rFonts w:ascii="Arial Narrow" w:hAnsi="Arial Narrow"/>
              </w:rPr>
            </w:pPr>
            <w:r w:rsidRPr="00912958">
              <w:rPr>
                <w:rFonts w:ascii="Arial Narrow" w:hAnsi="Arial Narrow"/>
              </w:rPr>
              <w:t xml:space="preserve">¿Se incluye en el libro </w:t>
            </w:r>
            <w:r w:rsidRPr="00912958">
              <w:rPr>
                <w:rFonts w:ascii="Arial Narrow" w:hAnsi="Arial Narrow"/>
              </w:rPr>
              <w:lastRenderedPageBreak/>
              <w:t>de pase a fallo?</w:t>
            </w:r>
          </w:p>
        </w:tc>
        <w:tc>
          <w:tcPr>
            <w:tcW w:w="0" w:type="auto"/>
            <w:shd w:val="clear" w:color="auto" w:fill="F2F2F2" w:themeFill="background1" w:themeFillShade="F2"/>
            <w:tcMar>
              <w:top w:w="0" w:type="dxa"/>
              <w:left w:w="70" w:type="dxa"/>
              <w:bottom w:w="0" w:type="dxa"/>
              <w:right w:w="70" w:type="dxa"/>
            </w:tcMar>
          </w:tcPr>
          <w:p w14:paraId="63B62306" w14:textId="77777777" w:rsidR="008370E6" w:rsidRPr="00912958" w:rsidRDefault="008370E6" w:rsidP="00A772A7">
            <w:pPr>
              <w:jc w:val="center"/>
              <w:rPr>
                <w:rFonts w:ascii="Arial Narrow" w:hAnsi="Arial Narrow"/>
              </w:rPr>
            </w:pPr>
            <w:r w:rsidRPr="00912958">
              <w:rPr>
                <w:rFonts w:ascii="Arial Narrow" w:hAnsi="Arial Narrow"/>
              </w:rPr>
              <w:lastRenderedPageBreak/>
              <w:t xml:space="preserve">¿Cuenta en la cuota de fallo de la </w:t>
            </w:r>
            <w:r w:rsidRPr="00912958">
              <w:rPr>
                <w:rFonts w:ascii="Arial Narrow" w:hAnsi="Arial Narrow"/>
              </w:rPr>
              <w:lastRenderedPageBreak/>
              <w:t>persona juzgadora?</w:t>
            </w:r>
          </w:p>
        </w:tc>
        <w:tc>
          <w:tcPr>
            <w:tcW w:w="0" w:type="auto"/>
            <w:shd w:val="clear" w:color="auto" w:fill="F2F2F2" w:themeFill="background1" w:themeFillShade="F2"/>
            <w:tcMar>
              <w:top w:w="0" w:type="dxa"/>
              <w:left w:w="70" w:type="dxa"/>
              <w:bottom w:w="0" w:type="dxa"/>
              <w:right w:w="70" w:type="dxa"/>
            </w:tcMar>
          </w:tcPr>
          <w:p w14:paraId="5D6A785E" w14:textId="77777777" w:rsidR="008370E6" w:rsidRPr="00912958" w:rsidRDefault="008370E6" w:rsidP="00A772A7">
            <w:pPr>
              <w:jc w:val="center"/>
              <w:rPr>
                <w:rFonts w:ascii="Arial Narrow" w:hAnsi="Arial Narrow"/>
              </w:rPr>
            </w:pPr>
            <w:r w:rsidRPr="00912958">
              <w:rPr>
                <w:rFonts w:ascii="Arial Narrow" w:hAnsi="Arial Narrow"/>
              </w:rPr>
              <w:lastRenderedPageBreak/>
              <w:t>¿Lleva registro en el Escritori</w:t>
            </w:r>
            <w:r w:rsidRPr="00912958">
              <w:rPr>
                <w:rFonts w:ascii="Arial Narrow" w:hAnsi="Arial Narrow"/>
              </w:rPr>
              <w:lastRenderedPageBreak/>
              <w:t>o Virtual?</w:t>
            </w:r>
          </w:p>
        </w:tc>
        <w:tc>
          <w:tcPr>
            <w:tcW w:w="0" w:type="auto"/>
            <w:shd w:val="clear" w:color="auto" w:fill="F2F2F2" w:themeFill="background1" w:themeFillShade="F2"/>
            <w:tcMar>
              <w:top w:w="0" w:type="dxa"/>
              <w:left w:w="70" w:type="dxa"/>
              <w:bottom w:w="0" w:type="dxa"/>
              <w:right w:w="70" w:type="dxa"/>
            </w:tcMar>
          </w:tcPr>
          <w:p w14:paraId="58988A29" w14:textId="77777777" w:rsidR="008370E6" w:rsidRPr="00912958" w:rsidRDefault="008370E6" w:rsidP="00A772A7">
            <w:pPr>
              <w:jc w:val="center"/>
              <w:rPr>
                <w:rFonts w:ascii="Arial Narrow" w:hAnsi="Arial Narrow"/>
              </w:rPr>
            </w:pPr>
            <w:r w:rsidRPr="00912958">
              <w:rPr>
                <w:rFonts w:ascii="Arial Narrow" w:hAnsi="Arial Narrow"/>
              </w:rPr>
              <w:lastRenderedPageBreak/>
              <w:t xml:space="preserve">Resultado a incluir en el registro </w:t>
            </w:r>
            <w:r w:rsidRPr="00912958">
              <w:rPr>
                <w:rFonts w:ascii="Arial Narrow" w:hAnsi="Arial Narrow"/>
              </w:rPr>
              <w:lastRenderedPageBreak/>
              <w:t>de resolución</w:t>
            </w:r>
          </w:p>
        </w:tc>
        <w:tc>
          <w:tcPr>
            <w:tcW w:w="0" w:type="auto"/>
            <w:shd w:val="clear" w:color="auto" w:fill="F2F2F2" w:themeFill="background1" w:themeFillShade="F2"/>
            <w:tcMar>
              <w:top w:w="0" w:type="dxa"/>
              <w:left w:w="70" w:type="dxa"/>
              <w:bottom w:w="0" w:type="dxa"/>
              <w:right w:w="70" w:type="dxa"/>
            </w:tcMar>
          </w:tcPr>
          <w:p w14:paraId="6EF922D4" w14:textId="77777777" w:rsidR="008370E6" w:rsidRPr="00912958" w:rsidRDefault="008370E6" w:rsidP="00A772A7">
            <w:pPr>
              <w:jc w:val="center"/>
              <w:rPr>
                <w:rFonts w:ascii="Arial Narrow" w:hAnsi="Arial Narrow"/>
              </w:rPr>
            </w:pPr>
            <w:r w:rsidRPr="00912958">
              <w:rPr>
                <w:rFonts w:ascii="Arial Narrow" w:hAnsi="Arial Narrow"/>
              </w:rPr>
              <w:lastRenderedPageBreak/>
              <w:t>Plantilla para utilizar</w:t>
            </w:r>
          </w:p>
        </w:tc>
        <w:tc>
          <w:tcPr>
            <w:tcW w:w="0" w:type="auto"/>
            <w:shd w:val="clear" w:color="auto" w:fill="F2F2F2" w:themeFill="background1" w:themeFillShade="F2"/>
            <w:tcMar>
              <w:top w:w="0" w:type="dxa"/>
              <w:left w:w="70" w:type="dxa"/>
              <w:bottom w:w="0" w:type="dxa"/>
              <w:right w:w="70" w:type="dxa"/>
            </w:tcMar>
          </w:tcPr>
          <w:p w14:paraId="66BA1A58" w14:textId="77777777" w:rsidR="008370E6" w:rsidRPr="00912958" w:rsidRDefault="008370E6" w:rsidP="00A772A7">
            <w:pPr>
              <w:jc w:val="both"/>
              <w:rPr>
                <w:rFonts w:ascii="Arial Narrow" w:hAnsi="Arial Narrow"/>
              </w:rPr>
            </w:pPr>
            <w:r w:rsidRPr="00912958">
              <w:rPr>
                <w:rFonts w:ascii="Arial Narrow" w:hAnsi="Arial Narrow"/>
              </w:rPr>
              <w:t xml:space="preserve">Se enlista motivo de término en caso </w:t>
            </w:r>
            <w:r w:rsidRPr="00912958">
              <w:rPr>
                <w:rFonts w:ascii="Arial Narrow" w:hAnsi="Arial Narrow"/>
              </w:rPr>
              <w:lastRenderedPageBreak/>
              <w:t>de cierre estadístico (debe valorarse el motivo según el contenido de la resolución)</w:t>
            </w:r>
          </w:p>
        </w:tc>
      </w:tr>
      <w:tr w:rsidR="008370E6" w:rsidRPr="00912958" w14:paraId="642DFD53" w14:textId="77777777" w:rsidTr="008370E6">
        <w:trPr>
          <w:trHeight w:val="1200"/>
        </w:trPr>
        <w:tc>
          <w:tcPr>
            <w:tcW w:w="0" w:type="auto"/>
            <w:shd w:val="clear" w:color="auto" w:fill="FFFFFF"/>
            <w:tcMar>
              <w:top w:w="0" w:type="dxa"/>
              <w:left w:w="70" w:type="dxa"/>
              <w:bottom w:w="0" w:type="dxa"/>
              <w:right w:w="70" w:type="dxa"/>
            </w:tcMar>
          </w:tcPr>
          <w:p w14:paraId="49F044B1" w14:textId="77777777" w:rsidR="008370E6" w:rsidRPr="00912958" w:rsidRDefault="008370E6" w:rsidP="00A772A7">
            <w:pPr>
              <w:jc w:val="both"/>
              <w:rPr>
                <w:rFonts w:ascii="Arial Narrow" w:hAnsi="Arial Narrow"/>
              </w:rPr>
            </w:pPr>
            <w:r w:rsidRPr="00912958">
              <w:rPr>
                <w:rFonts w:ascii="Arial Narrow" w:hAnsi="Arial Narrow"/>
              </w:rPr>
              <w:lastRenderedPageBreak/>
              <w:t>Oposición infundada</w:t>
            </w:r>
          </w:p>
          <w:p w14:paraId="21880E4C" w14:textId="77777777" w:rsidR="008370E6" w:rsidRPr="00912958" w:rsidRDefault="008370E6" w:rsidP="00A772A7">
            <w:pPr>
              <w:jc w:val="both"/>
              <w:rPr>
                <w:rFonts w:ascii="Arial Narrow" w:hAnsi="Arial Narrow"/>
              </w:rPr>
            </w:pPr>
          </w:p>
        </w:tc>
        <w:tc>
          <w:tcPr>
            <w:tcW w:w="0" w:type="auto"/>
            <w:shd w:val="clear" w:color="auto" w:fill="FFFFFF"/>
            <w:tcMar>
              <w:top w:w="0" w:type="dxa"/>
              <w:left w:w="70" w:type="dxa"/>
              <w:bottom w:w="0" w:type="dxa"/>
              <w:right w:w="70" w:type="dxa"/>
            </w:tcMar>
          </w:tcPr>
          <w:p w14:paraId="7B9944D6" w14:textId="77777777" w:rsidR="008370E6" w:rsidRPr="00912958" w:rsidRDefault="008370E6" w:rsidP="00A772A7">
            <w:pPr>
              <w:jc w:val="both"/>
              <w:rPr>
                <w:rFonts w:ascii="Arial Narrow" w:hAnsi="Arial Narrow"/>
              </w:rPr>
            </w:pPr>
            <w:r w:rsidRPr="00912958">
              <w:rPr>
                <w:rFonts w:ascii="Arial Narrow" w:hAnsi="Arial Narrow"/>
              </w:rPr>
              <w:t>La resolución que rechaza por infundada una oposición en procesos monitorios, ejecuciones hipotecarias, ejecuciones prendarias y ejecuciones de garantías mobiliarias.</w:t>
            </w:r>
          </w:p>
        </w:tc>
        <w:tc>
          <w:tcPr>
            <w:tcW w:w="0" w:type="auto"/>
            <w:shd w:val="clear" w:color="auto" w:fill="FFFFFF"/>
            <w:tcMar>
              <w:top w:w="0" w:type="dxa"/>
              <w:left w:w="70" w:type="dxa"/>
              <w:bottom w:w="0" w:type="dxa"/>
              <w:right w:w="70" w:type="dxa"/>
            </w:tcMar>
          </w:tcPr>
          <w:p w14:paraId="41F2ADAB" w14:textId="77777777" w:rsidR="008370E6" w:rsidRPr="00912958" w:rsidRDefault="008370E6" w:rsidP="00A772A7">
            <w:pPr>
              <w:jc w:val="center"/>
              <w:rPr>
                <w:rFonts w:ascii="Arial Narrow" w:hAnsi="Arial Narrow"/>
              </w:rPr>
            </w:pPr>
            <w:r w:rsidRPr="00912958">
              <w:rPr>
                <w:rFonts w:ascii="Arial Narrow" w:hAnsi="Arial Narrow"/>
              </w:rPr>
              <w:t>Sí</w:t>
            </w:r>
          </w:p>
        </w:tc>
        <w:tc>
          <w:tcPr>
            <w:tcW w:w="0" w:type="auto"/>
            <w:shd w:val="clear" w:color="auto" w:fill="FFFFFF"/>
          </w:tcPr>
          <w:p w14:paraId="15FD5091" w14:textId="77777777" w:rsidR="008370E6" w:rsidRPr="00912958" w:rsidRDefault="008370E6" w:rsidP="00A772A7">
            <w:pPr>
              <w:jc w:val="center"/>
              <w:rPr>
                <w:rFonts w:ascii="Arial Narrow" w:hAnsi="Arial Narrow"/>
              </w:rPr>
            </w:pPr>
            <w:r w:rsidRPr="00912958">
              <w:rPr>
                <w:rFonts w:ascii="Arial Narrow" w:hAnsi="Arial Narrow"/>
              </w:rPr>
              <w:t>No</w:t>
            </w:r>
          </w:p>
        </w:tc>
        <w:tc>
          <w:tcPr>
            <w:tcW w:w="0" w:type="auto"/>
            <w:shd w:val="clear" w:color="auto" w:fill="FFFFFF"/>
            <w:tcMar>
              <w:top w:w="0" w:type="dxa"/>
              <w:left w:w="70" w:type="dxa"/>
              <w:bottom w:w="0" w:type="dxa"/>
              <w:right w:w="70" w:type="dxa"/>
            </w:tcMar>
          </w:tcPr>
          <w:p w14:paraId="32087D2E" w14:textId="77777777" w:rsidR="008370E6" w:rsidRPr="00912958" w:rsidRDefault="008370E6" w:rsidP="00A772A7">
            <w:pPr>
              <w:jc w:val="center"/>
              <w:rPr>
                <w:rFonts w:ascii="Arial Narrow" w:hAnsi="Arial Narrow"/>
              </w:rPr>
            </w:pPr>
            <w:r w:rsidRPr="00912958">
              <w:rPr>
                <w:rFonts w:ascii="Arial Narrow" w:hAnsi="Arial Narrow"/>
              </w:rPr>
              <w:t>No</w:t>
            </w:r>
          </w:p>
        </w:tc>
        <w:tc>
          <w:tcPr>
            <w:tcW w:w="0" w:type="auto"/>
            <w:shd w:val="clear" w:color="auto" w:fill="FFFFFF"/>
            <w:tcMar>
              <w:top w:w="0" w:type="dxa"/>
              <w:left w:w="70" w:type="dxa"/>
              <w:bottom w:w="0" w:type="dxa"/>
              <w:right w:w="70" w:type="dxa"/>
            </w:tcMar>
          </w:tcPr>
          <w:p w14:paraId="0AB71186" w14:textId="77777777" w:rsidR="008370E6" w:rsidRPr="00912958" w:rsidRDefault="008370E6" w:rsidP="00A772A7">
            <w:pPr>
              <w:jc w:val="center"/>
              <w:rPr>
                <w:rFonts w:ascii="Arial Narrow" w:hAnsi="Arial Narrow"/>
              </w:rPr>
            </w:pPr>
            <w:r w:rsidRPr="00912958">
              <w:rPr>
                <w:rFonts w:ascii="Arial Narrow" w:hAnsi="Arial Narrow"/>
              </w:rPr>
              <w:t>Sí</w:t>
            </w:r>
          </w:p>
        </w:tc>
        <w:tc>
          <w:tcPr>
            <w:tcW w:w="0" w:type="auto"/>
            <w:shd w:val="clear" w:color="auto" w:fill="FFFFFF"/>
            <w:tcMar>
              <w:top w:w="0" w:type="dxa"/>
              <w:left w:w="70" w:type="dxa"/>
              <w:bottom w:w="0" w:type="dxa"/>
              <w:right w:w="70" w:type="dxa"/>
            </w:tcMar>
          </w:tcPr>
          <w:p w14:paraId="2C2803EB" w14:textId="77777777" w:rsidR="008370E6" w:rsidRPr="00912958" w:rsidRDefault="008370E6" w:rsidP="00A772A7">
            <w:pPr>
              <w:jc w:val="both"/>
              <w:rPr>
                <w:rFonts w:ascii="Arial Narrow" w:hAnsi="Arial Narrow"/>
              </w:rPr>
            </w:pPr>
            <w:r w:rsidRPr="00912958">
              <w:rPr>
                <w:rFonts w:ascii="Arial Narrow" w:hAnsi="Arial Narrow"/>
              </w:rPr>
              <w:t>Oposición infundada</w:t>
            </w:r>
          </w:p>
        </w:tc>
        <w:tc>
          <w:tcPr>
            <w:tcW w:w="0" w:type="auto"/>
            <w:shd w:val="clear" w:color="auto" w:fill="FFFFFF"/>
            <w:tcMar>
              <w:top w:w="0" w:type="dxa"/>
              <w:left w:w="70" w:type="dxa"/>
              <w:bottom w:w="0" w:type="dxa"/>
              <w:right w:w="70" w:type="dxa"/>
            </w:tcMar>
          </w:tcPr>
          <w:p w14:paraId="162B17BB" w14:textId="77777777" w:rsidR="008370E6" w:rsidRPr="00912958" w:rsidRDefault="008370E6" w:rsidP="00A772A7">
            <w:pPr>
              <w:jc w:val="both"/>
              <w:rPr>
                <w:rFonts w:ascii="Arial Narrow" w:hAnsi="Arial Narrow"/>
              </w:rPr>
            </w:pPr>
            <w:r w:rsidRPr="00912958">
              <w:rPr>
                <w:rFonts w:ascii="Arial Narrow" w:hAnsi="Arial Narrow"/>
              </w:rPr>
              <w:t>04. Oposición infundada</w:t>
            </w:r>
          </w:p>
        </w:tc>
        <w:tc>
          <w:tcPr>
            <w:tcW w:w="0" w:type="auto"/>
            <w:shd w:val="clear" w:color="auto" w:fill="FFFFFF"/>
            <w:tcMar>
              <w:top w:w="0" w:type="dxa"/>
              <w:left w:w="70" w:type="dxa"/>
              <w:bottom w:w="0" w:type="dxa"/>
              <w:right w:w="70" w:type="dxa"/>
            </w:tcMar>
          </w:tcPr>
          <w:p w14:paraId="0E3A0DBE" w14:textId="77777777" w:rsidR="008370E6" w:rsidRPr="00912958" w:rsidRDefault="008370E6" w:rsidP="00A772A7">
            <w:pPr>
              <w:jc w:val="both"/>
              <w:rPr>
                <w:rFonts w:ascii="Arial Narrow" w:hAnsi="Arial Narrow"/>
              </w:rPr>
            </w:pPr>
            <w:r w:rsidRPr="00912958">
              <w:rPr>
                <w:rFonts w:ascii="Arial Narrow" w:hAnsi="Arial Narrow"/>
              </w:rPr>
              <w:t>No</w:t>
            </w:r>
          </w:p>
        </w:tc>
      </w:tr>
      <w:tr w:rsidR="008370E6" w:rsidRPr="00912958" w14:paraId="4B29059E" w14:textId="77777777" w:rsidTr="008370E6">
        <w:trPr>
          <w:trHeight w:val="1200"/>
        </w:trPr>
        <w:tc>
          <w:tcPr>
            <w:tcW w:w="0" w:type="auto"/>
            <w:shd w:val="clear" w:color="auto" w:fill="FFFFFF"/>
            <w:tcMar>
              <w:top w:w="0" w:type="dxa"/>
              <w:left w:w="70" w:type="dxa"/>
              <w:bottom w:w="0" w:type="dxa"/>
              <w:right w:w="70" w:type="dxa"/>
            </w:tcMar>
            <w:hideMark/>
          </w:tcPr>
          <w:p w14:paraId="535C480C" w14:textId="77777777" w:rsidR="008370E6" w:rsidRPr="00912958" w:rsidRDefault="008370E6" w:rsidP="00A772A7">
            <w:pPr>
              <w:jc w:val="both"/>
              <w:rPr>
                <w:rFonts w:ascii="Arial Narrow" w:hAnsi="Arial Narrow"/>
              </w:rPr>
            </w:pPr>
            <w:r w:rsidRPr="00912958">
              <w:rPr>
                <w:rFonts w:ascii="Arial Narrow" w:hAnsi="Arial Narrow"/>
              </w:rPr>
              <w:t xml:space="preserve">Resolución sobre la admisibilidad de pruebas (escrito u oral) </w:t>
            </w:r>
          </w:p>
        </w:tc>
        <w:tc>
          <w:tcPr>
            <w:tcW w:w="0" w:type="auto"/>
            <w:shd w:val="clear" w:color="auto" w:fill="FFFFFF"/>
            <w:tcMar>
              <w:top w:w="0" w:type="dxa"/>
              <w:left w:w="70" w:type="dxa"/>
              <w:bottom w:w="0" w:type="dxa"/>
              <w:right w:w="70" w:type="dxa"/>
            </w:tcMar>
            <w:hideMark/>
          </w:tcPr>
          <w:p w14:paraId="1644C79C" w14:textId="77777777" w:rsidR="008370E6" w:rsidRPr="00912958" w:rsidRDefault="008370E6" w:rsidP="00A772A7">
            <w:pPr>
              <w:jc w:val="both"/>
              <w:rPr>
                <w:rFonts w:ascii="Arial Narrow" w:hAnsi="Arial Narrow"/>
              </w:rPr>
            </w:pPr>
            <w:r w:rsidRPr="00912958">
              <w:rPr>
                <w:rFonts w:ascii="Arial Narrow" w:hAnsi="Arial Narrow"/>
              </w:rPr>
              <w:t> La que admita o rechace prueba.</w:t>
            </w:r>
          </w:p>
        </w:tc>
        <w:tc>
          <w:tcPr>
            <w:tcW w:w="0" w:type="auto"/>
            <w:shd w:val="clear" w:color="auto" w:fill="FFFFFF"/>
            <w:tcMar>
              <w:top w:w="0" w:type="dxa"/>
              <w:left w:w="70" w:type="dxa"/>
              <w:bottom w:w="0" w:type="dxa"/>
              <w:right w:w="70" w:type="dxa"/>
            </w:tcMar>
            <w:hideMark/>
          </w:tcPr>
          <w:p w14:paraId="67AA5794" w14:textId="77777777" w:rsidR="008370E6" w:rsidRPr="00912958" w:rsidRDefault="008370E6" w:rsidP="00A772A7">
            <w:pPr>
              <w:jc w:val="center"/>
              <w:rPr>
                <w:rFonts w:ascii="Arial Narrow" w:hAnsi="Arial Narrow"/>
              </w:rPr>
            </w:pPr>
            <w:r w:rsidRPr="00912958">
              <w:rPr>
                <w:rFonts w:ascii="Arial Narrow" w:hAnsi="Arial Narrow"/>
              </w:rPr>
              <w:t>Sí</w:t>
            </w:r>
          </w:p>
        </w:tc>
        <w:tc>
          <w:tcPr>
            <w:tcW w:w="0" w:type="auto"/>
            <w:shd w:val="clear" w:color="auto" w:fill="FFFFFF"/>
          </w:tcPr>
          <w:p w14:paraId="0CEEB38B" w14:textId="77777777" w:rsidR="008370E6" w:rsidRPr="00912958" w:rsidRDefault="008370E6" w:rsidP="00A772A7">
            <w:pPr>
              <w:jc w:val="center"/>
              <w:rPr>
                <w:rFonts w:ascii="Arial Narrow" w:hAnsi="Arial Narrow"/>
              </w:rPr>
            </w:pPr>
            <w:r w:rsidRPr="00912958">
              <w:rPr>
                <w:rFonts w:ascii="Arial Narrow" w:hAnsi="Arial Narrow"/>
              </w:rPr>
              <w:t>No</w:t>
            </w:r>
          </w:p>
        </w:tc>
        <w:tc>
          <w:tcPr>
            <w:tcW w:w="0" w:type="auto"/>
            <w:shd w:val="clear" w:color="auto" w:fill="FFFFFF"/>
            <w:tcMar>
              <w:top w:w="0" w:type="dxa"/>
              <w:left w:w="70" w:type="dxa"/>
              <w:bottom w:w="0" w:type="dxa"/>
              <w:right w:w="70" w:type="dxa"/>
            </w:tcMar>
            <w:hideMark/>
          </w:tcPr>
          <w:p w14:paraId="3C6A88C1" w14:textId="77777777" w:rsidR="008370E6" w:rsidRPr="00912958" w:rsidRDefault="008370E6" w:rsidP="00A772A7">
            <w:pPr>
              <w:jc w:val="center"/>
              <w:rPr>
                <w:rFonts w:ascii="Arial Narrow" w:hAnsi="Arial Narrow"/>
              </w:rPr>
            </w:pPr>
            <w:r w:rsidRPr="00912958">
              <w:rPr>
                <w:rFonts w:ascii="Arial Narrow" w:hAnsi="Arial Narrow"/>
              </w:rPr>
              <w:t>Sí</w:t>
            </w:r>
          </w:p>
        </w:tc>
        <w:tc>
          <w:tcPr>
            <w:tcW w:w="0" w:type="auto"/>
            <w:shd w:val="clear" w:color="auto" w:fill="FFFFFF"/>
            <w:tcMar>
              <w:top w:w="0" w:type="dxa"/>
              <w:left w:w="70" w:type="dxa"/>
              <w:bottom w:w="0" w:type="dxa"/>
              <w:right w:w="70" w:type="dxa"/>
            </w:tcMar>
            <w:hideMark/>
          </w:tcPr>
          <w:p w14:paraId="5E0D22DD" w14:textId="77777777" w:rsidR="008370E6" w:rsidRPr="00912958" w:rsidRDefault="008370E6" w:rsidP="00A772A7">
            <w:pPr>
              <w:jc w:val="center"/>
              <w:rPr>
                <w:rFonts w:ascii="Arial Narrow" w:hAnsi="Arial Narrow"/>
              </w:rPr>
            </w:pPr>
            <w:r w:rsidRPr="00912958">
              <w:rPr>
                <w:rFonts w:ascii="Arial Narrow" w:hAnsi="Arial Narrow"/>
              </w:rPr>
              <w:t>Sí</w:t>
            </w:r>
          </w:p>
        </w:tc>
        <w:tc>
          <w:tcPr>
            <w:tcW w:w="0" w:type="auto"/>
            <w:shd w:val="clear" w:color="auto" w:fill="FFFFFF"/>
            <w:tcMar>
              <w:top w:w="0" w:type="dxa"/>
              <w:left w:w="70" w:type="dxa"/>
              <w:bottom w:w="0" w:type="dxa"/>
              <w:right w:w="70" w:type="dxa"/>
            </w:tcMar>
            <w:hideMark/>
          </w:tcPr>
          <w:p w14:paraId="38FF4E74" w14:textId="77777777" w:rsidR="008370E6" w:rsidRPr="00912958" w:rsidRDefault="008370E6" w:rsidP="00A772A7">
            <w:pPr>
              <w:jc w:val="both"/>
              <w:rPr>
                <w:rFonts w:ascii="Arial Narrow" w:hAnsi="Arial Narrow"/>
              </w:rPr>
            </w:pPr>
            <w:r w:rsidRPr="00912958">
              <w:rPr>
                <w:rFonts w:ascii="Arial Narrow" w:hAnsi="Arial Narrow"/>
              </w:rPr>
              <w:t xml:space="preserve">Admite </w:t>
            </w:r>
          </w:p>
          <w:p w14:paraId="35718DA3" w14:textId="77777777" w:rsidR="008370E6" w:rsidRPr="00912958" w:rsidRDefault="008370E6" w:rsidP="00A772A7">
            <w:pPr>
              <w:jc w:val="both"/>
              <w:rPr>
                <w:rFonts w:ascii="Arial Narrow" w:hAnsi="Arial Narrow"/>
              </w:rPr>
            </w:pPr>
            <w:r w:rsidRPr="00912958">
              <w:rPr>
                <w:rFonts w:ascii="Arial Narrow" w:hAnsi="Arial Narrow"/>
              </w:rPr>
              <w:t xml:space="preserve">rechaza </w:t>
            </w:r>
          </w:p>
        </w:tc>
        <w:tc>
          <w:tcPr>
            <w:tcW w:w="0" w:type="auto"/>
            <w:shd w:val="clear" w:color="auto" w:fill="FFFFFF"/>
            <w:tcMar>
              <w:top w:w="0" w:type="dxa"/>
              <w:left w:w="70" w:type="dxa"/>
              <w:bottom w:w="0" w:type="dxa"/>
              <w:right w:w="70" w:type="dxa"/>
            </w:tcMar>
            <w:hideMark/>
          </w:tcPr>
          <w:p w14:paraId="6053635B" w14:textId="77777777" w:rsidR="008370E6" w:rsidRPr="00912958" w:rsidRDefault="008370E6" w:rsidP="00A772A7">
            <w:pPr>
              <w:jc w:val="both"/>
              <w:rPr>
                <w:rFonts w:ascii="Arial Narrow" w:hAnsi="Arial Narrow"/>
              </w:rPr>
            </w:pPr>
            <w:r w:rsidRPr="00912958">
              <w:rPr>
                <w:rFonts w:ascii="Arial Narrow" w:hAnsi="Arial Narrow"/>
              </w:rPr>
              <w:t>01. Admisión por escrito (varias opciones).</w:t>
            </w:r>
          </w:p>
          <w:p w14:paraId="7A177C49" w14:textId="77777777" w:rsidR="008370E6" w:rsidRPr="00912958" w:rsidRDefault="008370E6" w:rsidP="00A772A7">
            <w:pPr>
              <w:jc w:val="both"/>
              <w:rPr>
                <w:rFonts w:ascii="Arial Narrow" w:hAnsi="Arial Narrow"/>
              </w:rPr>
            </w:pPr>
          </w:p>
          <w:p w14:paraId="720801BD" w14:textId="77777777" w:rsidR="008370E6" w:rsidRPr="00912958" w:rsidRDefault="008370E6" w:rsidP="00A772A7">
            <w:pPr>
              <w:jc w:val="both"/>
              <w:rPr>
                <w:rFonts w:ascii="Arial Narrow" w:hAnsi="Arial Narrow"/>
              </w:rPr>
            </w:pPr>
            <w:r w:rsidRPr="00912958">
              <w:rPr>
                <w:rFonts w:ascii="Arial Narrow" w:hAnsi="Arial Narrow"/>
              </w:rPr>
              <w:t>02. Rechazo, varios motivos.</w:t>
            </w:r>
          </w:p>
        </w:tc>
        <w:tc>
          <w:tcPr>
            <w:tcW w:w="0" w:type="auto"/>
            <w:shd w:val="clear" w:color="auto" w:fill="FFFFFF"/>
            <w:tcMar>
              <w:top w:w="0" w:type="dxa"/>
              <w:left w:w="70" w:type="dxa"/>
              <w:bottom w:w="0" w:type="dxa"/>
              <w:right w:w="70" w:type="dxa"/>
            </w:tcMar>
          </w:tcPr>
          <w:p w14:paraId="3837AE5D" w14:textId="77777777" w:rsidR="008370E6" w:rsidRPr="00912958" w:rsidRDefault="008370E6" w:rsidP="00A772A7">
            <w:pPr>
              <w:jc w:val="both"/>
              <w:rPr>
                <w:rFonts w:ascii="Arial Narrow" w:hAnsi="Arial Narrow"/>
              </w:rPr>
            </w:pPr>
            <w:r w:rsidRPr="00912958">
              <w:rPr>
                <w:rFonts w:ascii="Arial Narrow" w:hAnsi="Arial Narrow"/>
              </w:rPr>
              <w:t xml:space="preserve">No </w:t>
            </w:r>
          </w:p>
        </w:tc>
      </w:tr>
    </w:tbl>
    <w:p w14:paraId="13CF586F" w14:textId="77777777" w:rsidR="002221D0" w:rsidRPr="00912958" w:rsidRDefault="002221D0" w:rsidP="002221D0">
      <w:pPr>
        <w:ind w:right="851"/>
        <w:rPr>
          <w:rFonts w:ascii="Arial Narrow" w:hAnsi="Arial Narrow"/>
          <w:sz w:val="22"/>
          <w:szCs w:val="22"/>
        </w:rPr>
      </w:pPr>
    </w:p>
    <w:p w14:paraId="0F1E7720" w14:textId="77777777" w:rsidR="002221D0" w:rsidRPr="00912958" w:rsidRDefault="002221D0" w:rsidP="002221D0">
      <w:pPr>
        <w:tabs>
          <w:tab w:val="left" w:pos="9072"/>
        </w:tabs>
        <w:suppressAutoHyphens w:val="0"/>
        <w:ind w:firstLine="709"/>
        <w:jc w:val="both"/>
        <w:rPr>
          <w:rFonts w:ascii="Arial Narrow" w:hAnsi="Arial Narrow"/>
        </w:rPr>
      </w:pPr>
      <w:r w:rsidRPr="00912958">
        <w:rPr>
          <w:rFonts w:ascii="Arial Narrow" w:hAnsi="Arial Narrow"/>
        </w:rPr>
        <w:t>Con relación a los expedientes identificados en el sistema Escritorio Virtual con condición de pendiente de fallo, se presenta a continuación una guía para efectuar dicha consulta de manera automatizada desde el propio Escritorio Virtual.</w:t>
      </w:r>
    </w:p>
    <w:p w14:paraId="4B9F17EC" w14:textId="77777777" w:rsidR="00813720" w:rsidRPr="00912958" w:rsidRDefault="00813720" w:rsidP="002221D0">
      <w:pPr>
        <w:tabs>
          <w:tab w:val="left" w:pos="9072"/>
        </w:tabs>
        <w:suppressAutoHyphens w:val="0"/>
        <w:ind w:firstLine="709"/>
        <w:jc w:val="both"/>
        <w:rPr>
          <w:rFonts w:ascii="Arial Narrow" w:hAnsi="Arial Narrow"/>
        </w:rPr>
      </w:pPr>
    </w:p>
    <w:p w14:paraId="22868E20" w14:textId="77777777" w:rsidR="00813720" w:rsidRPr="00912958" w:rsidRDefault="00813720" w:rsidP="002221D0">
      <w:pPr>
        <w:tabs>
          <w:tab w:val="left" w:pos="9072"/>
        </w:tabs>
        <w:suppressAutoHyphens w:val="0"/>
        <w:ind w:firstLine="709"/>
        <w:jc w:val="both"/>
        <w:rPr>
          <w:rFonts w:ascii="Arial Narrow" w:hAnsi="Arial Narrow"/>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160"/>
      </w:tblGrid>
      <w:tr w:rsidR="00813720" w:rsidRPr="00912958" w14:paraId="73A8F203" w14:textId="77777777" w:rsidTr="00813720">
        <w:tc>
          <w:tcPr>
            <w:tcW w:w="0" w:type="auto"/>
            <w:gridSpan w:val="2"/>
            <w:shd w:val="clear" w:color="auto" w:fill="F2F2F2" w:themeFill="background1" w:themeFillShade="F2"/>
          </w:tcPr>
          <w:p w14:paraId="67E2677C" w14:textId="77777777" w:rsidR="00813720" w:rsidRPr="00912958" w:rsidRDefault="00813720" w:rsidP="00A772A7">
            <w:pPr>
              <w:jc w:val="center"/>
              <w:rPr>
                <w:rFonts w:ascii="Arial Narrow" w:hAnsi="Arial Narrow"/>
              </w:rPr>
            </w:pPr>
            <w:r w:rsidRPr="00912958">
              <w:rPr>
                <w:rFonts w:ascii="Arial Narrow" w:hAnsi="Arial Narrow"/>
              </w:rPr>
              <w:lastRenderedPageBreak/>
              <w:t>Guía para consulta de expedientes pendientes de fallo desde el Libro Pase Fallo – Escritorio Virtual</w:t>
            </w:r>
          </w:p>
        </w:tc>
      </w:tr>
      <w:tr w:rsidR="00813720" w:rsidRPr="00912958" w14:paraId="62C8B653" w14:textId="77777777" w:rsidTr="00813720">
        <w:tc>
          <w:tcPr>
            <w:tcW w:w="0" w:type="auto"/>
            <w:shd w:val="clear" w:color="auto" w:fill="F2F2F2" w:themeFill="background1" w:themeFillShade="F2"/>
          </w:tcPr>
          <w:p w14:paraId="3359417F" w14:textId="77777777" w:rsidR="00813720" w:rsidRPr="00912958" w:rsidRDefault="00813720" w:rsidP="00A772A7">
            <w:pPr>
              <w:jc w:val="center"/>
              <w:rPr>
                <w:rFonts w:ascii="Arial Narrow" w:hAnsi="Arial Narrow"/>
              </w:rPr>
            </w:pPr>
            <w:r w:rsidRPr="00912958">
              <w:rPr>
                <w:rFonts w:ascii="Arial Narrow" w:hAnsi="Arial Narrow"/>
              </w:rPr>
              <w:t># Paso</w:t>
            </w:r>
          </w:p>
        </w:tc>
        <w:tc>
          <w:tcPr>
            <w:tcW w:w="0" w:type="auto"/>
            <w:shd w:val="clear" w:color="auto" w:fill="F2F2F2" w:themeFill="background1" w:themeFillShade="F2"/>
          </w:tcPr>
          <w:p w14:paraId="023267E7" w14:textId="77777777" w:rsidR="00813720" w:rsidRPr="00912958" w:rsidRDefault="00813720" w:rsidP="00A772A7">
            <w:pPr>
              <w:jc w:val="center"/>
              <w:rPr>
                <w:rFonts w:ascii="Arial Narrow" w:hAnsi="Arial Narrow"/>
              </w:rPr>
            </w:pPr>
            <w:r w:rsidRPr="00912958">
              <w:rPr>
                <w:rFonts w:ascii="Arial Narrow" w:hAnsi="Arial Narrow"/>
              </w:rPr>
              <w:t>Descripción</w:t>
            </w:r>
          </w:p>
        </w:tc>
      </w:tr>
      <w:tr w:rsidR="00813720" w:rsidRPr="00912958" w14:paraId="795B8D55" w14:textId="77777777" w:rsidTr="00813720">
        <w:tc>
          <w:tcPr>
            <w:tcW w:w="0" w:type="auto"/>
          </w:tcPr>
          <w:p w14:paraId="49076AD7" w14:textId="77777777" w:rsidR="00813720" w:rsidRPr="00912958" w:rsidRDefault="00813720" w:rsidP="00A772A7">
            <w:pPr>
              <w:jc w:val="center"/>
              <w:rPr>
                <w:rFonts w:ascii="Arial Narrow" w:hAnsi="Arial Narrow"/>
              </w:rPr>
            </w:pPr>
            <w:r w:rsidRPr="00912958">
              <w:rPr>
                <w:rFonts w:ascii="Arial Narrow" w:hAnsi="Arial Narrow"/>
              </w:rPr>
              <w:t>1</w:t>
            </w:r>
          </w:p>
        </w:tc>
        <w:tc>
          <w:tcPr>
            <w:tcW w:w="0" w:type="auto"/>
          </w:tcPr>
          <w:p w14:paraId="3C9A9F09" w14:textId="77777777" w:rsidR="00813720" w:rsidRPr="00912958" w:rsidRDefault="00813720" w:rsidP="00A772A7">
            <w:pPr>
              <w:jc w:val="both"/>
              <w:rPr>
                <w:rFonts w:ascii="Arial Narrow" w:hAnsi="Arial Narrow"/>
              </w:rPr>
            </w:pPr>
            <w:r w:rsidRPr="00912958">
              <w:rPr>
                <w:rFonts w:ascii="Arial Narrow" w:hAnsi="Arial Narrow"/>
              </w:rPr>
              <w:t>Ingresar a la opción “Libro Pase Fallo” la cual se encuentra en el menú “Consultas”</w:t>
            </w:r>
          </w:p>
          <w:p w14:paraId="12D3E973" w14:textId="77777777" w:rsidR="00813720" w:rsidRPr="00912958" w:rsidRDefault="00813720" w:rsidP="00A772A7">
            <w:pPr>
              <w:rPr>
                <w:rFonts w:ascii="Arial Narrow" w:hAnsi="Arial Narrow"/>
              </w:rPr>
            </w:pPr>
            <w:r w:rsidRPr="00912958">
              <w:rPr>
                <w:rFonts w:ascii="Arial Narrow" w:hAnsi="Arial Narrow"/>
                <w:noProof/>
              </w:rPr>
              <w:drawing>
                <wp:inline distT="0" distB="0" distL="0" distR="0" wp14:anchorId="192A8A00" wp14:editId="0FFCDEEC">
                  <wp:extent cx="1125215" cy="1390650"/>
                  <wp:effectExtent l="0" t="0" r="0" b="0"/>
                  <wp:docPr id="324443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43546" name=""/>
                          <pic:cNvPicPr/>
                        </pic:nvPicPr>
                        <pic:blipFill>
                          <a:blip r:embed="rId8"/>
                          <a:stretch>
                            <a:fillRect/>
                          </a:stretch>
                        </pic:blipFill>
                        <pic:spPr>
                          <a:xfrm>
                            <a:off x="0" y="0"/>
                            <a:ext cx="1130865" cy="1397633"/>
                          </a:xfrm>
                          <a:prstGeom prst="rect">
                            <a:avLst/>
                          </a:prstGeom>
                        </pic:spPr>
                      </pic:pic>
                    </a:graphicData>
                  </a:graphic>
                </wp:inline>
              </w:drawing>
            </w:r>
          </w:p>
          <w:p w14:paraId="66AF97B3" w14:textId="77777777" w:rsidR="00813720" w:rsidRPr="00912958" w:rsidRDefault="00813720" w:rsidP="00A772A7">
            <w:pPr>
              <w:rPr>
                <w:rFonts w:ascii="Arial Narrow" w:hAnsi="Arial Narrow"/>
              </w:rPr>
            </w:pPr>
          </w:p>
        </w:tc>
      </w:tr>
      <w:tr w:rsidR="00813720" w:rsidRPr="00912958" w14:paraId="06FECE72" w14:textId="77777777" w:rsidTr="00813720">
        <w:tc>
          <w:tcPr>
            <w:tcW w:w="0" w:type="auto"/>
          </w:tcPr>
          <w:p w14:paraId="4849F7E1" w14:textId="77777777" w:rsidR="00813720" w:rsidRPr="00912958" w:rsidRDefault="00813720" w:rsidP="00A772A7">
            <w:pPr>
              <w:jc w:val="center"/>
              <w:rPr>
                <w:rFonts w:ascii="Arial Narrow" w:hAnsi="Arial Narrow"/>
              </w:rPr>
            </w:pPr>
            <w:r w:rsidRPr="00912958">
              <w:rPr>
                <w:rFonts w:ascii="Arial Narrow" w:hAnsi="Arial Narrow"/>
              </w:rPr>
              <w:t>2</w:t>
            </w:r>
          </w:p>
        </w:tc>
        <w:tc>
          <w:tcPr>
            <w:tcW w:w="0" w:type="auto"/>
          </w:tcPr>
          <w:p w14:paraId="58B75245" w14:textId="77777777" w:rsidR="00813720" w:rsidRPr="00912958" w:rsidRDefault="00813720" w:rsidP="00A772A7">
            <w:pPr>
              <w:jc w:val="both"/>
              <w:rPr>
                <w:rFonts w:ascii="Arial Narrow" w:hAnsi="Arial Narrow"/>
              </w:rPr>
            </w:pPr>
            <w:r w:rsidRPr="00912958">
              <w:rPr>
                <w:rFonts w:ascii="Arial Narrow" w:hAnsi="Arial Narrow"/>
              </w:rPr>
              <w:t>Una vez en el módulo “Consultar Libro de Asuntos Pasados a Fallo”, para visualizar todos los expedientes que el sistema identifica con la condición de pendiente de fallo, basta con seleccionar la opción “Pendiente de Fallo por Fecha”. Para asegurar que se incluyan todos los expedientes, se recomienda utilizar como fecha de inicio “01/01/2000”, lo anterior con el fin de garantizar que se consideren todos los expedientes.</w:t>
            </w:r>
          </w:p>
          <w:p w14:paraId="0BDC119D" w14:textId="77777777" w:rsidR="00813720" w:rsidRPr="00912958" w:rsidRDefault="00813720" w:rsidP="00A772A7">
            <w:pPr>
              <w:jc w:val="both"/>
              <w:rPr>
                <w:rFonts w:ascii="Arial Narrow" w:hAnsi="Arial Narrow"/>
              </w:rPr>
            </w:pPr>
          </w:p>
          <w:p w14:paraId="149C60C5" w14:textId="77777777" w:rsidR="00813720" w:rsidRPr="00912958" w:rsidRDefault="00813720" w:rsidP="00A772A7">
            <w:pPr>
              <w:jc w:val="both"/>
              <w:rPr>
                <w:rFonts w:ascii="Arial Narrow" w:hAnsi="Arial Narrow"/>
              </w:rPr>
            </w:pPr>
            <w:r w:rsidRPr="00912958">
              <w:rPr>
                <w:rFonts w:ascii="Arial Narrow" w:hAnsi="Arial Narrow"/>
              </w:rPr>
              <w:t>Adicionalmente, desde este módulo es posible identificar otros filtros para obtener información más específica, como expedientes asociada a una determinada ubicación o según el motivo de envió, el cual corresponde a la tarea de pase a fallo utilizada.</w:t>
            </w:r>
          </w:p>
          <w:p w14:paraId="4E3929E7" w14:textId="77777777" w:rsidR="00813720" w:rsidRPr="00912958" w:rsidRDefault="00813720" w:rsidP="00A772A7">
            <w:pPr>
              <w:jc w:val="both"/>
              <w:rPr>
                <w:rFonts w:ascii="Arial Narrow" w:hAnsi="Arial Narrow"/>
              </w:rPr>
            </w:pPr>
          </w:p>
          <w:p w14:paraId="02094F93" w14:textId="77777777" w:rsidR="00813720" w:rsidRPr="00912958" w:rsidRDefault="00813720" w:rsidP="00A772A7">
            <w:pPr>
              <w:jc w:val="both"/>
              <w:rPr>
                <w:rFonts w:ascii="Arial Narrow" w:hAnsi="Arial Narrow"/>
              </w:rPr>
            </w:pPr>
            <w:r w:rsidRPr="00912958">
              <w:rPr>
                <w:rFonts w:ascii="Arial Narrow" w:hAnsi="Arial Narrow"/>
                <w:noProof/>
              </w:rPr>
              <w:drawing>
                <wp:inline distT="0" distB="0" distL="0" distR="0" wp14:anchorId="7300AAB2" wp14:editId="7BA159E2">
                  <wp:extent cx="4723785" cy="2988310"/>
                  <wp:effectExtent l="0" t="0" r="635" b="2540"/>
                  <wp:docPr id="577410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10858" name=""/>
                          <pic:cNvPicPr/>
                        </pic:nvPicPr>
                        <pic:blipFill>
                          <a:blip r:embed="rId9"/>
                          <a:stretch>
                            <a:fillRect/>
                          </a:stretch>
                        </pic:blipFill>
                        <pic:spPr>
                          <a:xfrm>
                            <a:off x="0" y="0"/>
                            <a:ext cx="4729975" cy="2992226"/>
                          </a:xfrm>
                          <a:prstGeom prst="rect">
                            <a:avLst/>
                          </a:prstGeom>
                        </pic:spPr>
                      </pic:pic>
                    </a:graphicData>
                  </a:graphic>
                </wp:inline>
              </w:drawing>
            </w:r>
          </w:p>
          <w:p w14:paraId="3A3E66E9" w14:textId="77777777" w:rsidR="00813720" w:rsidRPr="00912958" w:rsidRDefault="00813720" w:rsidP="00A772A7">
            <w:pPr>
              <w:jc w:val="both"/>
              <w:rPr>
                <w:rFonts w:ascii="Arial Narrow" w:hAnsi="Arial Narrow"/>
              </w:rPr>
            </w:pPr>
          </w:p>
        </w:tc>
      </w:tr>
      <w:tr w:rsidR="00813720" w:rsidRPr="00912958" w14:paraId="662449A7" w14:textId="77777777" w:rsidTr="00813720">
        <w:trPr>
          <w:trHeight w:val="609"/>
        </w:trPr>
        <w:tc>
          <w:tcPr>
            <w:tcW w:w="0" w:type="auto"/>
          </w:tcPr>
          <w:p w14:paraId="78428EB4" w14:textId="77777777" w:rsidR="00813720" w:rsidRPr="00912958" w:rsidRDefault="00813720" w:rsidP="00A772A7">
            <w:pPr>
              <w:jc w:val="center"/>
              <w:rPr>
                <w:rFonts w:ascii="Arial Narrow" w:hAnsi="Arial Narrow"/>
              </w:rPr>
            </w:pPr>
            <w:r w:rsidRPr="00912958">
              <w:rPr>
                <w:rFonts w:ascii="Arial Narrow" w:hAnsi="Arial Narrow"/>
              </w:rPr>
              <w:t>3</w:t>
            </w:r>
          </w:p>
        </w:tc>
        <w:tc>
          <w:tcPr>
            <w:tcW w:w="0" w:type="auto"/>
          </w:tcPr>
          <w:p w14:paraId="2C697E70" w14:textId="77777777" w:rsidR="00813720" w:rsidRPr="00912958" w:rsidRDefault="00813720" w:rsidP="00A772A7">
            <w:pPr>
              <w:jc w:val="both"/>
              <w:rPr>
                <w:rFonts w:ascii="Arial Narrow" w:hAnsi="Arial Narrow"/>
              </w:rPr>
            </w:pPr>
            <w:r w:rsidRPr="00912958">
              <w:rPr>
                <w:rFonts w:ascii="Arial Narrow" w:hAnsi="Arial Narrow"/>
              </w:rPr>
              <w:t>Una vez generada la consulta, el reporte permite organizar los datos según el requerimiento, por ejemplo, ordenarlos por número de expedientes o por fecha de pase a fallo.</w:t>
            </w:r>
          </w:p>
        </w:tc>
      </w:tr>
    </w:tbl>
    <w:p w14:paraId="711FB151" w14:textId="77777777" w:rsidR="00813720" w:rsidRPr="00912958" w:rsidRDefault="00813720" w:rsidP="002221D0">
      <w:pPr>
        <w:tabs>
          <w:tab w:val="left" w:pos="9072"/>
        </w:tabs>
        <w:suppressAutoHyphens w:val="0"/>
        <w:ind w:firstLine="709"/>
        <w:jc w:val="both"/>
        <w:rPr>
          <w:rFonts w:ascii="Arial Narrow" w:hAnsi="Arial Narrow"/>
        </w:rPr>
      </w:pPr>
    </w:p>
    <w:p w14:paraId="1BBF25EB" w14:textId="77777777" w:rsidR="002221D0" w:rsidRPr="00912958" w:rsidRDefault="002221D0" w:rsidP="00FB0405">
      <w:pPr>
        <w:ind w:right="851"/>
        <w:jc w:val="center"/>
        <w:rPr>
          <w:rFonts w:ascii="Arial Narrow" w:hAnsi="Arial Narrow"/>
          <w:sz w:val="22"/>
          <w:szCs w:val="22"/>
        </w:rPr>
      </w:pPr>
    </w:p>
    <w:p w14:paraId="43E4C850" w14:textId="77777777" w:rsidR="00417659" w:rsidRPr="00912958" w:rsidRDefault="00417659" w:rsidP="00FB0405">
      <w:pPr>
        <w:ind w:right="851"/>
        <w:jc w:val="center"/>
        <w:rPr>
          <w:rFonts w:ascii="Arial Narrow" w:hAnsi="Arial Narrow"/>
          <w:sz w:val="22"/>
          <w:szCs w:val="22"/>
        </w:rPr>
      </w:pPr>
    </w:p>
    <w:p w14:paraId="2276695D" w14:textId="77777777" w:rsidR="00417659" w:rsidRPr="00912958" w:rsidRDefault="00417659" w:rsidP="00417659">
      <w:pPr>
        <w:ind w:firstLine="709"/>
        <w:jc w:val="both"/>
        <w:rPr>
          <w:rFonts w:ascii="Arial Narrow" w:hAnsi="Arial Narrow"/>
        </w:rPr>
      </w:pPr>
      <w:r w:rsidRPr="00912958">
        <w:rPr>
          <w:rFonts w:ascii="Arial Narrow" w:hAnsi="Arial Narrow"/>
        </w:rPr>
        <w:t>Consideraciones con relación la consulta del pendiente de fallo en el Escritorio Virtual.</w:t>
      </w:r>
    </w:p>
    <w:p w14:paraId="33B4CB8F" w14:textId="77777777" w:rsidR="00417659" w:rsidRPr="00912958" w:rsidRDefault="00417659" w:rsidP="00417659">
      <w:pPr>
        <w:ind w:firstLine="709"/>
        <w:jc w:val="both"/>
        <w:rPr>
          <w:rFonts w:ascii="Arial Narrow" w:hAnsi="Arial Narrow"/>
        </w:rPr>
      </w:pPr>
    </w:p>
    <w:p w14:paraId="39F1FE52" w14:textId="77777777" w:rsidR="00417659" w:rsidRPr="00912958" w:rsidRDefault="00417659" w:rsidP="00417659">
      <w:pPr>
        <w:pStyle w:val="Prrafodelista"/>
        <w:widowControl/>
        <w:numPr>
          <w:ilvl w:val="0"/>
          <w:numId w:val="15"/>
        </w:numPr>
        <w:ind w:left="0" w:firstLine="709"/>
        <w:contextualSpacing w:val="0"/>
        <w:jc w:val="both"/>
        <w:rPr>
          <w:rFonts w:ascii="Arial Narrow" w:hAnsi="Arial Narrow"/>
        </w:rPr>
      </w:pPr>
      <w:r w:rsidRPr="00912958">
        <w:rPr>
          <w:rFonts w:ascii="Arial Narrow" w:hAnsi="Arial Narrow"/>
        </w:rPr>
        <w:t>Se debe tener en cuenta que la diferencia señalada en el punto anterior puede originarse por las siguientes situaciones.</w:t>
      </w:r>
    </w:p>
    <w:p w14:paraId="13B673AC" w14:textId="77777777" w:rsidR="00417659" w:rsidRPr="00912958" w:rsidRDefault="00417659" w:rsidP="00417659">
      <w:pPr>
        <w:pStyle w:val="Prrafodelista"/>
        <w:ind w:left="0" w:firstLine="709"/>
        <w:contextualSpacing w:val="0"/>
        <w:jc w:val="both"/>
        <w:rPr>
          <w:rFonts w:ascii="Arial Narrow" w:hAnsi="Arial Narrow"/>
        </w:rPr>
      </w:pPr>
    </w:p>
    <w:p w14:paraId="598045D4" w14:textId="77777777" w:rsidR="00417659" w:rsidRPr="00912958" w:rsidRDefault="00417659" w:rsidP="00417659">
      <w:pPr>
        <w:pStyle w:val="Prrafodelista"/>
        <w:widowControl/>
        <w:numPr>
          <w:ilvl w:val="1"/>
          <w:numId w:val="15"/>
        </w:numPr>
        <w:ind w:left="0" w:firstLine="709"/>
        <w:contextualSpacing w:val="0"/>
        <w:jc w:val="both"/>
        <w:rPr>
          <w:rFonts w:ascii="Arial Narrow" w:hAnsi="Arial Narrow"/>
        </w:rPr>
      </w:pPr>
      <w:r w:rsidRPr="00912958">
        <w:rPr>
          <w:rFonts w:ascii="Arial Narrow" w:hAnsi="Arial Narrow"/>
        </w:rPr>
        <w:t>Cambio de la tarea o ubicación del expediente: cuando un expediente previamente asignado a una tarea de pase a fallo en la ubicación de la persona juzgadora se traslada a otra ubicación, el sistema continúa considerándolo en condición de pendiente de fallo. Esto ocurre, aunque la persona juzgadora ya no lo visualice en su buzón, el expediente permanece registrado en el libro de pase a fallo hasta que se realice la devolución correcta que permita sacarlo de dicha condición.</w:t>
      </w:r>
    </w:p>
    <w:p w14:paraId="2903C6A2" w14:textId="77777777" w:rsidR="00417659" w:rsidRPr="00912958" w:rsidRDefault="00417659" w:rsidP="00417659">
      <w:pPr>
        <w:pStyle w:val="Prrafodelista"/>
        <w:ind w:left="0" w:firstLine="709"/>
        <w:contextualSpacing w:val="0"/>
        <w:jc w:val="both"/>
        <w:rPr>
          <w:rFonts w:ascii="Arial Narrow" w:hAnsi="Arial Narrow"/>
        </w:rPr>
      </w:pPr>
    </w:p>
    <w:p w14:paraId="10E80EEB" w14:textId="77777777" w:rsidR="00417659" w:rsidRPr="00912958" w:rsidRDefault="00417659" w:rsidP="00417659">
      <w:pPr>
        <w:pStyle w:val="Prrafodelista"/>
        <w:widowControl/>
        <w:numPr>
          <w:ilvl w:val="1"/>
          <w:numId w:val="15"/>
        </w:numPr>
        <w:ind w:left="0" w:firstLine="709"/>
        <w:contextualSpacing w:val="0"/>
        <w:jc w:val="both"/>
        <w:rPr>
          <w:rFonts w:ascii="Arial Narrow" w:hAnsi="Arial Narrow"/>
        </w:rPr>
      </w:pPr>
      <w:r w:rsidRPr="00912958">
        <w:rPr>
          <w:rFonts w:ascii="Arial Narrow" w:hAnsi="Arial Narrow"/>
        </w:rPr>
        <w:t>Cierre estadístico del expediente: en caso de que sea necesario finalizar estadísticamente un expediente previamente incorporado en el libro de pase a fallo, antes de proceder con el cierre estadístico se debe realizar la devolución del expediente en el módulo de pase a fallo. De lo contrario, aunque el expediente se registre con cierre estadístico, podría continuar en la condición de pendiente de fallo.</w:t>
      </w:r>
    </w:p>
    <w:p w14:paraId="13B1F987" w14:textId="77777777" w:rsidR="00417659" w:rsidRPr="00912958" w:rsidRDefault="00417659" w:rsidP="00FB0405">
      <w:pPr>
        <w:ind w:right="851"/>
        <w:jc w:val="center"/>
        <w:rPr>
          <w:rFonts w:ascii="Arial Narrow" w:hAnsi="Arial Narrow"/>
          <w:sz w:val="22"/>
          <w:szCs w:val="22"/>
        </w:rPr>
      </w:pPr>
    </w:p>
    <w:p w14:paraId="7FE22A1C" w14:textId="77777777" w:rsidR="00417659" w:rsidRPr="00912958" w:rsidRDefault="00417659" w:rsidP="00FB0405">
      <w:pPr>
        <w:ind w:right="851"/>
        <w:jc w:val="center"/>
        <w:rPr>
          <w:rFonts w:ascii="Arial Narrow" w:hAnsi="Arial Narrow"/>
          <w:sz w:val="22"/>
          <w:szCs w:val="22"/>
        </w:rPr>
      </w:pPr>
    </w:p>
    <w:p w14:paraId="6450D4BB" w14:textId="2DBE7D85" w:rsidR="00876032" w:rsidRPr="00912958" w:rsidRDefault="00876032" w:rsidP="00FB0405">
      <w:pPr>
        <w:ind w:right="851"/>
        <w:jc w:val="center"/>
        <w:rPr>
          <w:rFonts w:ascii="Arial Narrow" w:hAnsi="Arial Narrow"/>
          <w:sz w:val="22"/>
          <w:szCs w:val="22"/>
        </w:rPr>
      </w:pPr>
      <w:r w:rsidRPr="00912958">
        <w:rPr>
          <w:rFonts w:ascii="Arial Narrow" w:hAnsi="Arial Narrow"/>
          <w:sz w:val="22"/>
          <w:szCs w:val="22"/>
        </w:rPr>
        <w:t>-0-</w:t>
      </w:r>
    </w:p>
    <w:p w14:paraId="47988CCD" w14:textId="77777777" w:rsidR="00FB0405" w:rsidRPr="00912958" w:rsidRDefault="00FB0405" w:rsidP="00EA383F">
      <w:pPr>
        <w:suppressAutoHyphens w:val="0"/>
        <w:ind w:firstLine="709"/>
        <w:jc w:val="both"/>
        <w:textAlignment w:val="baseline"/>
        <w:rPr>
          <w:rFonts w:ascii="Arial Narrow" w:eastAsia="SimSun" w:hAnsi="Arial Narrow"/>
          <w:bCs/>
          <w:kern w:val="0"/>
          <w:sz w:val="22"/>
          <w:szCs w:val="22"/>
          <w:lang w:eastAsia="en-US" w:bidi="hi-IN"/>
        </w:rPr>
      </w:pPr>
    </w:p>
    <w:p w14:paraId="7194118C" w14:textId="5DBA1A87" w:rsidR="008E6220" w:rsidRPr="00912958" w:rsidRDefault="008E6220" w:rsidP="00EA383F">
      <w:pPr>
        <w:suppressAutoHyphens w:val="0"/>
        <w:ind w:firstLine="709"/>
        <w:jc w:val="both"/>
        <w:textAlignment w:val="baseline"/>
        <w:rPr>
          <w:rFonts w:ascii="Arial Narrow" w:eastAsia="SimSun" w:hAnsi="Arial Narrow"/>
          <w:kern w:val="0"/>
          <w:lang w:eastAsia="zh-CN" w:bidi="hi-IN"/>
        </w:rPr>
      </w:pPr>
      <w:r w:rsidRPr="00912958">
        <w:rPr>
          <w:rFonts w:ascii="Arial Narrow" w:eastAsia="SimSun" w:hAnsi="Arial Narrow"/>
          <w:bCs/>
          <w:kern w:val="0"/>
          <w:lang w:eastAsia="en-US" w:bidi="hi-IN"/>
        </w:rPr>
        <w:t>Publíquese una sola vez en el Boletín Judicial.</w:t>
      </w:r>
      <w:r w:rsidRPr="00912958">
        <w:rPr>
          <w:rFonts w:ascii="Arial Narrow" w:eastAsia="Batang" w:hAnsi="Arial Narrow"/>
          <w:kern w:val="0"/>
          <w:lang w:eastAsia="ko-KR"/>
        </w:rPr>
        <w:t>”</w:t>
      </w:r>
    </w:p>
    <w:p w14:paraId="7DD1972D" w14:textId="425E738F" w:rsidR="001861E2" w:rsidRPr="00912958" w:rsidRDefault="001861E2" w:rsidP="00EA383F">
      <w:pPr>
        <w:ind w:firstLine="709"/>
        <w:jc w:val="both"/>
        <w:rPr>
          <w:rFonts w:ascii="Arial Narrow" w:hAnsi="Arial Narrow"/>
          <w:bCs/>
        </w:rPr>
      </w:pPr>
    </w:p>
    <w:p w14:paraId="2289AA47" w14:textId="76396535" w:rsidR="003C0AEA" w:rsidRPr="00912958" w:rsidRDefault="00635892" w:rsidP="00591BBC">
      <w:pPr>
        <w:widowControl/>
        <w:suppressAutoHyphens w:val="0"/>
        <w:autoSpaceDE w:val="0"/>
        <w:autoSpaceDN w:val="0"/>
        <w:adjustRightInd w:val="0"/>
        <w:ind w:firstLine="709"/>
        <w:jc w:val="both"/>
        <w:rPr>
          <w:rFonts w:ascii="Arial Narrow" w:eastAsia="Times New Roman" w:hAnsi="Arial Narrow"/>
          <w:kern w:val="0"/>
          <w:lang w:eastAsia="es-ES"/>
        </w:rPr>
      </w:pPr>
      <w:r w:rsidRPr="00912958">
        <w:rPr>
          <w:rFonts w:ascii="Arial Narrow" w:hAnsi="Arial Narrow"/>
          <w:bCs/>
        </w:rPr>
        <w:t>San José,</w:t>
      </w:r>
      <w:r w:rsidR="00417659" w:rsidRPr="00912958">
        <w:rPr>
          <w:rFonts w:ascii="Arial Narrow" w:hAnsi="Arial Narrow"/>
          <w:bCs/>
        </w:rPr>
        <w:t>23</w:t>
      </w:r>
      <w:r w:rsidR="00307884" w:rsidRPr="00912958">
        <w:rPr>
          <w:rFonts w:ascii="Arial Narrow" w:hAnsi="Arial Narrow"/>
          <w:bCs/>
        </w:rPr>
        <w:t xml:space="preserve"> de </w:t>
      </w:r>
      <w:r w:rsidR="009E4744" w:rsidRPr="00912958">
        <w:rPr>
          <w:rFonts w:ascii="Arial Narrow" w:hAnsi="Arial Narrow"/>
          <w:bCs/>
        </w:rPr>
        <w:t>febrero</w:t>
      </w:r>
      <w:r w:rsidR="00CE65C9" w:rsidRPr="00912958">
        <w:rPr>
          <w:rFonts w:ascii="Arial Narrow" w:hAnsi="Arial Narrow"/>
          <w:bCs/>
        </w:rPr>
        <w:t xml:space="preserve"> </w:t>
      </w:r>
      <w:r w:rsidRPr="00912958">
        <w:rPr>
          <w:rFonts w:ascii="Arial Narrow" w:hAnsi="Arial Narrow"/>
          <w:bCs/>
        </w:rPr>
        <w:t>de 20</w:t>
      </w:r>
      <w:r w:rsidR="00AA63E2" w:rsidRPr="00912958">
        <w:rPr>
          <w:rFonts w:ascii="Arial Narrow" w:hAnsi="Arial Narrow"/>
          <w:bCs/>
        </w:rPr>
        <w:t>2</w:t>
      </w:r>
      <w:r w:rsidR="00BE4CC6" w:rsidRPr="00912958">
        <w:rPr>
          <w:rFonts w:ascii="Arial Narrow" w:hAnsi="Arial Narrow"/>
          <w:bCs/>
        </w:rPr>
        <w:t>6</w:t>
      </w:r>
      <w:r w:rsidRPr="00912958">
        <w:rPr>
          <w:rFonts w:ascii="Arial Narrow" w:hAnsi="Arial Narrow"/>
          <w:bCs/>
        </w:rPr>
        <w:t>.</w:t>
      </w:r>
    </w:p>
    <w:p w14:paraId="60F5D725" w14:textId="77777777" w:rsidR="00CE65C9" w:rsidRPr="00912958" w:rsidRDefault="00CE65C9" w:rsidP="00CE65C9">
      <w:pPr>
        <w:jc w:val="both"/>
        <w:rPr>
          <w:rFonts w:ascii="Arial Narrow" w:hAnsi="Arial Narrow"/>
          <w:bCs/>
        </w:rPr>
      </w:pPr>
    </w:p>
    <w:p w14:paraId="174E0918" w14:textId="77777777" w:rsidR="00CE65C9" w:rsidRPr="00912958" w:rsidRDefault="00CE65C9" w:rsidP="00CE65C9">
      <w:pPr>
        <w:ind w:left="142" w:right="141"/>
        <w:jc w:val="both"/>
        <w:rPr>
          <w:rFonts w:ascii="Arial Narrow" w:eastAsia="SimSun" w:hAnsi="Arial Narrow"/>
          <w:bCs/>
          <w:kern w:val="0"/>
          <w:lang w:eastAsia="en-US" w:bidi="hi-IN"/>
        </w:rPr>
      </w:pPr>
      <w:r w:rsidRPr="00912958">
        <w:rPr>
          <w:rFonts w:ascii="Arial Narrow" w:eastAsia="SimSun" w:hAnsi="Arial Narrow"/>
          <w:bCs/>
          <w:kern w:val="0"/>
          <w:lang w:eastAsia="en-US" w:bidi="hi-IN"/>
        </w:rPr>
        <w:t>Lic. Carlos T. Mora Rodríguez</w:t>
      </w:r>
    </w:p>
    <w:p w14:paraId="27BF93F8" w14:textId="77777777" w:rsidR="00CE65C9" w:rsidRPr="00912958" w:rsidRDefault="00CE65C9" w:rsidP="00CE65C9">
      <w:pPr>
        <w:ind w:left="142" w:right="141"/>
        <w:jc w:val="both"/>
        <w:rPr>
          <w:rFonts w:ascii="Arial Narrow" w:eastAsia="SimSun" w:hAnsi="Arial Narrow"/>
          <w:bCs/>
          <w:kern w:val="0"/>
          <w:lang w:eastAsia="en-US" w:bidi="hi-IN"/>
        </w:rPr>
      </w:pPr>
      <w:r w:rsidRPr="00912958">
        <w:rPr>
          <w:rFonts w:ascii="Arial Narrow" w:eastAsia="SimSun" w:hAnsi="Arial Narrow"/>
          <w:bCs/>
          <w:kern w:val="0"/>
          <w:lang w:eastAsia="en-US" w:bidi="hi-IN"/>
        </w:rPr>
        <w:t>Subsecretario General interino</w:t>
      </w:r>
    </w:p>
    <w:p w14:paraId="79D3FEC5" w14:textId="7B9C580C" w:rsidR="00635892" w:rsidRPr="00912958" w:rsidRDefault="00CE65C9" w:rsidP="00CE65C9">
      <w:pPr>
        <w:ind w:left="142" w:right="141"/>
        <w:jc w:val="both"/>
        <w:rPr>
          <w:rFonts w:ascii="Arial Narrow" w:hAnsi="Arial Narrow"/>
          <w:bCs/>
        </w:rPr>
      </w:pPr>
      <w:r w:rsidRPr="00912958">
        <w:rPr>
          <w:rFonts w:ascii="Arial Narrow" w:eastAsia="SimSun" w:hAnsi="Arial Narrow"/>
          <w:bCs/>
          <w:kern w:val="0"/>
          <w:lang w:eastAsia="en-US" w:bidi="hi-IN"/>
        </w:rPr>
        <w:t>Corte Suprema de Justicia</w:t>
      </w:r>
    </w:p>
    <w:p w14:paraId="321C1806" w14:textId="77777777" w:rsidR="00394302" w:rsidRPr="00912958" w:rsidRDefault="00394302" w:rsidP="00394302">
      <w:pPr>
        <w:widowControl/>
        <w:jc w:val="both"/>
        <w:rPr>
          <w:rFonts w:ascii="Arial Narrow" w:eastAsia="Times New Roman" w:hAnsi="Arial Narrow"/>
          <w:kern w:val="0"/>
          <w:lang w:eastAsia="zh-CN"/>
        </w:rPr>
      </w:pPr>
    </w:p>
    <w:p w14:paraId="11A034C5" w14:textId="31386157" w:rsidR="009C29C0" w:rsidRPr="00912958" w:rsidRDefault="00635892" w:rsidP="00394302">
      <w:pPr>
        <w:widowControl/>
        <w:jc w:val="both"/>
        <w:rPr>
          <w:rFonts w:ascii="Arial Narrow" w:eastAsia="Times New Roman" w:hAnsi="Arial Narrow"/>
          <w:kern w:val="0"/>
          <w:lang w:eastAsia="zh-CN"/>
        </w:rPr>
      </w:pPr>
      <w:r w:rsidRPr="00912958">
        <w:rPr>
          <w:rFonts w:ascii="Arial Narrow" w:eastAsia="Times New Roman" w:hAnsi="Arial Narrow"/>
          <w:kern w:val="0"/>
          <w:lang w:eastAsia="zh-CN"/>
        </w:rPr>
        <w:t>Ref.:</w:t>
      </w:r>
      <w:r w:rsidR="00694E3B" w:rsidRPr="00912958">
        <w:rPr>
          <w:rFonts w:ascii="Arial Narrow" w:eastAsia="Times New Roman" w:hAnsi="Arial Narrow"/>
          <w:kern w:val="0"/>
          <w:lang w:eastAsia="zh-CN"/>
        </w:rPr>
        <w:t xml:space="preserve"> </w:t>
      </w:r>
      <w:r w:rsidR="008E64E9" w:rsidRPr="00912958">
        <w:rPr>
          <w:rFonts w:ascii="Arial Narrow" w:eastAsia="Times New Roman" w:hAnsi="Arial Narrow"/>
          <w:kern w:val="0"/>
          <w:lang w:eastAsia="zh-CN"/>
        </w:rPr>
        <w:t>(</w:t>
      </w:r>
      <w:r w:rsidR="00694E3B" w:rsidRPr="00912958">
        <w:rPr>
          <w:rFonts w:ascii="Arial Narrow" w:eastAsia="Times New Roman" w:hAnsi="Arial Narrow"/>
          <w:kern w:val="0"/>
          <w:lang w:eastAsia="zh-CN"/>
        </w:rPr>
        <w:t>1069-2026</w:t>
      </w:r>
      <w:r w:rsidR="00EA0D85" w:rsidRPr="00912958">
        <w:rPr>
          <w:rFonts w:ascii="Arial Narrow" w:eastAsia="Times New Roman" w:hAnsi="Arial Narrow"/>
          <w:kern w:val="0"/>
          <w:lang w:eastAsia="zh-CN"/>
        </w:rPr>
        <w:t>)</w:t>
      </w:r>
    </w:p>
    <w:p w14:paraId="6890723A" w14:textId="5B95CB71" w:rsidR="008F206A" w:rsidRPr="00F23090" w:rsidRDefault="00267346" w:rsidP="00CE65C9">
      <w:pPr>
        <w:widowControl/>
        <w:ind w:firstLine="142"/>
        <w:jc w:val="both"/>
        <w:rPr>
          <w:rFonts w:ascii="Arial Narrow" w:eastAsia="Times New Roman" w:hAnsi="Arial Narrow"/>
          <w:kern w:val="0"/>
          <w:lang w:val="es-ES" w:eastAsia="zh-CN"/>
        </w:rPr>
      </w:pPr>
      <w:r w:rsidRPr="00912958">
        <w:rPr>
          <w:rFonts w:ascii="Arial Narrow" w:eastAsia="Times New Roman" w:hAnsi="Arial Narrow"/>
          <w:kern w:val="0"/>
          <w:lang w:eastAsia="zh-CN"/>
        </w:rPr>
        <w:t>Bryan Leitón S.</w:t>
      </w:r>
    </w:p>
    <w:sectPr w:rsidR="008F206A" w:rsidRPr="00F23090" w:rsidSect="00BE7E55">
      <w:headerReference w:type="default" r:id="rId10"/>
      <w:footnotePr>
        <w:pos w:val="beneathText"/>
      </w:footnotePr>
      <w:pgSz w:w="12240" w:h="15840"/>
      <w:pgMar w:top="1417" w:right="1701" w:bottom="1417"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573D" w14:textId="77777777" w:rsidR="00335B18" w:rsidRPr="00912958" w:rsidRDefault="00335B18">
      <w:r w:rsidRPr="00912958">
        <w:separator/>
      </w:r>
    </w:p>
  </w:endnote>
  <w:endnote w:type="continuationSeparator" w:id="0">
    <w:p w14:paraId="36D4CA6D" w14:textId="77777777" w:rsidR="00335B18" w:rsidRPr="00912958" w:rsidRDefault="00335B18">
      <w:r w:rsidRPr="00912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94DF" w14:textId="77777777" w:rsidR="00335B18" w:rsidRPr="00912958" w:rsidRDefault="00335B18">
      <w:r w:rsidRPr="00912958">
        <w:separator/>
      </w:r>
    </w:p>
  </w:footnote>
  <w:footnote w:type="continuationSeparator" w:id="0">
    <w:p w14:paraId="539D173C" w14:textId="77777777" w:rsidR="00335B18" w:rsidRPr="00912958" w:rsidRDefault="00335B18">
      <w:r w:rsidRPr="00912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0A01" w14:textId="7499AED9" w:rsidR="00D44CFE" w:rsidRPr="00912958" w:rsidRDefault="001861E2">
    <w:pPr>
      <w:pStyle w:val="Encabezado"/>
      <w:tabs>
        <w:tab w:val="clear" w:pos="4986"/>
        <w:tab w:val="clear" w:pos="9972"/>
        <w:tab w:val="left" w:pos="709"/>
        <w:tab w:val="center" w:pos="4419"/>
        <w:tab w:val="right" w:pos="8838"/>
      </w:tabs>
    </w:pPr>
    <w:r w:rsidRPr="00912958">
      <w:rPr>
        <w:noProof/>
      </w:rPr>
      <mc:AlternateContent>
        <mc:Choice Requires="wps">
          <w:drawing>
            <wp:anchor distT="0" distB="0" distL="114935" distR="114935" simplePos="0" relativeHeight="251657728" behindDoc="1" locked="0" layoutInCell="1" allowOverlap="1" wp14:anchorId="677D145D" wp14:editId="7C8E27CC">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32DFE" w14:textId="6F044F6A" w:rsidR="00D44CFE" w:rsidRPr="00912958" w:rsidRDefault="00D44C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D145D"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" stroked="f">
              <v:textbox inset="0,0,0,0">
                <w:txbxContent>
                  <w:p w14:paraId="44832DFE" w14:textId="6F044F6A" w:rsidR="00D44CFE" w:rsidRPr="00912958" w:rsidRDefault="00D44CF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0"/>
        </w:tabs>
        <w:ind w:left="107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AAB6520"/>
    <w:multiLevelType w:val="hybridMultilevel"/>
    <w:tmpl w:val="D03ABDCE"/>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350C49F1"/>
    <w:multiLevelType w:val="hybridMultilevel"/>
    <w:tmpl w:val="F992E9E0"/>
    <w:lvl w:ilvl="0" w:tplc="C93A6B86">
      <w:start w:val="1"/>
      <w:numFmt w:val="decimal"/>
      <w:lvlText w:val="%1-"/>
      <w:lvlJc w:val="left"/>
      <w:pPr>
        <w:tabs>
          <w:tab w:val="num" w:pos="1410"/>
        </w:tabs>
        <w:ind w:left="1410" w:hanging="570"/>
      </w:pPr>
      <w:rPr>
        <w:rFonts w:hint="default"/>
        <w:b w:val="0"/>
      </w:r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5"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4E1709D6"/>
    <w:multiLevelType w:val="hybridMultilevel"/>
    <w:tmpl w:val="18303970"/>
    <w:lvl w:ilvl="0" w:tplc="C5FCEAA0">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871FB3"/>
    <w:multiLevelType w:val="hybridMultilevel"/>
    <w:tmpl w:val="5FDCD4F4"/>
    <w:lvl w:ilvl="0" w:tplc="517EC664">
      <w:start w:val="1"/>
      <w:numFmt w:val="decimal"/>
      <w:lvlText w:val="%1-"/>
      <w:lvlJc w:val="left"/>
      <w:pPr>
        <w:tabs>
          <w:tab w:val="num" w:pos="1200"/>
        </w:tabs>
        <w:ind w:left="1200" w:hanging="360"/>
      </w:pPr>
      <w:rPr>
        <w:rFonts w:hint="default"/>
        <w:b w:val="0"/>
      </w:r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8" w15:restartNumberingAfterBreak="0">
    <w:nsid w:val="5C0336A1"/>
    <w:multiLevelType w:val="hybridMultilevel"/>
    <w:tmpl w:val="0ED0C89A"/>
    <w:lvl w:ilvl="0" w:tplc="31D2D47A">
      <w:start w:val="1"/>
      <w:numFmt w:val="bullet"/>
      <w:lvlText w:val="*"/>
      <w:lvlJc w:val="left"/>
      <w:pPr>
        <w:ind w:left="720" w:hanging="360"/>
      </w:pPr>
      <w:rPr>
        <w:rFonts w:ascii="Liberation Serif" w:eastAsia="SimSun" w:hAnsi="Liberation Serif" w:cs="Liberation Serif"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609A41A2"/>
    <w:multiLevelType w:val="hybridMultilevel"/>
    <w:tmpl w:val="4C1E6F98"/>
    <w:lvl w:ilvl="0" w:tplc="140A000F">
      <w:start w:val="1"/>
      <w:numFmt w:val="decimal"/>
      <w:lvlText w:val="%1."/>
      <w:lvlJc w:val="left"/>
      <w:pPr>
        <w:ind w:left="1429" w:hanging="360"/>
      </w:pPr>
    </w:lvl>
    <w:lvl w:ilvl="1" w:tplc="140A0019" w:tentative="1">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abstractNum w:abstractNumId="10" w15:restartNumberingAfterBreak="0">
    <w:nsid w:val="61B76D90"/>
    <w:multiLevelType w:val="hybridMultilevel"/>
    <w:tmpl w:val="7FEA91A0"/>
    <w:lvl w:ilvl="0" w:tplc="2B5A835C">
      <w:start w:val="1"/>
      <w:numFmt w:val="decimal"/>
      <w:lvlText w:val="%1-"/>
      <w:lvlJc w:val="left"/>
      <w:pPr>
        <w:tabs>
          <w:tab w:val="num" w:pos="1200"/>
        </w:tabs>
        <w:ind w:left="1200" w:hanging="360"/>
      </w:pPr>
      <w:rPr>
        <w:rFonts w:hint="default"/>
        <w:b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66120370"/>
    <w:multiLevelType w:val="hybridMultilevel"/>
    <w:tmpl w:val="57C23EF0"/>
    <w:lvl w:ilvl="0" w:tplc="F0BAA114">
      <w:start w:val="1"/>
      <w:numFmt w:val="decimal"/>
      <w:lvlText w:val="%1-"/>
      <w:lvlJc w:val="left"/>
      <w:pPr>
        <w:tabs>
          <w:tab w:val="num" w:pos="1406"/>
        </w:tabs>
        <w:ind w:left="1406" w:hanging="555"/>
      </w:pPr>
      <w:rPr>
        <w:rFonts w:hint="default"/>
        <w:b w:val="0"/>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44E1267"/>
    <w:multiLevelType w:val="hybridMultilevel"/>
    <w:tmpl w:val="6540E484"/>
    <w:lvl w:ilvl="0" w:tplc="FFFFFFFF">
      <w:start w:val="1"/>
      <w:numFmt w:val="decimal"/>
      <w:lvlText w:val="%1."/>
      <w:lvlJc w:val="left"/>
      <w:pPr>
        <w:ind w:left="1571" w:hanging="360"/>
      </w:pPr>
      <w:rPr>
        <w:rFonts w:hint="default"/>
        <w:b/>
        <w:bCs/>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num w:numId="1" w16cid:durableId="14785732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3117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0743390">
    <w:abstractNumId w:val="0"/>
  </w:num>
  <w:num w:numId="4" w16cid:durableId="1927568866">
    <w:abstractNumId w:val="8"/>
  </w:num>
  <w:num w:numId="5" w16cid:durableId="433288558">
    <w:abstractNumId w:val="6"/>
  </w:num>
  <w:num w:numId="6" w16cid:durableId="4723292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617191">
    <w:abstractNumId w:val="11"/>
  </w:num>
  <w:num w:numId="8" w16cid:durableId="633800784">
    <w:abstractNumId w:val="4"/>
  </w:num>
  <w:num w:numId="9" w16cid:durableId="1202088943">
    <w:abstractNumId w:val="7"/>
  </w:num>
  <w:num w:numId="10" w16cid:durableId="447774393">
    <w:abstractNumId w:val="10"/>
  </w:num>
  <w:num w:numId="11" w16cid:durableId="797458517">
    <w:abstractNumId w:val="5"/>
  </w:num>
  <w:num w:numId="12" w16cid:durableId="1290555503">
    <w:abstractNumId w:val="12"/>
  </w:num>
  <w:num w:numId="13" w16cid:durableId="678579315">
    <w:abstractNumId w:val="2"/>
  </w:num>
  <w:num w:numId="14" w16cid:durableId="1864512981">
    <w:abstractNumId w:val="9"/>
  </w:num>
  <w:num w:numId="15" w16cid:durableId="124356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D3D"/>
    <w:rsid w:val="00013815"/>
    <w:rsid w:val="000138BF"/>
    <w:rsid w:val="00032B41"/>
    <w:rsid w:val="000405C8"/>
    <w:rsid w:val="00045081"/>
    <w:rsid w:val="00047F88"/>
    <w:rsid w:val="00064E7C"/>
    <w:rsid w:val="000702C6"/>
    <w:rsid w:val="00070FAF"/>
    <w:rsid w:val="0007249A"/>
    <w:rsid w:val="00080124"/>
    <w:rsid w:val="000853B3"/>
    <w:rsid w:val="000913E8"/>
    <w:rsid w:val="0009588A"/>
    <w:rsid w:val="000A110F"/>
    <w:rsid w:val="000A240D"/>
    <w:rsid w:val="000A5D88"/>
    <w:rsid w:val="000B013D"/>
    <w:rsid w:val="000B174C"/>
    <w:rsid w:val="000B628E"/>
    <w:rsid w:val="000B7DEE"/>
    <w:rsid w:val="000B7FA4"/>
    <w:rsid w:val="000C0EE2"/>
    <w:rsid w:val="000C1E97"/>
    <w:rsid w:val="000C4BB9"/>
    <w:rsid w:val="000C4FDA"/>
    <w:rsid w:val="000C7EEA"/>
    <w:rsid w:val="000E11E3"/>
    <w:rsid w:val="000E70A7"/>
    <w:rsid w:val="000E785A"/>
    <w:rsid w:val="000E7920"/>
    <w:rsid w:val="000F1BD9"/>
    <w:rsid w:val="000F55FD"/>
    <w:rsid w:val="00105962"/>
    <w:rsid w:val="0013147D"/>
    <w:rsid w:val="00136BD6"/>
    <w:rsid w:val="00144540"/>
    <w:rsid w:val="00146DF3"/>
    <w:rsid w:val="001479B9"/>
    <w:rsid w:val="00157B3C"/>
    <w:rsid w:val="00160391"/>
    <w:rsid w:val="00162DE0"/>
    <w:rsid w:val="0016722E"/>
    <w:rsid w:val="00167459"/>
    <w:rsid w:val="00167DC6"/>
    <w:rsid w:val="00174654"/>
    <w:rsid w:val="0018089D"/>
    <w:rsid w:val="001839FC"/>
    <w:rsid w:val="001861E2"/>
    <w:rsid w:val="0018797B"/>
    <w:rsid w:val="00187F98"/>
    <w:rsid w:val="00190C63"/>
    <w:rsid w:val="001A0F07"/>
    <w:rsid w:val="001A52C9"/>
    <w:rsid w:val="001A6ADC"/>
    <w:rsid w:val="001A6BD5"/>
    <w:rsid w:val="001B1476"/>
    <w:rsid w:val="001B77CE"/>
    <w:rsid w:val="001C044B"/>
    <w:rsid w:val="001C3665"/>
    <w:rsid w:val="001D2DC4"/>
    <w:rsid w:val="001D7814"/>
    <w:rsid w:val="001E26DA"/>
    <w:rsid w:val="001E4215"/>
    <w:rsid w:val="001E5209"/>
    <w:rsid w:val="001E552A"/>
    <w:rsid w:val="001E5EE8"/>
    <w:rsid w:val="001E657B"/>
    <w:rsid w:val="001F1B22"/>
    <w:rsid w:val="00202785"/>
    <w:rsid w:val="00204183"/>
    <w:rsid w:val="00204912"/>
    <w:rsid w:val="00204BD1"/>
    <w:rsid w:val="002131FA"/>
    <w:rsid w:val="00214880"/>
    <w:rsid w:val="002221D0"/>
    <w:rsid w:val="00224481"/>
    <w:rsid w:val="00224A9D"/>
    <w:rsid w:val="002359A4"/>
    <w:rsid w:val="00236D0A"/>
    <w:rsid w:val="002404AE"/>
    <w:rsid w:val="0024558D"/>
    <w:rsid w:val="00246CE0"/>
    <w:rsid w:val="002538FF"/>
    <w:rsid w:val="00254CF0"/>
    <w:rsid w:val="0025527E"/>
    <w:rsid w:val="002634A2"/>
    <w:rsid w:val="00263914"/>
    <w:rsid w:val="00267346"/>
    <w:rsid w:val="00277268"/>
    <w:rsid w:val="00281F04"/>
    <w:rsid w:val="002825D7"/>
    <w:rsid w:val="002853F4"/>
    <w:rsid w:val="002857DD"/>
    <w:rsid w:val="0028581F"/>
    <w:rsid w:val="00285A32"/>
    <w:rsid w:val="00287534"/>
    <w:rsid w:val="0029023D"/>
    <w:rsid w:val="00291407"/>
    <w:rsid w:val="00291A66"/>
    <w:rsid w:val="0029304A"/>
    <w:rsid w:val="002930C2"/>
    <w:rsid w:val="002A3B0D"/>
    <w:rsid w:val="002A5B52"/>
    <w:rsid w:val="002B0955"/>
    <w:rsid w:val="002B2838"/>
    <w:rsid w:val="002B4CE4"/>
    <w:rsid w:val="002C23C5"/>
    <w:rsid w:val="002C291D"/>
    <w:rsid w:val="002C4203"/>
    <w:rsid w:val="002C7C70"/>
    <w:rsid w:val="002D2A97"/>
    <w:rsid w:val="002D383D"/>
    <w:rsid w:val="002E2530"/>
    <w:rsid w:val="002F288C"/>
    <w:rsid w:val="002F5A62"/>
    <w:rsid w:val="002F63B8"/>
    <w:rsid w:val="002F73CB"/>
    <w:rsid w:val="002F7A6A"/>
    <w:rsid w:val="00301ADF"/>
    <w:rsid w:val="00301AF3"/>
    <w:rsid w:val="00302877"/>
    <w:rsid w:val="00307884"/>
    <w:rsid w:val="003079AF"/>
    <w:rsid w:val="00311386"/>
    <w:rsid w:val="00315EC7"/>
    <w:rsid w:val="0032088B"/>
    <w:rsid w:val="00322B4B"/>
    <w:rsid w:val="00334B72"/>
    <w:rsid w:val="003353DC"/>
    <w:rsid w:val="00335B18"/>
    <w:rsid w:val="00341C02"/>
    <w:rsid w:val="0034244E"/>
    <w:rsid w:val="0034333A"/>
    <w:rsid w:val="00343803"/>
    <w:rsid w:val="0034790C"/>
    <w:rsid w:val="003559C4"/>
    <w:rsid w:val="00361227"/>
    <w:rsid w:val="003644B6"/>
    <w:rsid w:val="003678B3"/>
    <w:rsid w:val="00372F0E"/>
    <w:rsid w:val="00375011"/>
    <w:rsid w:val="0037610C"/>
    <w:rsid w:val="003769AA"/>
    <w:rsid w:val="00380031"/>
    <w:rsid w:val="003817E2"/>
    <w:rsid w:val="00392B19"/>
    <w:rsid w:val="00394302"/>
    <w:rsid w:val="003964FD"/>
    <w:rsid w:val="003A1DC8"/>
    <w:rsid w:val="003A4EA7"/>
    <w:rsid w:val="003B2D98"/>
    <w:rsid w:val="003B5483"/>
    <w:rsid w:val="003B60C7"/>
    <w:rsid w:val="003B60FC"/>
    <w:rsid w:val="003B6993"/>
    <w:rsid w:val="003B7679"/>
    <w:rsid w:val="003C0AEA"/>
    <w:rsid w:val="003C11EF"/>
    <w:rsid w:val="003C6AC0"/>
    <w:rsid w:val="003C7AD1"/>
    <w:rsid w:val="003D1FC1"/>
    <w:rsid w:val="003E1117"/>
    <w:rsid w:val="003E7067"/>
    <w:rsid w:val="003F24BA"/>
    <w:rsid w:val="003F2CC6"/>
    <w:rsid w:val="003F725D"/>
    <w:rsid w:val="004000A6"/>
    <w:rsid w:val="00406BD2"/>
    <w:rsid w:val="00410E73"/>
    <w:rsid w:val="00410EFC"/>
    <w:rsid w:val="00411622"/>
    <w:rsid w:val="004157BB"/>
    <w:rsid w:val="0041588F"/>
    <w:rsid w:val="00416D48"/>
    <w:rsid w:val="00417659"/>
    <w:rsid w:val="00422531"/>
    <w:rsid w:val="00426E70"/>
    <w:rsid w:val="00427CBC"/>
    <w:rsid w:val="00435465"/>
    <w:rsid w:val="004354E5"/>
    <w:rsid w:val="00440FC5"/>
    <w:rsid w:val="00446CE8"/>
    <w:rsid w:val="00454E25"/>
    <w:rsid w:val="00457BCC"/>
    <w:rsid w:val="004605BC"/>
    <w:rsid w:val="0046689F"/>
    <w:rsid w:val="00470169"/>
    <w:rsid w:val="00475AD4"/>
    <w:rsid w:val="004760BA"/>
    <w:rsid w:val="004808D5"/>
    <w:rsid w:val="00484772"/>
    <w:rsid w:val="00487330"/>
    <w:rsid w:val="00490AAE"/>
    <w:rsid w:val="00493DA0"/>
    <w:rsid w:val="00497DB8"/>
    <w:rsid w:val="004A512C"/>
    <w:rsid w:val="004B2A9B"/>
    <w:rsid w:val="004B6DC3"/>
    <w:rsid w:val="004B703E"/>
    <w:rsid w:val="004C0F6D"/>
    <w:rsid w:val="004C3481"/>
    <w:rsid w:val="004C416D"/>
    <w:rsid w:val="004D2E3D"/>
    <w:rsid w:val="004D41FE"/>
    <w:rsid w:val="004D48D8"/>
    <w:rsid w:val="004E73A7"/>
    <w:rsid w:val="004F00CB"/>
    <w:rsid w:val="004F0AB2"/>
    <w:rsid w:val="004F3186"/>
    <w:rsid w:val="004F31AA"/>
    <w:rsid w:val="00500CE7"/>
    <w:rsid w:val="00501492"/>
    <w:rsid w:val="005034C4"/>
    <w:rsid w:val="0051662F"/>
    <w:rsid w:val="00517047"/>
    <w:rsid w:val="00523C17"/>
    <w:rsid w:val="0052701A"/>
    <w:rsid w:val="00537936"/>
    <w:rsid w:val="00543B67"/>
    <w:rsid w:val="005461FC"/>
    <w:rsid w:val="005478CD"/>
    <w:rsid w:val="00553E53"/>
    <w:rsid w:val="0055585E"/>
    <w:rsid w:val="00566F6F"/>
    <w:rsid w:val="00567B77"/>
    <w:rsid w:val="005703F6"/>
    <w:rsid w:val="00575E27"/>
    <w:rsid w:val="00577ED0"/>
    <w:rsid w:val="0058373E"/>
    <w:rsid w:val="00586B79"/>
    <w:rsid w:val="00591BBC"/>
    <w:rsid w:val="00595043"/>
    <w:rsid w:val="0059657E"/>
    <w:rsid w:val="005978F9"/>
    <w:rsid w:val="005C1252"/>
    <w:rsid w:val="005C21C7"/>
    <w:rsid w:val="005C48B3"/>
    <w:rsid w:val="005D18BA"/>
    <w:rsid w:val="005E22E2"/>
    <w:rsid w:val="005E4728"/>
    <w:rsid w:val="005F1F07"/>
    <w:rsid w:val="006029C0"/>
    <w:rsid w:val="00606B75"/>
    <w:rsid w:val="00615084"/>
    <w:rsid w:val="00630712"/>
    <w:rsid w:val="00635892"/>
    <w:rsid w:val="00635A1D"/>
    <w:rsid w:val="006411F3"/>
    <w:rsid w:val="006424E9"/>
    <w:rsid w:val="0064477F"/>
    <w:rsid w:val="00645BBE"/>
    <w:rsid w:val="0065178F"/>
    <w:rsid w:val="00654AAF"/>
    <w:rsid w:val="006576FF"/>
    <w:rsid w:val="00657CBC"/>
    <w:rsid w:val="00661104"/>
    <w:rsid w:val="0066360A"/>
    <w:rsid w:val="00664025"/>
    <w:rsid w:val="00671180"/>
    <w:rsid w:val="006716E5"/>
    <w:rsid w:val="00672C36"/>
    <w:rsid w:val="006750EE"/>
    <w:rsid w:val="00675B49"/>
    <w:rsid w:val="00683846"/>
    <w:rsid w:val="00686172"/>
    <w:rsid w:val="006870DD"/>
    <w:rsid w:val="00693EF8"/>
    <w:rsid w:val="0069455D"/>
    <w:rsid w:val="00694E3B"/>
    <w:rsid w:val="00695EA1"/>
    <w:rsid w:val="00696028"/>
    <w:rsid w:val="00697398"/>
    <w:rsid w:val="006A1B90"/>
    <w:rsid w:val="006A36AE"/>
    <w:rsid w:val="006A6CE9"/>
    <w:rsid w:val="006B01ED"/>
    <w:rsid w:val="006B5B17"/>
    <w:rsid w:val="006B7178"/>
    <w:rsid w:val="006C0A9F"/>
    <w:rsid w:val="006C641F"/>
    <w:rsid w:val="006D0A32"/>
    <w:rsid w:val="006D1356"/>
    <w:rsid w:val="006D6575"/>
    <w:rsid w:val="006E2656"/>
    <w:rsid w:val="006E4124"/>
    <w:rsid w:val="006F0D7A"/>
    <w:rsid w:val="006F5497"/>
    <w:rsid w:val="00700902"/>
    <w:rsid w:val="00707F47"/>
    <w:rsid w:val="00713E76"/>
    <w:rsid w:val="0072449B"/>
    <w:rsid w:val="007354EE"/>
    <w:rsid w:val="00736BA1"/>
    <w:rsid w:val="00737B25"/>
    <w:rsid w:val="007410CF"/>
    <w:rsid w:val="0075151D"/>
    <w:rsid w:val="00753415"/>
    <w:rsid w:val="00755E40"/>
    <w:rsid w:val="007579DD"/>
    <w:rsid w:val="00763DE6"/>
    <w:rsid w:val="00770362"/>
    <w:rsid w:val="00770F38"/>
    <w:rsid w:val="00781F01"/>
    <w:rsid w:val="0078284D"/>
    <w:rsid w:val="007867E8"/>
    <w:rsid w:val="0079188F"/>
    <w:rsid w:val="007926AA"/>
    <w:rsid w:val="00795536"/>
    <w:rsid w:val="00796182"/>
    <w:rsid w:val="00796D94"/>
    <w:rsid w:val="007A272A"/>
    <w:rsid w:val="007A32F0"/>
    <w:rsid w:val="007A5005"/>
    <w:rsid w:val="007A6EC1"/>
    <w:rsid w:val="007B0465"/>
    <w:rsid w:val="007B76A7"/>
    <w:rsid w:val="007C0446"/>
    <w:rsid w:val="007C0A70"/>
    <w:rsid w:val="007C13A5"/>
    <w:rsid w:val="007C170A"/>
    <w:rsid w:val="007C7402"/>
    <w:rsid w:val="007E5B2A"/>
    <w:rsid w:val="007E7A1B"/>
    <w:rsid w:val="007F1B42"/>
    <w:rsid w:val="007F3661"/>
    <w:rsid w:val="007F3A1D"/>
    <w:rsid w:val="007F3FC6"/>
    <w:rsid w:val="007F79C4"/>
    <w:rsid w:val="008006B5"/>
    <w:rsid w:val="00800C0A"/>
    <w:rsid w:val="00801122"/>
    <w:rsid w:val="008043AE"/>
    <w:rsid w:val="00804FEA"/>
    <w:rsid w:val="008055DA"/>
    <w:rsid w:val="008112CA"/>
    <w:rsid w:val="0081246F"/>
    <w:rsid w:val="00813720"/>
    <w:rsid w:val="00814A18"/>
    <w:rsid w:val="00817BB3"/>
    <w:rsid w:val="00822F53"/>
    <w:rsid w:val="008252C1"/>
    <w:rsid w:val="00830831"/>
    <w:rsid w:val="0083109E"/>
    <w:rsid w:val="008314B3"/>
    <w:rsid w:val="00831EF9"/>
    <w:rsid w:val="008328D2"/>
    <w:rsid w:val="00833EA6"/>
    <w:rsid w:val="008370E6"/>
    <w:rsid w:val="00850BDA"/>
    <w:rsid w:val="0085577A"/>
    <w:rsid w:val="008606F3"/>
    <w:rsid w:val="008622D2"/>
    <w:rsid w:val="0086351B"/>
    <w:rsid w:val="00863B35"/>
    <w:rsid w:val="008641DA"/>
    <w:rsid w:val="0086607B"/>
    <w:rsid w:val="00867CFB"/>
    <w:rsid w:val="008709BC"/>
    <w:rsid w:val="00876032"/>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3B5A"/>
    <w:rsid w:val="008C4C8C"/>
    <w:rsid w:val="008C5D2E"/>
    <w:rsid w:val="008C7D91"/>
    <w:rsid w:val="008D19EA"/>
    <w:rsid w:val="008D3421"/>
    <w:rsid w:val="008D677F"/>
    <w:rsid w:val="008D71C8"/>
    <w:rsid w:val="008D7456"/>
    <w:rsid w:val="008E26BC"/>
    <w:rsid w:val="008E6220"/>
    <w:rsid w:val="008E64E9"/>
    <w:rsid w:val="008F206A"/>
    <w:rsid w:val="009009F1"/>
    <w:rsid w:val="00902078"/>
    <w:rsid w:val="009023B3"/>
    <w:rsid w:val="00903D06"/>
    <w:rsid w:val="00904701"/>
    <w:rsid w:val="00906619"/>
    <w:rsid w:val="00912958"/>
    <w:rsid w:val="0091607B"/>
    <w:rsid w:val="009307B0"/>
    <w:rsid w:val="009366A3"/>
    <w:rsid w:val="0094130E"/>
    <w:rsid w:val="0094541C"/>
    <w:rsid w:val="00945F8B"/>
    <w:rsid w:val="009473F8"/>
    <w:rsid w:val="00950A29"/>
    <w:rsid w:val="00951B80"/>
    <w:rsid w:val="00954017"/>
    <w:rsid w:val="00954DD5"/>
    <w:rsid w:val="0095524D"/>
    <w:rsid w:val="00956815"/>
    <w:rsid w:val="00971DA1"/>
    <w:rsid w:val="00973CD9"/>
    <w:rsid w:val="00975686"/>
    <w:rsid w:val="00984F78"/>
    <w:rsid w:val="00986931"/>
    <w:rsid w:val="00987EE5"/>
    <w:rsid w:val="0099305D"/>
    <w:rsid w:val="009930A1"/>
    <w:rsid w:val="00996707"/>
    <w:rsid w:val="009A2732"/>
    <w:rsid w:val="009A7D03"/>
    <w:rsid w:val="009B062A"/>
    <w:rsid w:val="009B16C1"/>
    <w:rsid w:val="009B2055"/>
    <w:rsid w:val="009B341D"/>
    <w:rsid w:val="009C0BCA"/>
    <w:rsid w:val="009C29C0"/>
    <w:rsid w:val="009C2A42"/>
    <w:rsid w:val="009C6D64"/>
    <w:rsid w:val="009D59E6"/>
    <w:rsid w:val="009D718B"/>
    <w:rsid w:val="009D7D76"/>
    <w:rsid w:val="009E017C"/>
    <w:rsid w:val="009E067B"/>
    <w:rsid w:val="009E413D"/>
    <w:rsid w:val="009E436E"/>
    <w:rsid w:val="009E437B"/>
    <w:rsid w:val="009E4744"/>
    <w:rsid w:val="009F1689"/>
    <w:rsid w:val="009F1A66"/>
    <w:rsid w:val="00A0685D"/>
    <w:rsid w:val="00A07DFF"/>
    <w:rsid w:val="00A13436"/>
    <w:rsid w:val="00A22DAD"/>
    <w:rsid w:val="00A25900"/>
    <w:rsid w:val="00A2675A"/>
    <w:rsid w:val="00A31149"/>
    <w:rsid w:val="00A36F22"/>
    <w:rsid w:val="00A37989"/>
    <w:rsid w:val="00A37C7E"/>
    <w:rsid w:val="00A37CA8"/>
    <w:rsid w:val="00A4159C"/>
    <w:rsid w:val="00A41CDD"/>
    <w:rsid w:val="00A42198"/>
    <w:rsid w:val="00A46130"/>
    <w:rsid w:val="00A5270C"/>
    <w:rsid w:val="00A63C5D"/>
    <w:rsid w:val="00A662E0"/>
    <w:rsid w:val="00A718C3"/>
    <w:rsid w:val="00A74E71"/>
    <w:rsid w:val="00A82DB4"/>
    <w:rsid w:val="00A82F3A"/>
    <w:rsid w:val="00A92502"/>
    <w:rsid w:val="00A92BAD"/>
    <w:rsid w:val="00A9321A"/>
    <w:rsid w:val="00A963C3"/>
    <w:rsid w:val="00AA2F43"/>
    <w:rsid w:val="00AA3C6B"/>
    <w:rsid w:val="00AA42E2"/>
    <w:rsid w:val="00AA63E2"/>
    <w:rsid w:val="00AA6E6D"/>
    <w:rsid w:val="00AB0593"/>
    <w:rsid w:val="00AB66FF"/>
    <w:rsid w:val="00AC1615"/>
    <w:rsid w:val="00AD1340"/>
    <w:rsid w:val="00AD17FF"/>
    <w:rsid w:val="00AD54B7"/>
    <w:rsid w:val="00AE0411"/>
    <w:rsid w:val="00AE6A38"/>
    <w:rsid w:val="00AF1148"/>
    <w:rsid w:val="00AF3C2E"/>
    <w:rsid w:val="00AF7DEE"/>
    <w:rsid w:val="00B0260F"/>
    <w:rsid w:val="00B13352"/>
    <w:rsid w:val="00B1647F"/>
    <w:rsid w:val="00B2091B"/>
    <w:rsid w:val="00B248EF"/>
    <w:rsid w:val="00B24B22"/>
    <w:rsid w:val="00B323B3"/>
    <w:rsid w:val="00B33076"/>
    <w:rsid w:val="00B43D61"/>
    <w:rsid w:val="00B51206"/>
    <w:rsid w:val="00B56713"/>
    <w:rsid w:val="00B56F9E"/>
    <w:rsid w:val="00B61A0B"/>
    <w:rsid w:val="00B711EA"/>
    <w:rsid w:val="00B72DAD"/>
    <w:rsid w:val="00B760FB"/>
    <w:rsid w:val="00B77009"/>
    <w:rsid w:val="00B804DF"/>
    <w:rsid w:val="00B8167A"/>
    <w:rsid w:val="00B86100"/>
    <w:rsid w:val="00B90A0F"/>
    <w:rsid w:val="00B924F9"/>
    <w:rsid w:val="00B92DE4"/>
    <w:rsid w:val="00B92F5A"/>
    <w:rsid w:val="00B96AE2"/>
    <w:rsid w:val="00BA6EF1"/>
    <w:rsid w:val="00BA7FAF"/>
    <w:rsid w:val="00BB045C"/>
    <w:rsid w:val="00BB6EEA"/>
    <w:rsid w:val="00BB79E4"/>
    <w:rsid w:val="00BC10FB"/>
    <w:rsid w:val="00BC1D92"/>
    <w:rsid w:val="00BC2CE7"/>
    <w:rsid w:val="00BD04A4"/>
    <w:rsid w:val="00BD0CCD"/>
    <w:rsid w:val="00BD0DB2"/>
    <w:rsid w:val="00BD603F"/>
    <w:rsid w:val="00BD6846"/>
    <w:rsid w:val="00BE4438"/>
    <w:rsid w:val="00BE4CC6"/>
    <w:rsid w:val="00BE4F86"/>
    <w:rsid w:val="00BE6241"/>
    <w:rsid w:val="00BE718A"/>
    <w:rsid w:val="00BE7E55"/>
    <w:rsid w:val="00BF1B43"/>
    <w:rsid w:val="00BF37D6"/>
    <w:rsid w:val="00BF4713"/>
    <w:rsid w:val="00BF4A12"/>
    <w:rsid w:val="00C01842"/>
    <w:rsid w:val="00C072BF"/>
    <w:rsid w:val="00C10890"/>
    <w:rsid w:val="00C10914"/>
    <w:rsid w:val="00C11CF4"/>
    <w:rsid w:val="00C16AD6"/>
    <w:rsid w:val="00C30FCB"/>
    <w:rsid w:val="00C33748"/>
    <w:rsid w:val="00C34914"/>
    <w:rsid w:val="00C43097"/>
    <w:rsid w:val="00C4674C"/>
    <w:rsid w:val="00C51A93"/>
    <w:rsid w:val="00C53585"/>
    <w:rsid w:val="00C61A77"/>
    <w:rsid w:val="00C61DD9"/>
    <w:rsid w:val="00C62509"/>
    <w:rsid w:val="00C6690D"/>
    <w:rsid w:val="00C66C8B"/>
    <w:rsid w:val="00C706F4"/>
    <w:rsid w:val="00C707A0"/>
    <w:rsid w:val="00C72375"/>
    <w:rsid w:val="00C76314"/>
    <w:rsid w:val="00C76769"/>
    <w:rsid w:val="00C80E09"/>
    <w:rsid w:val="00C82F5E"/>
    <w:rsid w:val="00C86D60"/>
    <w:rsid w:val="00C87428"/>
    <w:rsid w:val="00C95ED3"/>
    <w:rsid w:val="00CA303C"/>
    <w:rsid w:val="00CA6548"/>
    <w:rsid w:val="00CB0724"/>
    <w:rsid w:val="00CB2E85"/>
    <w:rsid w:val="00CC069C"/>
    <w:rsid w:val="00CC421E"/>
    <w:rsid w:val="00CC5E22"/>
    <w:rsid w:val="00CD18E2"/>
    <w:rsid w:val="00CD70A7"/>
    <w:rsid w:val="00CE2E60"/>
    <w:rsid w:val="00CE564D"/>
    <w:rsid w:val="00CE65C9"/>
    <w:rsid w:val="00CF5C21"/>
    <w:rsid w:val="00D00380"/>
    <w:rsid w:val="00D0229A"/>
    <w:rsid w:val="00D03F35"/>
    <w:rsid w:val="00D112B6"/>
    <w:rsid w:val="00D17E32"/>
    <w:rsid w:val="00D21239"/>
    <w:rsid w:val="00D22DBE"/>
    <w:rsid w:val="00D23AAB"/>
    <w:rsid w:val="00D26196"/>
    <w:rsid w:val="00D266E5"/>
    <w:rsid w:val="00D31DF7"/>
    <w:rsid w:val="00D36003"/>
    <w:rsid w:val="00D36B56"/>
    <w:rsid w:val="00D36D90"/>
    <w:rsid w:val="00D41C75"/>
    <w:rsid w:val="00D44CFE"/>
    <w:rsid w:val="00D544C1"/>
    <w:rsid w:val="00D54B78"/>
    <w:rsid w:val="00D55542"/>
    <w:rsid w:val="00D57316"/>
    <w:rsid w:val="00D6066D"/>
    <w:rsid w:val="00D62D5E"/>
    <w:rsid w:val="00D63D2B"/>
    <w:rsid w:val="00D659E4"/>
    <w:rsid w:val="00D76CBB"/>
    <w:rsid w:val="00D802F6"/>
    <w:rsid w:val="00D80966"/>
    <w:rsid w:val="00D82870"/>
    <w:rsid w:val="00D82BD1"/>
    <w:rsid w:val="00D87B00"/>
    <w:rsid w:val="00D94569"/>
    <w:rsid w:val="00D947FA"/>
    <w:rsid w:val="00D94E2D"/>
    <w:rsid w:val="00DA0E39"/>
    <w:rsid w:val="00DA1418"/>
    <w:rsid w:val="00DA4AF7"/>
    <w:rsid w:val="00DA5344"/>
    <w:rsid w:val="00DC4328"/>
    <w:rsid w:val="00DC5AF6"/>
    <w:rsid w:val="00DD2501"/>
    <w:rsid w:val="00DD5EC6"/>
    <w:rsid w:val="00DE20C0"/>
    <w:rsid w:val="00DE3A67"/>
    <w:rsid w:val="00DE73D7"/>
    <w:rsid w:val="00DF2C8F"/>
    <w:rsid w:val="00E0020F"/>
    <w:rsid w:val="00E05E44"/>
    <w:rsid w:val="00E06B79"/>
    <w:rsid w:val="00E14ACE"/>
    <w:rsid w:val="00E15455"/>
    <w:rsid w:val="00E17BED"/>
    <w:rsid w:val="00E26C37"/>
    <w:rsid w:val="00E344A3"/>
    <w:rsid w:val="00E346AA"/>
    <w:rsid w:val="00E37BD9"/>
    <w:rsid w:val="00E405F2"/>
    <w:rsid w:val="00E46395"/>
    <w:rsid w:val="00E51021"/>
    <w:rsid w:val="00E57928"/>
    <w:rsid w:val="00E60982"/>
    <w:rsid w:val="00E638DA"/>
    <w:rsid w:val="00E649CD"/>
    <w:rsid w:val="00E76B03"/>
    <w:rsid w:val="00E86963"/>
    <w:rsid w:val="00E90BC5"/>
    <w:rsid w:val="00E9462E"/>
    <w:rsid w:val="00EA0D85"/>
    <w:rsid w:val="00EA383F"/>
    <w:rsid w:val="00EA48CB"/>
    <w:rsid w:val="00EA5E4A"/>
    <w:rsid w:val="00EC2982"/>
    <w:rsid w:val="00EC3F8E"/>
    <w:rsid w:val="00EC6799"/>
    <w:rsid w:val="00ED0630"/>
    <w:rsid w:val="00ED0EB6"/>
    <w:rsid w:val="00ED7692"/>
    <w:rsid w:val="00ED7A7D"/>
    <w:rsid w:val="00EE1747"/>
    <w:rsid w:val="00EE4937"/>
    <w:rsid w:val="00EE5D77"/>
    <w:rsid w:val="00EF129F"/>
    <w:rsid w:val="00EF189E"/>
    <w:rsid w:val="00EF6272"/>
    <w:rsid w:val="00F00332"/>
    <w:rsid w:val="00F01A7E"/>
    <w:rsid w:val="00F04EB6"/>
    <w:rsid w:val="00F05A62"/>
    <w:rsid w:val="00F12249"/>
    <w:rsid w:val="00F136A6"/>
    <w:rsid w:val="00F1380F"/>
    <w:rsid w:val="00F23090"/>
    <w:rsid w:val="00F24300"/>
    <w:rsid w:val="00F250C3"/>
    <w:rsid w:val="00F25932"/>
    <w:rsid w:val="00F3074C"/>
    <w:rsid w:val="00F37093"/>
    <w:rsid w:val="00F370C6"/>
    <w:rsid w:val="00F41EBF"/>
    <w:rsid w:val="00F42F63"/>
    <w:rsid w:val="00F46A17"/>
    <w:rsid w:val="00F46E7C"/>
    <w:rsid w:val="00F50E7D"/>
    <w:rsid w:val="00F60D84"/>
    <w:rsid w:val="00F67287"/>
    <w:rsid w:val="00F679AA"/>
    <w:rsid w:val="00F70531"/>
    <w:rsid w:val="00F72B61"/>
    <w:rsid w:val="00F7626C"/>
    <w:rsid w:val="00F769CA"/>
    <w:rsid w:val="00F83E99"/>
    <w:rsid w:val="00F84EB4"/>
    <w:rsid w:val="00F915D9"/>
    <w:rsid w:val="00F95382"/>
    <w:rsid w:val="00F95544"/>
    <w:rsid w:val="00FA2A17"/>
    <w:rsid w:val="00FA2C56"/>
    <w:rsid w:val="00FA2E40"/>
    <w:rsid w:val="00FB0405"/>
    <w:rsid w:val="00FB0B26"/>
    <w:rsid w:val="00FC0441"/>
    <w:rsid w:val="00FC1143"/>
    <w:rsid w:val="00FC415C"/>
    <w:rsid w:val="00FD6425"/>
    <w:rsid w:val="00FF239E"/>
    <w:rsid w:val="00FF49DF"/>
    <w:rsid w:val="00FF4DC9"/>
    <w:rsid w:val="00FF6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639B"/>
  <w15:chartTrackingRefBased/>
  <w15:docId w15:val="{AE322098-AF1F-4C2F-8512-8186C418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uiPriority w:val="99"/>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xmsonormal">
    <w:name w:val="x_msonormal"/>
    <w:basedOn w:val="Normal"/>
    <w:rsid w:val="00ED7A7D"/>
    <w:pPr>
      <w:widowControl/>
      <w:suppressAutoHyphens w:val="0"/>
    </w:pPr>
    <w:rPr>
      <w:rFonts w:ascii="Calibri" w:eastAsia="Calibri" w:hAnsi="Calibri" w:cs="Calibri"/>
      <w:kern w:val="0"/>
      <w:sz w:val="22"/>
      <w:szCs w:val="22"/>
    </w:rPr>
  </w:style>
  <w:style w:type="paragraph" w:styleId="Prrafodelista">
    <w:name w:val="List Paragraph"/>
    <w:basedOn w:val="Normal"/>
    <w:uiPriority w:val="34"/>
    <w:qFormat/>
    <w:rsid w:val="00ED7A7D"/>
    <w:pPr>
      <w:ind w:left="720"/>
      <w:contextualSpacing/>
    </w:pPr>
  </w:style>
  <w:style w:type="character" w:styleId="Hipervnculovisitado">
    <w:name w:val="FollowedHyperlink"/>
    <w:basedOn w:val="Fuentedeprrafopredeter"/>
    <w:rsid w:val="00FA2A17"/>
    <w:rPr>
      <w:color w:val="954F72" w:themeColor="followedHyperlink"/>
      <w:u w:val="single"/>
    </w:rPr>
  </w:style>
  <w:style w:type="character" w:customStyle="1" w:styleId="Mencinsinresolver1">
    <w:name w:val="Mención sin resolver1"/>
    <w:basedOn w:val="Fuentedeprrafopredeter"/>
    <w:uiPriority w:val="99"/>
    <w:semiHidden/>
    <w:unhideWhenUsed/>
    <w:rsid w:val="00ED0630"/>
    <w:rPr>
      <w:color w:val="605E5C"/>
      <w:shd w:val="clear" w:color="auto" w:fill="E1DFDD"/>
    </w:rPr>
  </w:style>
  <w:style w:type="character" w:styleId="Mencinsinresolver">
    <w:name w:val="Unresolved Mention"/>
    <w:basedOn w:val="Fuentedeprrafopredeter"/>
    <w:uiPriority w:val="99"/>
    <w:semiHidden/>
    <w:unhideWhenUsed/>
    <w:rsid w:val="00736BA1"/>
    <w:rPr>
      <w:color w:val="605E5C"/>
      <w:shd w:val="clear" w:color="auto" w:fill="E1DFDD"/>
    </w:rPr>
  </w:style>
  <w:style w:type="table" w:styleId="Tablaconcuadrcula">
    <w:name w:val="Table Grid"/>
    <w:basedOn w:val="Tablanormal"/>
    <w:uiPriority w:val="39"/>
    <w:rsid w:val="00A07DFF"/>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689767469">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876429669">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478061647">
      <w:bodyDiv w:val="1"/>
      <w:marLeft w:val="0"/>
      <w:marRight w:val="0"/>
      <w:marTop w:val="0"/>
      <w:marBottom w:val="0"/>
      <w:divBdr>
        <w:top w:val="none" w:sz="0" w:space="0" w:color="auto"/>
        <w:left w:val="none" w:sz="0" w:space="0" w:color="auto"/>
        <w:bottom w:val="none" w:sz="0" w:space="0" w:color="auto"/>
        <w:right w:val="none" w:sz="0" w:space="0" w:color="auto"/>
      </w:divBdr>
    </w:div>
    <w:div w:id="1500535389">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36389250">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A9ACD-235E-4655-ACC3-CB7350BE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4808</Characters>
  <Application>Microsoft Office Word</Application>
  <DocSecurity>0</DocSecurity>
  <Lines>267</Lines>
  <Paragraphs>114</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Comunicaciones-Bryan Leitón Sanchez</cp:lastModifiedBy>
  <cp:revision>2</cp:revision>
  <cp:lastPrinted>2013-02-08T15:17:00Z</cp:lastPrinted>
  <dcterms:created xsi:type="dcterms:W3CDTF">2026-02-25T19:12:00Z</dcterms:created>
  <dcterms:modified xsi:type="dcterms:W3CDTF">2026-02-25T19:12:00Z</dcterms:modified>
</cp:coreProperties>
</file>