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3DBDC0" w14:textId="2D7C98FF" w:rsidR="0029216A" w:rsidRPr="00203245" w:rsidRDefault="006312AE" w:rsidP="00203245">
      <w:pPr>
        <w:pStyle w:val="Ttulo7"/>
        <w:tabs>
          <w:tab w:val="clear" w:pos="0"/>
          <w:tab w:val="left" w:pos="4280"/>
        </w:tabs>
        <w:ind w:left="4248"/>
        <w:jc w:val="both"/>
        <w:rPr>
          <w:rFonts w:ascii="Times New Roman" w:hAnsi="Times New Roman"/>
          <w:bCs w:val="0"/>
          <w:u w:val="none"/>
          <w:lang w:val="es-ES_tradnl"/>
        </w:rPr>
      </w:pPr>
      <w:r w:rsidRPr="00203245">
        <w:rPr>
          <w:rFonts w:ascii="Times New Roman" w:hAnsi="Times New Roman"/>
          <w:bCs w:val="0"/>
          <w:u w:val="none"/>
          <w:lang w:val="es-ES_tradnl"/>
        </w:rPr>
        <w:t>San José,</w:t>
      </w:r>
      <w:r w:rsidR="00D93E61" w:rsidRPr="00203245">
        <w:rPr>
          <w:rFonts w:ascii="Times New Roman" w:hAnsi="Times New Roman"/>
          <w:bCs w:val="0"/>
          <w:u w:val="none"/>
          <w:lang w:val="es-ES_tradnl"/>
        </w:rPr>
        <w:t xml:space="preserve"> </w:t>
      </w:r>
      <w:r w:rsidR="000625B4" w:rsidRPr="00203245">
        <w:rPr>
          <w:rFonts w:ascii="Times New Roman" w:hAnsi="Times New Roman"/>
          <w:bCs w:val="0"/>
          <w:u w:val="none"/>
          <w:lang w:val="es-ES_tradnl"/>
        </w:rPr>
        <w:t>29</w:t>
      </w:r>
      <w:r w:rsidR="00D930B6" w:rsidRPr="00203245">
        <w:rPr>
          <w:rFonts w:ascii="Times New Roman" w:hAnsi="Times New Roman"/>
          <w:bCs w:val="0"/>
          <w:u w:val="none"/>
          <w:lang w:val="es-ES_tradnl"/>
        </w:rPr>
        <w:t xml:space="preserve"> </w:t>
      </w:r>
      <w:r w:rsidR="006A694A" w:rsidRPr="00203245">
        <w:rPr>
          <w:rFonts w:ascii="Times New Roman" w:hAnsi="Times New Roman"/>
          <w:bCs w:val="0"/>
          <w:u w:val="none"/>
          <w:lang w:val="es-ES_tradnl"/>
        </w:rPr>
        <w:t xml:space="preserve">de </w:t>
      </w:r>
      <w:r w:rsidR="000625B4" w:rsidRPr="00203245">
        <w:rPr>
          <w:rFonts w:ascii="Times New Roman" w:hAnsi="Times New Roman"/>
          <w:bCs w:val="0"/>
          <w:u w:val="none"/>
          <w:lang w:val="es-ES_tradnl"/>
        </w:rPr>
        <w:t xml:space="preserve">enero </w:t>
      </w:r>
      <w:r w:rsidR="00860FA5" w:rsidRPr="00203245">
        <w:rPr>
          <w:rFonts w:ascii="Times New Roman" w:hAnsi="Times New Roman"/>
          <w:bCs w:val="0"/>
          <w:u w:val="none"/>
          <w:lang w:val="es-ES_tradnl"/>
        </w:rPr>
        <w:t>de 20</w:t>
      </w:r>
      <w:r w:rsidR="00683897" w:rsidRPr="00203245">
        <w:rPr>
          <w:rFonts w:ascii="Times New Roman" w:hAnsi="Times New Roman"/>
          <w:bCs w:val="0"/>
          <w:u w:val="none"/>
          <w:lang w:val="es-ES_tradnl"/>
        </w:rPr>
        <w:t>2</w:t>
      </w:r>
      <w:r w:rsidR="00F82331" w:rsidRPr="00203245">
        <w:rPr>
          <w:rFonts w:ascii="Times New Roman" w:hAnsi="Times New Roman"/>
          <w:bCs w:val="0"/>
          <w:u w:val="none"/>
          <w:lang w:val="es-ES_tradnl"/>
        </w:rPr>
        <w:t>6</w:t>
      </w:r>
    </w:p>
    <w:p w14:paraId="54A54810" w14:textId="4DDEFCCA" w:rsidR="0029216A" w:rsidRPr="00203245" w:rsidRDefault="00860FA5" w:rsidP="00203245">
      <w:pPr>
        <w:pStyle w:val="Ttulo7"/>
        <w:tabs>
          <w:tab w:val="clear" w:pos="0"/>
          <w:tab w:val="left" w:pos="4280"/>
        </w:tabs>
        <w:ind w:left="4248"/>
        <w:jc w:val="both"/>
        <w:rPr>
          <w:rFonts w:ascii="Times New Roman" w:hAnsi="Times New Roman"/>
          <w:u w:val="none"/>
          <w:lang w:val="es-ES_tradnl"/>
        </w:rPr>
      </w:pPr>
      <w:proofErr w:type="spellStart"/>
      <w:r w:rsidRPr="00203245">
        <w:rPr>
          <w:rFonts w:ascii="Times New Roman" w:hAnsi="Times New Roman"/>
          <w:u w:val="none"/>
          <w:lang w:val="es-ES_tradnl"/>
        </w:rPr>
        <w:t>N°</w:t>
      </w:r>
      <w:proofErr w:type="spellEnd"/>
      <w:r w:rsidRPr="00203245">
        <w:rPr>
          <w:rFonts w:ascii="Times New Roman" w:hAnsi="Times New Roman"/>
          <w:u w:val="none"/>
          <w:lang w:val="es-ES_tradnl"/>
        </w:rPr>
        <w:t xml:space="preserve"> </w:t>
      </w:r>
      <w:r w:rsidR="003D6C86" w:rsidRPr="00203245">
        <w:rPr>
          <w:rFonts w:ascii="Times New Roman" w:hAnsi="Times New Roman"/>
          <w:u w:val="none"/>
          <w:lang w:val="es-ES_tradnl"/>
        </w:rPr>
        <w:t>80</w:t>
      </w:r>
      <w:r w:rsidR="00F86B08" w:rsidRPr="00203245">
        <w:rPr>
          <w:rFonts w:ascii="Times New Roman" w:hAnsi="Times New Roman"/>
          <w:u w:val="none"/>
          <w:lang w:val="es-ES_tradnl"/>
        </w:rPr>
        <w:t>3</w:t>
      </w:r>
      <w:r w:rsidR="00186ADE" w:rsidRPr="00203245">
        <w:rPr>
          <w:rFonts w:ascii="Times New Roman" w:hAnsi="Times New Roman"/>
          <w:u w:val="none"/>
          <w:lang w:val="es-ES_tradnl"/>
        </w:rPr>
        <w:t>-</w:t>
      </w:r>
      <w:r w:rsidR="00E74E41" w:rsidRPr="00203245">
        <w:rPr>
          <w:rFonts w:ascii="Times New Roman" w:hAnsi="Times New Roman"/>
          <w:u w:val="none"/>
          <w:lang w:val="es-ES_tradnl"/>
        </w:rPr>
        <w:t>202</w:t>
      </w:r>
      <w:r w:rsidR="00F82331" w:rsidRPr="00203245">
        <w:rPr>
          <w:rFonts w:ascii="Times New Roman" w:hAnsi="Times New Roman"/>
          <w:u w:val="none"/>
          <w:lang w:val="es-ES_tradnl"/>
        </w:rPr>
        <w:t>6</w:t>
      </w:r>
    </w:p>
    <w:p w14:paraId="63CA7B6E" w14:textId="72D405FA" w:rsidR="0029216A" w:rsidRPr="00203245" w:rsidRDefault="0029216A" w:rsidP="00203245">
      <w:pPr>
        <w:pStyle w:val="Ttulo7"/>
        <w:tabs>
          <w:tab w:val="clear" w:pos="0"/>
          <w:tab w:val="left" w:pos="4280"/>
        </w:tabs>
        <w:ind w:left="4248"/>
        <w:jc w:val="both"/>
        <w:rPr>
          <w:rFonts w:ascii="Times New Roman" w:hAnsi="Times New Roman"/>
          <w:u w:val="none"/>
          <w:lang w:val="es-CR"/>
        </w:rPr>
      </w:pPr>
      <w:r w:rsidRPr="00203245">
        <w:rPr>
          <w:rFonts w:ascii="Times New Roman" w:hAnsi="Times New Roman"/>
          <w:u w:val="none"/>
          <w:lang w:val="es-CR"/>
        </w:rPr>
        <w:t>Al contestar refiérase a este # de oficio</w:t>
      </w:r>
    </w:p>
    <w:p w14:paraId="4AF62F5F" w14:textId="1994FFDB" w:rsidR="00F83A6C" w:rsidRPr="00203245" w:rsidRDefault="00F83A6C" w:rsidP="00203245">
      <w:pPr>
        <w:ind w:left="708" w:firstLine="708"/>
        <w:jc w:val="center"/>
        <w:rPr>
          <w:b/>
          <w:bCs/>
          <w:lang w:val="es-CR"/>
        </w:rPr>
      </w:pPr>
      <w:r w:rsidRPr="00203245">
        <w:rPr>
          <w:lang w:val="es-CR"/>
        </w:rPr>
        <w:t xml:space="preserve">         </w:t>
      </w:r>
      <w:r w:rsidRPr="00203245">
        <w:rPr>
          <w:b/>
          <w:bCs/>
          <w:shd w:val="clear" w:color="auto" w:fill="FFFFFF"/>
          <w:lang w:val="es-CR"/>
        </w:rPr>
        <w:t xml:space="preserve">        </w:t>
      </w:r>
      <w:hyperlink r:id="rId7" w:history="1">
        <w:r w:rsidRPr="00203245">
          <w:rPr>
            <w:rStyle w:val="Hipervnculo"/>
            <w:b/>
            <w:bCs/>
            <w:color w:val="auto"/>
            <w:u w:val="none"/>
            <w:shd w:val="clear" w:color="auto" w:fill="FFFFFF"/>
            <w:lang w:val="es-CR"/>
          </w:rPr>
          <w:t>secrecorte@poder-judicial.go.cr</w:t>
        </w:r>
      </w:hyperlink>
    </w:p>
    <w:p w14:paraId="7E235AE2" w14:textId="461DBDEB" w:rsidR="00EE3E35" w:rsidRPr="00203245" w:rsidRDefault="00EE3E35" w:rsidP="00203245">
      <w:pPr>
        <w:autoSpaceDE w:val="0"/>
        <w:snapToGrid w:val="0"/>
        <w:rPr>
          <w:b/>
          <w:bCs/>
        </w:rPr>
      </w:pPr>
    </w:p>
    <w:p w14:paraId="6E417826" w14:textId="77777777" w:rsidR="00203245" w:rsidRPr="00203245" w:rsidRDefault="00203245" w:rsidP="00203245">
      <w:pPr>
        <w:autoSpaceDE w:val="0"/>
        <w:snapToGrid w:val="0"/>
        <w:rPr>
          <w:b/>
          <w:bCs/>
        </w:rPr>
      </w:pPr>
      <w:bookmarkStart w:id="0" w:name="_Hlk220574261"/>
      <w:r w:rsidRPr="00203245">
        <w:rPr>
          <w:b/>
          <w:bCs/>
        </w:rPr>
        <w:t>Señor</w:t>
      </w:r>
    </w:p>
    <w:p w14:paraId="60AB4A9B" w14:textId="77777777" w:rsidR="00203245" w:rsidRPr="00203245" w:rsidRDefault="00203245" w:rsidP="00203245">
      <w:pPr>
        <w:autoSpaceDE w:val="0"/>
        <w:snapToGrid w:val="0"/>
        <w:rPr>
          <w:b/>
          <w:bCs/>
        </w:rPr>
      </w:pPr>
      <w:r w:rsidRPr="00203245">
        <w:rPr>
          <w:b/>
          <w:bCs/>
        </w:rPr>
        <w:t>Lic. Allan Pow Hing Cordero</w:t>
      </w:r>
    </w:p>
    <w:p w14:paraId="2659FF71" w14:textId="77777777" w:rsidR="00203245" w:rsidRPr="00203245" w:rsidRDefault="00203245" w:rsidP="00203245">
      <w:pPr>
        <w:autoSpaceDE w:val="0"/>
        <w:snapToGrid w:val="0"/>
        <w:rPr>
          <w:b/>
          <w:bCs/>
        </w:rPr>
      </w:pPr>
      <w:r w:rsidRPr="00203245">
        <w:rPr>
          <w:b/>
          <w:bCs/>
        </w:rPr>
        <w:t>Director de Planificación</w:t>
      </w:r>
    </w:p>
    <w:p w14:paraId="65A95170" w14:textId="77777777" w:rsidR="00203245" w:rsidRPr="00203245" w:rsidRDefault="00203245" w:rsidP="00203245">
      <w:pPr>
        <w:rPr>
          <w:rFonts w:eastAsia="Arial Unicode MS"/>
          <w:b/>
          <w:bCs/>
        </w:rPr>
      </w:pPr>
    </w:p>
    <w:p w14:paraId="2BA62927" w14:textId="77777777" w:rsidR="00203245" w:rsidRPr="00203245" w:rsidRDefault="00203245" w:rsidP="00203245">
      <w:pPr>
        <w:autoSpaceDE w:val="0"/>
        <w:snapToGrid w:val="0"/>
        <w:rPr>
          <w:b/>
          <w:bCs/>
        </w:rPr>
      </w:pPr>
      <w:r w:rsidRPr="00203245">
        <w:rPr>
          <w:b/>
          <w:bCs/>
        </w:rPr>
        <w:t>Estimado señor:</w:t>
      </w:r>
    </w:p>
    <w:bookmarkEnd w:id="0"/>
    <w:p w14:paraId="19D5094A" w14:textId="77777777" w:rsidR="009C666D" w:rsidRPr="00203245" w:rsidRDefault="009C666D" w:rsidP="00203245">
      <w:pPr>
        <w:jc w:val="both"/>
        <w:rPr>
          <w:b/>
          <w:bCs/>
          <w:lang w:val="es-CR"/>
        </w:rPr>
      </w:pPr>
    </w:p>
    <w:p w14:paraId="1CD21F2C" w14:textId="14295ACA" w:rsidR="0029216A" w:rsidRPr="00203245" w:rsidRDefault="0029216A" w:rsidP="00203245">
      <w:pPr>
        <w:ind w:firstLine="708"/>
        <w:jc w:val="both"/>
      </w:pPr>
      <w:r w:rsidRPr="00203245">
        <w:t xml:space="preserve">Para su estimable conocimiento y fines consiguientes, le transcribo el acuerdo tomado por el Consejo Superior del Poder Judicial, en sesión </w:t>
      </w:r>
      <w:proofErr w:type="spellStart"/>
      <w:r w:rsidR="0087670A" w:rsidRPr="00203245">
        <w:rPr>
          <w:b/>
          <w:bCs/>
        </w:rPr>
        <w:t>N°</w:t>
      </w:r>
      <w:proofErr w:type="spellEnd"/>
      <w:r w:rsidR="009F45D2" w:rsidRPr="00203245">
        <w:rPr>
          <w:b/>
          <w:bCs/>
        </w:rPr>
        <w:t xml:space="preserve"> </w:t>
      </w:r>
      <w:r w:rsidR="004B0C5C" w:rsidRPr="00203245">
        <w:rPr>
          <w:b/>
          <w:bCs/>
        </w:rPr>
        <w:t>0</w:t>
      </w:r>
      <w:r w:rsidR="000625B4" w:rsidRPr="00203245">
        <w:rPr>
          <w:b/>
          <w:bCs/>
        </w:rPr>
        <w:t>3</w:t>
      </w:r>
      <w:r w:rsidR="003011FF" w:rsidRPr="00203245">
        <w:rPr>
          <w:b/>
          <w:bCs/>
        </w:rPr>
        <w:t>-</w:t>
      </w:r>
      <w:r w:rsidR="004B0C5C" w:rsidRPr="00203245">
        <w:rPr>
          <w:b/>
          <w:bCs/>
        </w:rPr>
        <w:t>202</w:t>
      </w:r>
      <w:r w:rsidR="00F82331" w:rsidRPr="00203245">
        <w:rPr>
          <w:b/>
          <w:bCs/>
        </w:rPr>
        <w:t>6</w:t>
      </w:r>
      <w:r w:rsidR="00D930B6" w:rsidRPr="00203245">
        <w:rPr>
          <w:b/>
          <w:bCs/>
        </w:rPr>
        <w:t xml:space="preserve"> </w:t>
      </w:r>
      <w:r w:rsidR="00D930B6" w:rsidRPr="00203245">
        <w:rPr>
          <w:bCs/>
        </w:rPr>
        <w:t>c</w:t>
      </w:r>
      <w:r w:rsidRPr="00203245">
        <w:t>elebrada el</w:t>
      </w:r>
      <w:r w:rsidR="004C65F3" w:rsidRPr="00203245">
        <w:t xml:space="preserve"> </w:t>
      </w:r>
      <w:r w:rsidR="000625B4" w:rsidRPr="00203245">
        <w:rPr>
          <w:b/>
        </w:rPr>
        <w:t>13</w:t>
      </w:r>
      <w:r w:rsidR="007A43A1" w:rsidRPr="00203245">
        <w:rPr>
          <w:b/>
        </w:rPr>
        <w:t xml:space="preserve"> de</w:t>
      </w:r>
      <w:r w:rsidR="00950F8D" w:rsidRPr="00203245">
        <w:rPr>
          <w:b/>
        </w:rPr>
        <w:t xml:space="preserve"> </w:t>
      </w:r>
      <w:r w:rsidR="000625B4" w:rsidRPr="00203245">
        <w:rPr>
          <w:b/>
        </w:rPr>
        <w:t>enero</w:t>
      </w:r>
      <w:r w:rsidR="006F5DA1" w:rsidRPr="00203245">
        <w:rPr>
          <w:b/>
          <w:bCs/>
        </w:rPr>
        <w:t xml:space="preserve"> </w:t>
      </w:r>
      <w:r w:rsidR="003011FF" w:rsidRPr="00203245">
        <w:rPr>
          <w:b/>
          <w:bCs/>
        </w:rPr>
        <w:t xml:space="preserve">del </w:t>
      </w:r>
      <w:r w:rsidR="00EE3E35" w:rsidRPr="00203245">
        <w:rPr>
          <w:b/>
          <w:bCs/>
        </w:rPr>
        <w:t>202</w:t>
      </w:r>
      <w:r w:rsidR="00F82331" w:rsidRPr="00203245">
        <w:rPr>
          <w:b/>
          <w:bCs/>
        </w:rPr>
        <w:t>6</w:t>
      </w:r>
      <w:r w:rsidR="00B43F30" w:rsidRPr="00203245">
        <w:rPr>
          <w:b/>
          <w:bCs/>
        </w:rPr>
        <w:t>,</w:t>
      </w:r>
      <w:r w:rsidRPr="00203245">
        <w:t xml:space="preserve"> que literalmente dice:</w:t>
      </w:r>
    </w:p>
    <w:p w14:paraId="440292CE" w14:textId="77777777" w:rsidR="0029216A" w:rsidRPr="00203245" w:rsidRDefault="0029216A" w:rsidP="00203245">
      <w:pPr>
        <w:ind w:firstLine="15"/>
        <w:jc w:val="both"/>
      </w:pPr>
    </w:p>
    <w:p w14:paraId="63161C49" w14:textId="72C4C29F" w:rsidR="00203245" w:rsidRDefault="00294863" w:rsidP="00203245">
      <w:pPr>
        <w:keepNext/>
        <w:tabs>
          <w:tab w:val="num" w:pos="0"/>
        </w:tabs>
        <w:jc w:val="center"/>
        <w:outlineLvl w:val="1"/>
        <w:rPr>
          <w:b/>
          <w:bCs/>
          <w:u w:val="single"/>
          <w:lang w:val="es-CR"/>
        </w:rPr>
      </w:pPr>
      <w:r w:rsidRPr="00203245">
        <w:rPr>
          <w:b/>
          <w:bCs/>
        </w:rPr>
        <w:t>“</w:t>
      </w:r>
      <w:bookmarkStart w:id="1" w:name="_Toc218801934"/>
      <w:r w:rsidR="00203245" w:rsidRPr="00203245">
        <w:rPr>
          <w:b/>
          <w:bCs/>
          <w:u w:val="single"/>
          <w:lang w:val="es-CR"/>
        </w:rPr>
        <w:t>ARTÍCULO LVIII</w:t>
      </w:r>
      <w:bookmarkEnd w:id="1"/>
    </w:p>
    <w:p w14:paraId="15BD592C" w14:textId="77777777" w:rsidR="00203245" w:rsidRPr="00203245" w:rsidRDefault="00203245" w:rsidP="00203245">
      <w:pPr>
        <w:keepNext/>
        <w:tabs>
          <w:tab w:val="num" w:pos="0"/>
        </w:tabs>
        <w:jc w:val="center"/>
        <w:outlineLvl w:val="1"/>
        <w:rPr>
          <w:b/>
          <w:bCs/>
          <w:u w:val="single"/>
          <w:lang w:val="es-CR"/>
        </w:rPr>
      </w:pPr>
    </w:p>
    <w:p w14:paraId="62481514" w14:textId="77777777" w:rsidR="00203245" w:rsidRPr="00203245" w:rsidRDefault="00203245" w:rsidP="00203245">
      <w:pPr>
        <w:tabs>
          <w:tab w:val="left" w:pos="851"/>
          <w:tab w:val="left" w:pos="8080"/>
        </w:tabs>
        <w:jc w:val="both"/>
        <w:rPr>
          <w:b/>
          <w:lang w:val="es-CR"/>
        </w:rPr>
      </w:pPr>
      <w:r w:rsidRPr="00203245">
        <w:rPr>
          <w:b/>
          <w:lang w:val="es-CR"/>
        </w:rPr>
        <w:t xml:space="preserve">Documento </w:t>
      </w:r>
      <w:proofErr w:type="spellStart"/>
      <w:r w:rsidRPr="00203245">
        <w:rPr>
          <w:b/>
          <w:lang w:val="es-CR"/>
        </w:rPr>
        <w:t>N°</w:t>
      </w:r>
      <w:proofErr w:type="spellEnd"/>
      <w:r w:rsidRPr="00203245">
        <w:rPr>
          <w:b/>
          <w:bCs/>
          <w:lang w:val="es-CR"/>
        </w:rPr>
        <w:t xml:space="preserve"> </w:t>
      </w:r>
      <w:r w:rsidRPr="00203245">
        <w:rPr>
          <w:b/>
          <w:lang w:val="es-CR"/>
        </w:rPr>
        <w:t>13745-2025</w:t>
      </w:r>
    </w:p>
    <w:p w14:paraId="025D8413" w14:textId="77777777" w:rsidR="00203245" w:rsidRPr="00203245" w:rsidRDefault="00203245" w:rsidP="00203245">
      <w:pPr>
        <w:tabs>
          <w:tab w:val="left" w:pos="851"/>
          <w:tab w:val="left" w:pos="8080"/>
        </w:tabs>
        <w:jc w:val="both"/>
        <w:rPr>
          <w:b/>
          <w:lang w:val="es-CR"/>
        </w:rPr>
      </w:pPr>
    </w:p>
    <w:p w14:paraId="58A07E47" w14:textId="77777777" w:rsidR="00203245" w:rsidRDefault="00203245" w:rsidP="00203245">
      <w:pPr>
        <w:ind w:firstLine="709"/>
        <w:jc w:val="both"/>
        <w:rPr>
          <w:lang w:val="es-CR" w:eastAsia="es-ES"/>
        </w:rPr>
      </w:pPr>
      <w:r w:rsidRPr="00203245">
        <w:rPr>
          <w:lang w:val="es-CR" w:eastAsia="en-US"/>
        </w:rPr>
        <w:t xml:space="preserve">Mediante oficio </w:t>
      </w:r>
      <w:proofErr w:type="spellStart"/>
      <w:r w:rsidRPr="00203245">
        <w:rPr>
          <w:lang w:val="es-CR" w:eastAsia="en-US"/>
        </w:rPr>
        <w:t>Nº</w:t>
      </w:r>
      <w:proofErr w:type="spellEnd"/>
      <w:r w:rsidRPr="00203245">
        <w:rPr>
          <w:lang w:val="es-CR" w:eastAsia="en-US"/>
        </w:rPr>
        <w:t xml:space="preserve"> </w:t>
      </w:r>
      <w:bookmarkStart w:id="2" w:name="_Hlk126339998"/>
      <w:r w:rsidRPr="00203245">
        <w:rPr>
          <w:snapToGrid w:val="0"/>
          <w:lang w:val="es-CR" w:eastAsia="es-ES"/>
        </w:rPr>
        <w:t xml:space="preserve">1377-PLA-EV-2025 </w:t>
      </w:r>
      <w:bookmarkEnd w:id="2"/>
      <w:r w:rsidRPr="00203245">
        <w:rPr>
          <w:lang w:val="es-CR" w:eastAsia="en-US"/>
        </w:rPr>
        <w:t>del 25 de noviembre de 2025,</w:t>
      </w:r>
      <w:r w:rsidRPr="00203245">
        <w:rPr>
          <w:lang w:val="es-CR" w:eastAsia="es-ES"/>
        </w:rPr>
        <w:t xml:space="preserve"> el Máster Erick Antonio Mora Leiva, subdirector del Proceso Planeación y Evaluación de la Dirección de Planificación, indica lo siguiente: </w:t>
      </w:r>
    </w:p>
    <w:p w14:paraId="42297086" w14:textId="77777777" w:rsidR="00203245" w:rsidRPr="00203245" w:rsidRDefault="00203245" w:rsidP="00203245">
      <w:pPr>
        <w:ind w:firstLine="709"/>
        <w:jc w:val="both"/>
        <w:rPr>
          <w:lang w:val="es-CR" w:eastAsia="es-ES"/>
        </w:rPr>
      </w:pPr>
    </w:p>
    <w:p w14:paraId="20195E89" w14:textId="77777777" w:rsidR="00203245" w:rsidRPr="00203245" w:rsidRDefault="00203245" w:rsidP="00203245">
      <w:pPr>
        <w:widowControl w:val="0"/>
        <w:suppressAutoHyphens w:val="0"/>
        <w:autoSpaceDE w:val="0"/>
        <w:autoSpaceDN w:val="0"/>
        <w:adjustRightInd w:val="0"/>
        <w:ind w:left="851" w:right="851" w:firstLine="709"/>
        <w:jc w:val="both"/>
        <w:rPr>
          <w:lang w:val="es-CR" w:eastAsia="es-ES"/>
        </w:rPr>
      </w:pPr>
      <w:r w:rsidRPr="00203245">
        <w:rPr>
          <w:snapToGrid w:val="0"/>
          <w:lang w:val="es-CR" w:eastAsia="es-ES"/>
        </w:rPr>
        <w:t>“</w:t>
      </w:r>
      <w:r w:rsidRPr="00203245">
        <w:rPr>
          <w:lang w:val="es-CR" w:eastAsia="es-ES"/>
        </w:rPr>
        <w:t xml:space="preserve">En atención de la circular 9-2023, de la Secretaría General de la Corte, del 16 de enero del 2023, denominada </w:t>
      </w:r>
      <w:r w:rsidRPr="00203245">
        <w:rPr>
          <w:rFonts w:eastAsiaTheme="minorHAnsi"/>
          <w:i/>
          <w:iCs/>
          <w:lang w:val="es-CR" w:eastAsia="en-US"/>
        </w:rPr>
        <w:t xml:space="preserve">Modificación de la circular No. 141-2022 sobre la </w:t>
      </w:r>
      <w:r w:rsidRPr="00203245">
        <w:rPr>
          <w:rFonts w:eastAsia="Calibri"/>
          <w:bCs/>
          <w:i/>
          <w:iCs/>
          <w:lang w:val="es-CR"/>
        </w:rPr>
        <w:t>“Obligación de realizar evaluaciones semestrales y anuales a los Planes Anuales Operativos”</w:t>
      </w:r>
      <w:r w:rsidRPr="00203245">
        <w:rPr>
          <w:lang w:val="es-CR" w:eastAsia="es-ES"/>
        </w:rPr>
        <w:t xml:space="preserve">, en donde se indicó que todos los responsables de los despachos judiciales realizaran un seguimiento semestral del Plan Anual Operativo (PAO) de su área, con participación del personal del despacho, se informa que la Dirección de Planificación realiza un informe semestral a los Planes Anuales Operativos al corte del 30 de junio del 2025, lo cual se plasma en el presente </w:t>
      </w:r>
      <w:r w:rsidRPr="00203245">
        <w:rPr>
          <w:rFonts w:eastAsiaTheme="minorHAnsi"/>
          <w:lang w:val="es-CR" w:eastAsia="es-CR"/>
        </w:rPr>
        <w:t>informe suscrito por la Ingeniera Elena Gabriela Picado González, Jefa Subproceso de Evaluación</w:t>
      </w:r>
      <w:r w:rsidRPr="00203245">
        <w:rPr>
          <w:lang w:val="es-CR" w:eastAsia="es-ES"/>
        </w:rPr>
        <w:t xml:space="preserve">, este informe fue elaborado por el Lic. Andrey Rojas Monge, Profesional del Subproceso de Evaluación de la Dirección de Planificación. </w:t>
      </w:r>
    </w:p>
    <w:p w14:paraId="084C781A" w14:textId="77777777" w:rsidR="00203245" w:rsidRPr="00203245" w:rsidRDefault="00203245" w:rsidP="00203245">
      <w:pPr>
        <w:widowControl w:val="0"/>
        <w:tabs>
          <w:tab w:val="left" w:pos="8120"/>
          <w:tab w:val="right" w:pos="10080"/>
        </w:tabs>
        <w:suppressAutoHyphens w:val="0"/>
        <w:ind w:left="851" w:right="851" w:firstLine="709"/>
        <w:rPr>
          <w:lang w:val="es-CR" w:eastAsia="es-ES"/>
        </w:rPr>
      </w:pPr>
    </w:p>
    <w:p w14:paraId="78A8381C" w14:textId="77777777" w:rsidR="00203245" w:rsidRPr="00203245" w:rsidRDefault="00203245" w:rsidP="00203245">
      <w:pPr>
        <w:widowControl w:val="0"/>
        <w:suppressAutoHyphens w:val="0"/>
        <w:ind w:left="851" w:right="851" w:firstLine="709"/>
        <w:jc w:val="both"/>
        <w:rPr>
          <w:lang w:val="es-CR" w:eastAsia="es-419"/>
        </w:rPr>
      </w:pPr>
      <w:r w:rsidRPr="00203245">
        <w:rPr>
          <w:rFonts w:eastAsiaTheme="minorHAnsi"/>
          <w:lang w:val="es-CR" w:eastAsia="en-US"/>
        </w:rPr>
        <w:t xml:space="preserve">Con el fin de que se manifestaran al respecto, mediante oficio inicial 1260-PLA-EV-2025 remitido al </w:t>
      </w:r>
      <w:r w:rsidRPr="00203245">
        <w:rPr>
          <w:lang w:val="es-CR" w:eastAsia="es-419"/>
        </w:rPr>
        <w:t xml:space="preserve">Despacho de la Presidencia, Sala Primera, Sala Segunda, Sala Tercera, Sala Constitucional, Auditoría Judicial, Fiscalía General de la República, Defensa Pública, Contraloría de Servicios, Oficina de Control Interno, Dirección Ejecutiva, Dirección de Gestión Humana, Dirección Jurídica, </w:t>
      </w:r>
      <w:r w:rsidRPr="00203245">
        <w:rPr>
          <w:lang w:val="es-CR" w:eastAsia="es-419"/>
        </w:rPr>
        <w:lastRenderedPageBreak/>
        <w:t xml:space="preserve">Dirección General del Organismo de Investigación Judicial, Dirección de Tecnología de Información y Comunicaciones, Centro de Gestión de la Calidad, Centro Electrónico de Información Jurisprudencial, Centro de Conciliación del Poder Judicial, Centro Judicial de Intervención de las Comunicaciones, Centro de Apoyo Coordinación y Mejoramiento de la Función Jurisdiccional, Administración Regional de Sarapiquí, Administración Cuidad Judicial, Administración de Turrialba, Administración de Grecia, Administración de Osa, Consejo de Administración de Santa Cruz, Consejo de Administración del Circuito Judicial de Puntarenas, Consejo de Administración de Quepos (Aguirre y Parrita), Consejo de Administración de Corredores, Consejo de Administración del Primer Circuito Judicial Limón, Consejo de Administración del I y III Circuito Judicial de San José, Consejo de Administración del Segundo Circuito Judicial de San José, Consejo de Administración de Golfito, Consejo de Administración del Primer Circuito Judicial de Alajuela, Consejo de Administración de Cartago, Consejo de Administración del Circuito Judicial de Heredia, Consejo de Administración del Primer Circuito Judicial de Guanacaste (Liberia), Consejo de Administración del Segundo Circuito Judicial de Guanacaste (Nicoya), Consejo de Administración del Segundo Circuito Judicial de Limón, Consejo de Administración del Primer Circuito Judicial de la Zona Sur (Pérez Zeledón), Consejo de Administración del Segundo Circuito Judicial de Alajuela (San Carlos), Consejo de Administración del Tercer Circuito Judicial de Alajuela (San Ramón), Departamento de Trabajo Social y Psicología, Departamento de Prensa y Comunicación Organizacional, Servicio de Atención y Protección de Víctimas y Testigos, Secretaría Técnica de Ética y Valores, Secretaría Técnica de Género y Acceso a la Justicia, Escuela Judicial, Unidad </w:t>
      </w:r>
      <w:r w:rsidRPr="00203245">
        <w:rPr>
          <w:rFonts w:eastAsiaTheme="minorHAnsi"/>
          <w:lang w:val="es-CR" w:eastAsia="en-US"/>
        </w:rPr>
        <w:t xml:space="preserve">de Monitoreo y Apoyo a la Gestión de Fiscalías, </w:t>
      </w:r>
      <w:r w:rsidRPr="00203245">
        <w:rPr>
          <w:lang w:val="es-CR" w:eastAsia="es-419"/>
        </w:rPr>
        <w:t>Comisión Nacional para el Mejoramiento de la Administración de Justicia, Junta Administradora del Fondo de Jubilaciones y Pensiones (Administración del Programa 951) y Subproceso de Planificación Estratégica de la Dirección de Planificación.</w:t>
      </w:r>
    </w:p>
    <w:p w14:paraId="687D92FD" w14:textId="77777777" w:rsidR="00203245" w:rsidRPr="00203245" w:rsidRDefault="00203245" w:rsidP="00203245">
      <w:pPr>
        <w:widowControl w:val="0"/>
        <w:tabs>
          <w:tab w:val="left" w:pos="8120"/>
          <w:tab w:val="right" w:pos="10080"/>
        </w:tabs>
        <w:suppressAutoHyphens w:val="0"/>
        <w:ind w:left="851" w:right="851" w:firstLine="709"/>
        <w:rPr>
          <w:lang w:val="es-CR" w:eastAsia="es-ES"/>
        </w:rPr>
      </w:pPr>
    </w:p>
    <w:p w14:paraId="347CE7D3" w14:textId="77777777" w:rsidR="00203245" w:rsidRPr="00203245" w:rsidRDefault="00203245" w:rsidP="00203245">
      <w:pPr>
        <w:widowControl w:val="0"/>
        <w:suppressAutoHyphens w:val="0"/>
        <w:autoSpaceDE w:val="0"/>
        <w:autoSpaceDN w:val="0"/>
        <w:adjustRightInd w:val="0"/>
        <w:ind w:left="851" w:right="851" w:firstLine="709"/>
        <w:jc w:val="both"/>
        <w:rPr>
          <w:lang w:val="es-CR" w:eastAsia="es-ES"/>
        </w:rPr>
      </w:pPr>
      <w:r w:rsidRPr="00203245">
        <w:rPr>
          <w:rFonts w:eastAsiaTheme="minorHAnsi"/>
          <w:lang w:val="es-CR" w:eastAsia="en-US"/>
        </w:rPr>
        <w:t xml:space="preserve">Como respuesta al informe, se recibieron las observaciones las cuales se consideraron en lo pertinente, en el informe que se presenta. </w:t>
      </w:r>
      <w:r w:rsidRPr="00203245">
        <w:rPr>
          <w:rFonts w:eastAsiaTheme="minorHAnsi"/>
          <w:b/>
          <w:bCs/>
          <w:lang w:val="es-CR" w:eastAsia="en-US"/>
        </w:rPr>
        <w:t>Se adjuntan respuestas recibidas (ver anexos 19 al 32).</w:t>
      </w:r>
    </w:p>
    <w:p w14:paraId="36D6636B" w14:textId="77777777" w:rsidR="00203245" w:rsidRPr="00203245" w:rsidRDefault="00203245" w:rsidP="00203245">
      <w:pPr>
        <w:widowControl w:val="0"/>
        <w:suppressAutoHyphens w:val="0"/>
        <w:autoSpaceDE w:val="0"/>
        <w:autoSpaceDN w:val="0"/>
        <w:adjustRightInd w:val="0"/>
        <w:ind w:left="851" w:right="851" w:firstLine="709"/>
        <w:jc w:val="both"/>
        <w:rPr>
          <w:snapToGrid w:val="0"/>
          <w:lang w:val="es-CR" w:eastAsia="es-ES"/>
        </w:rPr>
      </w:pPr>
      <w:r w:rsidRPr="00203245">
        <w:rPr>
          <w:snapToGrid w:val="0"/>
          <w:lang w:val="es-CR" w:eastAsia="es-ES"/>
        </w:rPr>
        <w:t>(…)</w:t>
      </w:r>
    </w:p>
    <w:p w14:paraId="59B0CA93" w14:textId="77777777" w:rsidR="00203245" w:rsidRPr="00203245" w:rsidRDefault="00203245" w:rsidP="00203245">
      <w:pPr>
        <w:widowControl w:val="0"/>
        <w:suppressAutoHyphens w:val="0"/>
        <w:autoSpaceDE w:val="0"/>
        <w:autoSpaceDN w:val="0"/>
        <w:adjustRightInd w:val="0"/>
        <w:jc w:val="center"/>
        <w:rPr>
          <w:b/>
          <w:bCs/>
          <w:lang w:val="es-CR" w:eastAsia="es-ES"/>
        </w:rPr>
      </w:pPr>
      <w:r w:rsidRPr="00203245">
        <w:rPr>
          <w:b/>
          <w:bCs/>
          <w:lang w:val="es-CR" w:eastAsia="es-ES"/>
        </w:rPr>
        <w:t>-0-</w:t>
      </w:r>
    </w:p>
    <w:p w14:paraId="6E5846E9" w14:textId="77777777" w:rsidR="00203245" w:rsidRPr="00203245" w:rsidRDefault="00203245" w:rsidP="00203245">
      <w:pPr>
        <w:widowControl w:val="0"/>
        <w:suppressAutoHyphens w:val="0"/>
        <w:autoSpaceDE w:val="0"/>
        <w:autoSpaceDN w:val="0"/>
        <w:adjustRightInd w:val="0"/>
        <w:jc w:val="both"/>
        <w:rPr>
          <w:bCs/>
          <w:lang w:val="es-CR" w:eastAsia="es-ES"/>
        </w:rPr>
      </w:pPr>
    </w:p>
    <w:p w14:paraId="4BA54CDC" w14:textId="77777777" w:rsidR="00203245" w:rsidRPr="00203245" w:rsidRDefault="00203245" w:rsidP="00203245">
      <w:pPr>
        <w:widowControl w:val="0"/>
        <w:suppressAutoHyphens w:val="0"/>
        <w:autoSpaceDE w:val="0"/>
        <w:autoSpaceDN w:val="0"/>
        <w:adjustRightInd w:val="0"/>
        <w:ind w:firstLine="709"/>
        <w:jc w:val="both"/>
        <w:rPr>
          <w:bCs/>
          <w:lang w:val="es-CR" w:eastAsia="es-ES"/>
        </w:rPr>
      </w:pPr>
      <w:r w:rsidRPr="00203245">
        <w:rPr>
          <w:bCs/>
          <w:lang w:val="es-CR" w:eastAsia="es-ES"/>
        </w:rPr>
        <w:t>El informe de la Ingeniera Elena Gabriela Picado González, jefa del Subproceso de Evaluación, indica las siguientes recomendaciones y conclusiones:</w:t>
      </w:r>
    </w:p>
    <w:p w14:paraId="1F826346" w14:textId="77777777" w:rsidR="00203245" w:rsidRPr="00203245" w:rsidRDefault="00203245" w:rsidP="00203245">
      <w:pPr>
        <w:pBdr>
          <w:top w:val="single" w:sz="2" w:space="1" w:color="1F3864"/>
          <w:left w:val="single" w:sz="2" w:space="4" w:color="1F3864"/>
          <w:bottom w:val="single" w:sz="2" w:space="1" w:color="1F3864"/>
          <w:right w:val="single" w:sz="2" w:space="4" w:color="1F3864"/>
        </w:pBdr>
        <w:shd w:val="clear" w:color="auto" w:fill="2F86BB"/>
        <w:tabs>
          <w:tab w:val="left" w:pos="284"/>
        </w:tabs>
        <w:suppressAutoHyphens w:val="0"/>
        <w:ind w:left="851" w:right="851" w:firstLine="709"/>
        <w:jc w:val="both"/>
        <w:rPr>
          <w:b/>
          <w:u w:color="000000"/>
          <w:lang w:val="es-CR" w:eastAsia="en-US"/>
        </w:rPr>
      </w:pPr>
      <w:bookmarkStart w:id="3" w:name="_Toc139380803"/>
      <w:bookmarkStart w:id="4" w:name="_Hlk199330540"/>
      <w:r w:rsidRPr="00203245">
        <w:rPr>
          <w:b/>
          <w:u w:color="000000"/>
          <w:lang w:val="es-CR" w:eastAsia="en-US"/>
        </w:rPr>
        <w:t xml:space="preserve">8. </w:t>
      </w:r>
      <w:bookmarkStart w:id="5" w:name="_Toc90563635"/>
      <w:bookmarkEnd w:id="3"/>
      <w:r w:rsidRPr="00203245">
        <w:rPr>
          <w:b/>
          <w:u w:color="000000"/>
          <w:lang w:val="es-CR" w:eastAsia="en-US"/>
        </w:rPr>
        <w:t xml:space="preserve"> </w:t>
      </w:r>
      <w:bookmarkStart w:id="6" w:name="_Toc212539545"/>
      <w:r w:rsidRPr="00203245">
        <w:rPr>
          <w:b/>
          <w:u w:color="000000"/>
          <w:lang w:val="es-CR" w:eastAsia="en-US"/>
        </w:rPr>
        <w:t>Conclusiones</w:t>
      </w:r>
      <w:bookmarkEnd w:id="5"/>
      <w:r w:rsidRPr="00203245">
        <w:rPr>
          <w:b/>
          <w:u w:color="000000"/>
          <w:lang w:val="es-CR" w:eastAsia="en-US"/>
        </w:rPr>
        <w:t>.</w:t>
      </w:r>
      <w:bookmarkEnd w:id="6"/>
      <w:r w:rsidRPr="00203245">
        <w:rPr>
          <w:b/>
          <w:u w:color="000000"/>
          <w:lang w:val="es-CR" w:eastAsia="en-US"/>
        </w:rPr>
        <w:t xml:space="preserve"> </w:t>
      </w:r>
    </w:p>
    <w:p w14:paraId="6827359D" w14:textId="77777777" w:rsidR="00203245" w:rsidRPr="00203245" w:rsidRDefault="00203245" w:rsidP="00203245">
      <w:pPr>
        <w:widowControl w:val="0"/>
        <w:tabs>
          <w:tab w:val="left" w:pos="851"/>
        </w:tabs>
        <w:suppressAutoHyphens w:val="0"/>
        <w:ind w:left="851" w:right="851" w:firstLine="709"/>
        <w:jc w:val="both"/>
        <w:rPr>
          <w:rFonts w:eastAsiaTheme="minorHAnsi"/>
          <w:lang w:val="es-CR" w:eastAsia="en-US"/>
        </w:rPr>
      </w:pPr>
    </w:p>
    <w:p w14:paraId="4340C949"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lastRenderedPageBreak/>
        <w:t xml:space="preserve">La circular 9-2023 del 16 de enero del 2023, denominada </w:t>
      </w:r>
      <w:r w:rsidRPr="00203245">
        <w:rPr>
          <w:rFonts w:eastAsiaTheme="minorHAnsi"/>
          <w:i/>
          <w:iCs/>
          <w:lang w:val="es-CR" w:eastAsia="en-US"/>
        </w:rPr>
        <w:t xml:space="preserve">Modificación de la circular No. 141-2022 sobre la </w:t>
      </w:r>
      <w:r w:rsidRPr="00203245">
        <w:rPr>
          <w:rFonts w:eastAsia="Calibri"/>
          <w:bCs/>
          <w:i/>
          <w:iCs/>
          <w:lang w:val="es-CR"/>
        </w:rPr>
        <w:t>“Obligación de realizar evaluaciones semestrales y anuales a los Planes Anuales Operativos”</w:t>
      </w:r>
      <w:r w:rsidRPr="00203245">
        <w:rPr>
          <w:rFonts w:eastAsiaTheme="minorHAnsi"/>
          <w:i/>
          <w:iCs/>
          <w:lang w:val="es-CR" w:eastAsia="en-US"/>
        </w:rPr>
        <w:t xml:space="preserve">, </w:t>
      </w:r>
      <w:r w:rsidRPr="00203245">
        <w:rPr>
          <w:rFonts w:eastAsiaTheme="minorHAnsi"/>
          <w:lang w:val="es-CR" w:eastAsia="en-US"/>
        </w:rPr>
        <w:t>establece la responsabilidad de los despachos judiciales de realizar seguimientos de manera mensual a sus Planes Anuales Operativos, para tener un mayor control y seguimiento por medio del Sistema de Gestión Estratégica del Poder Judicial (SGE-PJ) de sus planes y su ejecución.</w:t>
      </w:r>
    </w:p>
    <w:p w14:paraId="2776DC06" w14:textId="77777777" w:rsidR="00203245" w:rsidRPr="00203245" w:rsidRDefault="00203245" w:rsidP="00203245">
      <w:pPr>
        <w:widowControl w:val="0"/>
        <w:tabs>
          <w:tab w:val="left" w:pos="851"/>
        </w:tabs>
        <w:suppressAutoHyphens w:val="0"/>
        <w:ind w:left="851" w:right="851" w:firstLine="709"/>
        <w:jc w:val="both"/>
        <w:rPr>
          <w:rFonts w:eastAsiaTheme="minorHAnsi"/>
          <w:lang w:val="es-CR" w:eastAsia="en-US"/>
        </w:rPr>
      </w:pPr>
    </w:p>
    <w:p w14:paraId="15E3983E"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 xml:space="preserve">El avance institucional en el avance de cumplimiento de metas operativas al primer semestre 2025 se reporta en un </w:t>
      </w:r>
      <w:r w:rsidRPr="00203245">
        <w:rPr>
          <w:rFonts w:eastAsiaTheme="minorHAnsi"/>
          <w:b/>
          <w:bCs/>
          <w:lang w:val="es-CR" w:eastAsia="en-US"/>
        </w:rPr>
        <w:t>49,03%.</w:t>
      </w:r>
      <w:r w:rsidRPr="00203245">
        <w:rPr>
          <w:rFonts w:eastAsiaTheme="minorHAnsi"/>
          <w:lang w:val="es-CR" w:eastAsia="en-US"/>
        </w:rPr>
        <w:t xml:space="preserve"> El porcentaje de avance de cumplimiento del primer semestre del 2025 al ser comparado con el mismo periodo del 2024 reporta una disminución del 5,25%, esta disminución es debido a que algunas metas operativas fueron formuladas con parámetros de cumplimiento anuales, por lo tanto su ejecución se concreta hasta finalizar el año, lo que provoca que, a la fecha de corte del presente informe, se tengan con porcentajes de cumplimiento bajo o inclusive de cero, así mismo, se tiene una curva de aprendizaje por parte de los usuarios en el Sistema de Gestión Estratégica del Poder Judicial (SGE-PJ) el cual inició en el mes de abril de 2025, por otro lado, es importante indicar que el Subproceso de Planificación Estratégica y el Subproceso de Evaluación han estado dando acompañamiento y direcciones funcionales a los usuarios de sistema y al comparar el 2025 con el 2017, 2018, 2019, 2020, en donde se observa que se ha obtenido un incremento importante en los años mencionados, mientras que al comparar el 2025 con el 2021, 2022 y 2023 se obtuvo una disminución en los años citados.</w:t>
      </w:r>
    </w:p>
    <w:p w14:paraId="57542FA1" w14:textId="77777777" w:rsidR="00203245" w:rsidRPr="00203245" w:rsidRDefault="00203245" w:rsidP="00203245">
      <w:pPr>
        <w:widowControl w:val="0"/>
        <w:tabs>
          <w:tab w:val="left" w:pos="851"/>
        </w:tabs>
        <w:suppressAutoHyphens w:val="0"/>
        <w:ind w:left="851" w:right="851" w:firstLine="709"/>
        <w:jc w:val="both"/>
        <w:rPr>
          <w:rFonts w:eastAsiaTheme="minorHAnsi"/>
          <w:lang w:val="es-CR" w:eastAsia="en-US"/>
        </w:rPr>
      </w:pPr>
    </w:p>
    <w:p w14:paraId="53B41AAA"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 xml:space="preserve">Se realizó un corte al Sistema de Gestión Estratégica del Poder Judicial (SGE-PJ) con fecha del 30 de junio del 2025 para determinar el estado de los avances en el cumplimiento de las metas operativas formuladas y de la totalidad de las oficinas (872), el 99,08% formularon su respectivo PAO (864 oficinas), mientras que 8 oficinas (equivalentes a un 0,92%) no formularon el PAO por diversas razones detalladas en el informe, por lo cual no fueron sujetas del seguimiento, lo que corresponde a que la oficina 0978 Oficina Administrativa del Tercer Circuito Judicial de San José tiene un solo puesto profesional por lo cual, esta oficina no está generando PAO y las metas se le adjuntaron al PAO de la Administración del Primer Circuito Judicial de San José, adicionalmente, el juzgado 0890 Juzgado Pensiones, Violencia Doméstica y Protección Cautelar Pavas no elaboraron el PAO correspondiente, esto debido a que los respectivos objetivos y metas operativas se formularon bajo el PAO del PISAV, seguidamente las oficinas 1069 Sección de Licitaciones, 1070 Sección de Compras Directas, 1071 Sección de Compras Menores y 1995 Unidad de Logística Vehicular no elaboraron el PAO correspondiente a cada oficina, esto </w:t>
      </w:r>
      <w:r w:rsidRPr="00203245">
        <w:rPr>
          <w:rFonts w:eastAsiaTheme="minorHAnsi"/>
          <w:lang w:val="es-CR" w:eastAsia="en-US"/>
        </w:rPr>
        <w:lastRenderedPageBreak/>
        <w:t xml:space="preserve">debido a que los respectivos objetivos y metas se formularon bajo el PAO de la Oficina de Adquisiciones, por otro lado, la oficina </w:t>
      </w:r>
      <w:r w:rsidRPr="00203245">
        <w:rPr>
          <w:rFonts w:eastAsiaTheme="minorHAnsi"/>
          <w:b/>
          <w:bCs/>
          <w:lang w:val="es-CR" w:eastAsia="en-US"/>
        </w:rPr>
        <w:t>0037 Unidad de Adiestramiento</w:t>
      </w:r>
      <w:r w:rsidRPr="00203245">
        <w:rPr>
          <w:rFonts w:eastAsiaTheme="minorHAnsi"/>
          <w:lang w:val="es-CR" w:eastAsia="en-US"/>
        </w:rPr>
        <w:t xml:space="preserve"> no elaboro PAO correspondiente, esto debido a que los respectivos objetivos y metas operativas se formularon bajo el PAO del Departamento de la Proveeduría y finalmente la oficina </w:t>
      </w:r>
      <w:r w:rsidRPr="00203245">
        <w:rPr>
          <w:rFonts w:eastAsiaTheme="minorHAnsi"/>
          <w:b/>
          <w:bCs/>
          <w:lang w:val="es-CR" w:eastAsia="en-US"/>
        </w:rPr>
        <w:t xml:space="preserve">1367 Oficina de Comunicaciones Judiciales de Quepos </w:t>
      </w:r>
      <w:r w:rsidRPr="00203245">
        <w:rPr>
          <w:rFonts w:eastAsiaTheme="minorHAnsi"/>
          <w:lang w:val="es-CR" w:eastAsia="en-US"/>
        </w:rPr>
        <w:t>no elaboro PAO correspondiente, esto debido a que los respectivos objetivos y metas operativas se formularon bajo el PAO de la Administración de Quepos.</w:t>
      </w:r>
    </w:p>
    <w:p w14:paraId="3F6FCA2B" w14:textId="77777777" w:rsidR="00203245" w:rsidRPr="00203245" w:rsidRDefault="00203245" w:rsidP="00203245">
      <w:pPr>
        <w:widowControl w:val="0"/>
        <w:tabs>
          <w:tab w:val="left" w:pos="851"/>
        </w:tabs>
        <w:suppressAutoHyphens w:val="0"/>
        <w:ind w:left="851" w:right="851" w:firstLine="709"/>
        <w:jc w:val="both"/>
        <w:rPr>
          <w:rFonts w:eastAsiaTheme="minorHAnsi"/>
          <w:lang w:val="es-CR" w:eastAsia="en-US"/>
        </w:rPr>
      </w:pPr>
    </w:p>
    <w:p w14:paraId="3EABA85E"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 xml:space="preserve">El avance del cumplimiento de los </w:t>
      </w:r>
      <w:proofErr w:type="spellStart"/>
      <w:r w:rsidRPr="00203245">
        <w:rPr>
          <w:rFonts w:eastAsiaTheme="minorHAnsi"/>
          <w:lang w:val="es-CR" w:eastAsia="en-US"/>
        </w:rPr>
        <w:t>PAO´s</w:t>
      </w:r>
      <w:proofErr w:type="spellEnd"/>
      <w:r w:rsidRPr="00203245">
        <w:rPr>
          <w:rFonts w:eastAsiaTheme="minorHAnsi"/>
          <w:lang w:val="es-CR" w:eastAsia="en-US"/>
        </w:rPr>
        <w:t xml:space="preserve"> de acuerdo con los programas presupuestarios se observa que el Programa Organismo de Investigación Judicial (59,01%), el Programa Defensa Pública (58,11%), el Programa Servicio de Atención y Protección de Víctimas y Testigos (56,70%) y el Programa Administración Fondo de Jubilaciones y Pensiones (55,00%), son los programas presupuestarios con mayor avance superando el 55% de avance, seguido por el Programa Dirección, Administración y Otros Órganos de Apoyo con un 48,78%, el Programa Ministerio Público con un 45,56% y finalmente el Programa Servicio Jurisdiccional con un 43,45%.</w:t>
      </w:r>
    </w:p>
    <w:p w14:paraId="5A66E255" w14:textId="77777777" w:rsidR="00203245" w:rsidRPr="00203245" w:rsidRDefault="00203245" w:rsidP="00203245">
      <w:pPr>
        <w:widowControl w:val="0"/>
        <w:tabs>
          <w:tab w:val="left" w:pos="851"/>
        </w:tabs>
        <w:suppressAutoHyphens w:val="0"/>
        <w:ind w:left="851" w:right="851" w:firstLine="709"/>
        <w:jc w:val="both"/>
        <w:rPr>
          <w:rFonts w:eastAsiaTheme="minorHAnsi"/>
          <w:lang w:val="es-CR" w:eastAsia="en-US"/>
        </w:rPr>
      </w:pPr>
    </w:p>
    <w:p w14:paraId="3805BBF5"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Con relación a la comparación del porcentaje de avances al PAO por programa del primer semestre 2024 y el primer semestre 2025, se observa cómo los Programas Presupuestarios obtuvieron una disminución en el seguimiento del cumplimiento de avances del PAO dentro de los periodos analizados, en donde, el Programa Presupuestario Ministerio Público (-14,83%), el Programa Presupuestario Administración Fondo de Jubilaciones y Pensiones (-8,42%), el Programa Presupuestario Organismo de Investigación Jurisdiccional (-7,81%), el Programa Dirección, Administración y Otros Órganos de Apoyo (-6,97%), el Programa Servicio Jurisdiccional (-5,71%) el Programa Presupuestario Servicio de Atención y Protección de Víctimas y Testigos (-5,52%) y finalmente el Programa Presupuestario Defensa Pública (-1,11).</w:t>
      </w:r>
    </w:p>
    <w:p w14:paraId="4F08811E" w14:textId="77777777" w:rsidR="00203245" w:rsidRPr="00203245" w:rsidRDefault="00203245" w:rsidP="00203245">
      <w:pPr>
        <w:widowControl w:val="0"/>
        <w:suppressAutoHyphens w:val="0"/>
        <w:ind w:left="851" w:right="851" w:firstLine="709"/>
        <w:rPr>
          <w:rFonts w:eastAsiaTheme="minorHAnsi"/>
          <w:lang w:val="es-CR" w:eastAsia="en-US"/>
        </w:rPr>
      </w:pPr>
    </w:p>
    <w:p w14:paraId="144E30F2"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 xml:space="preserve">Con respecto a los avances por Centros de Responsabilidad, se analizan tres grandes bloques del total de 55 Centros. Se tiene un primer bloque con 26 Centros de Responsabilidad con porcentajes de avance de cumplimiento superiores al 50% lo cual evidencia un compromiso y trabajo por parte de estos Centros para lograr un óptimo nivel de avance al primer semestre del 2025. Un bloque intermedio compuesto por 29 Centros de Responsabilidad que tienen un nivel de avance de cumplimiento esperado, es decir, que el grado de cumplimiento aún no es muy elevado por encontrarse en el primer semestre del año, sin embargo, ya se comienzan a obtener resultados sobre los proyectos, por lo tanto, el nivel de avance de 26,00% a 49,99% es parte de la dinámica del primer </w:t>
      </w:r>
      <w:r w:rsidRPr="00203245">
        <w:rPr>
          <w:rFonts w:eastAsiaTheme="minorHAnsi"/>
          <w:lang w:val="es-CR" w:eastAsia="en-US"/>
        </w:rPr>
        <w:lastRenderedPageBreak/>
        <w:t>semestre. Finalmente, ningún Centro de Responsabilidad registró avances inferiores al 26% para el primer semestre del 2025.</w:t>
      </w:r>
    </w:p>
    <w:p w14:paraId="16B86D9D" w14:textId="77777777" w:rsidR="00203245" w:rsidRPr="00203245" w:rsidRDefault="00203245" w:rsidP="00203245">
      <w:pPr>
        <w:widowControl w:val="0"/>
        <w:tabs>
          <w:tab w:val="left" w:pos="851"/>
        </w:tabs>
        <w:suppressAutoHyphens w:val="0"/>
        <w:ind w:left="851" w:right="851" w:firstLine="709"/>
        <w:jc w:val="both"/>
        <w:rPr>
          <w:rFonts w:eastAsiaTheme="minorHAnsi"/>
          <w:lang w:val="es-CR" w:eastAsia="en-US"/>
        </w:rPr>
      </w:pPr>
    </w:p>
    <w:p w14:paraId="3C51CE44"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 xml:space="preserve">En relación con la comparación efectuadas entre los primeros semestres de los años 2024 versus 2025 sobre los avances al PAO por Centro de Responsabilidad, se señala un 29% (16 Centros de Responsabilidad) alcanzaron un incremento en el cumplimiento de los avances del PAO entre los dos periodos analizados, mientras que 71% (39 Centros de Responsabilidad) presentaron una disminución en el cumplimiento de los avances del PAO entre los periodos analizados. </w:t>
      </w:r>
    </w:p>
    <w:p w14:paraId="2962E351" w14:textId="77777777" w:rsidR="00203245" w:rsidRPr="00203245" w:rsidRDefault="00203245" w:rsidP="00203245">
      <w:pPr>
        <w:widowControl w:val="0"/>
        <w:tabs>
          <w:tab w:val="left" w:pos="851"/>
        </w:tabs>
        <w:suppressAutoHyphens w:val="0"/>
        <w:ind w:left="851" w:right="851" w:firstLine="709"/>
        <w:jc w:val="both"/>
        <w:rPr>
          <w:rFonts w:eastAsiaTheme="minorHAnsi"/>
          <w:lang w:val="es-CR" w:eastAsia="en-US"/>
        </w:rPr>
      </w:pPr>
    </w:p>
    <w:p w14:paraId="51B76162"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 xml:space="preserve">Para el seguimiento del primer semestre del 2025, se determina que hay 446 oficinas de diversos programas presupuestarios que registraron al 30 de junio del 2025 un cumplimiento inferior al 26% en sus respectivas metas operativas formuladas; es decir que no alcanzaron el cumplimiento esperado para este primer semestre. </w:t>
      </w:r>
    </w:p>
    <w:p w14:paraId="031FC6F8" w14:textId="77777777" w:rsidR="00203245" w:rsidRPr="00203245" w:rsidRDefault="00203245" w:rsidP="00203245">
      <w:pPr>
        <w:widowControl w:val="0"/>
        <w:suppressAutoHyphens w:val="0"/>
        <w:ind w:left="851" w:right="851" w:firstLine="709"/>
        <w:rPr>
          <w:rFonts w:eastAsiaTheme="minorHAnsi"/>
          <w:lang w:val="es-CR" w:eastAsia="en-US"/>
        </w:rPr>
      </w:pPr>
    </w:p>
    <w:p w14:paraId="7520CDD0"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 xml:space="preserve">Como parte de las labores de seguimiento al Plan Anual Operativo 2025, el Subproceso de Evaluación de la Dirección de Planificación, </w:t>
      </w:r>
      <w:r w:rsidRPr="00203245">
        <w:rPr>
          <w:rFonts w:eastAsiaTheme="minorHAnsi"/>
          <w:snapToGrid w:val="0"/>
          <w:lang w:val="es-CR" w:eastAsia="en-US"/>
        </w:rPr>
        <w:t xml:space="preserve">se dio a la tarea de realizar un análisis de datos preliminares de seguimiento al Plan Anual Operativo 2025 por Centro de Responsabilidad, </w:t>
      </w:r>
      <w:r w:rsidRPr="00203245">
        <w:rPr>
          <w:rFonts w:eastAsiaTheme="minorHAnsi"/>
          <w:lang w:val="es-CR" w:eastAsia="en-US"/>
        </w:rPr>
        <w:t xml:space="preserve">donde </w:t>
      </w:r>
      <w:r w:rsidRPr="00203245">
        <w:rPr>
          <w:rFonts w:eastAsiaTheme="minorHAnsi"/>
          <w:snapToGrid w:val="0"/>
          <w:lang w:val="es-CR" w:eastAsia="en-US"/>
        </w:rPr>
        <w:t xml:space="preserve">se le recuerda que al 30 de junio las metas operativas deben de estar registradas con un avance de cumplimiento del 26% y si la oficina tiene programado realizar el cumplimiento de la meta operativa en el segundo semestre 2025, se tenía que remitir un correo electrónico justificando el no avance de la meta, por lo anterior se </w:t>
      </w:r>
      <w:r w:rsidRPr="00203245">
        <w:rPr>
          <w:rFonts w:eastAsiaTheme="minorHAnsi"/>
          <w:lang w:val="es-CR" w:eastAsia="en-US"/>
        </w:rPr>
        <w:t xml:space="preserve">presentaron las  justificaciones del por qué no se podía realizar el respectivo avance y dentro de las justificaciones realizadas tenemos un total de </w:t>
      </w:r>
      <w:r w:rsidRPr="00203245">
        <w:rPr>
          <w:rFonts w:eastAsiaTheme="minorHAnsi"/>
          <w:b/>
          <w:bCs/>
          <w:lang w:val="es-CR" w:eastAsia="en-US"/>
        </w:rPr>
        <w:t>88 oficinas</w:t>
      </w:r>
      <w:r w:rsidRPr="00203245">
        <w:rPr>
          <w:rFonts w:eastAsiaTheme="minorHAnsi"/>
          <w:lang w:val="es-CR" w:eastAsia="en-US"/>
        </w:rPr>
        <w:t xml:space="preserve"> donde indican que las metas operativas formuladas en el PAO 2025 inferiores al 26%, se tienen proyectadas a dar cumplimiento en el segundo semestre del 2025.</w:t>
      </w:r>
    </w:p>
    <w:p w14:paraId="0684ADD6" w14:textId="77777777" w:rsidR="00203245" w:rsidRPr="00203245" w:rsidRDefault="00203245" w:rsidP="00203245">
      <w:pPr>
        <w:widowControl w:val="0"/>
        <w:tabs>
          <w:tab w:val="left" w:pos="851"/>
        </w:tabs>
        <w:suppressAutoHyphens w:val="0"/>
        <w:ind w:left="851" w:right="851" w:firstLine="709"/>
        <w:jc w:val="both"/>
        <w:rPr>
          <w:rFonts w:eastAsiaTheme="minorHAnsi"/>
          <w:lang w:val="es-CR" w:eastAsia="en-US"/>
        </w:rPr>
      </w:pPr>
    </w:p>
    <w:p w14:paraId="2B0DAC4E"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 xml:space="preserve"> De acuerdo con el seguimiento realizado en el mes de junio del 2025, se obtiene un total 358 oficinas con un porcentaje inferior al 26% se le confeccionará una acción de mejora, la cual se deberá de cumplir a finales del </w:t>
      </w:r>
      <w:r w:rsidRPr="00203245">
        <w:rPr>
          <w:rFonts w:eastAsiaTheme="minorHAnsi"/>
          <w:b/>
          <w:bCs/>
          <w:lang w:val="es-CR" w:eastAsia="en-US"/>
        </w:rPr>
        <w:t>31 de diciembre 2025</w:t>
      </w:r>
      <w:r w:rsidRPr="00203245">
        <w:rPr>
          <w:rFonts w:eastAsiaTheme="minorHAnsi"/>
          <w:lang w:val="es-CR" w:eastAsia="en-US"/>
        </w:rPr>
        <w:t xml:space="preserve"> y se brindará seguimiento por el Subproceso de Evaluación de la Dirección de Planificación en el informe de Evaluación al Plan Anual Operativo 2025.</w:t>
      </w:r>
    </w:p>
    <w:p w14:paraId="469803B4" w14:textId="77777777" w:rsidR="00203245" w:rsidRPr="00203245" w:rsidRDefault="00203245" w:rsidP="00203245">
      <w:pPr>
        <w:widowControl w:val="0"/>
        <w:tabs>
          <w:tab w:val="left" w:pos="851"/>
        </w:tabs>
        <w:suppressAutoHyphens w:val="0"/>
        <w:ind w:left="851" w:right="851" w:firstLine="709"/>
        <w:jc w:val="both"/>
        <w:rPr>
          <w:rFonts w:eastAsiaTheme="minorHAnsi"/>
          <w:lang w:val="es-CR" w:eastAsia="en-US"/>
        </w:rPr>
      </w:pPr>
    </w:p>
    <w:p w14:paraId="50D2E249"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 xml:space="preserve"> Con respecto a la vinculación de las metas estratégicas del PEI y su enlace con el PAO, se determina que hay 4658 metas formuladas en todos los PAO a nivel nacional, </w:t>
      </w:r>
      <w:r w:rsidRPr="00203245">
        <w:rPr>
          <w:rFonts w:eastAsiaTheme="minorHAnsi"/>
          <w:b/>
          <w:bCs/>
          <w:lang w:val="es-CR" w:eastAsia="en-US"/>
        </w:rPr>
        <w:t>hay 1361 metas operativas provenientes del PEI</w:t>
      </w:r>
      <w:r w:rsidRPr="00203245">
        <w:rPr>
          <w:rFonts w:eastAsiaTheme="minorHAnsi"/>
          <w:lang w:val="es-CR" w:eastAsia="en-US"/>
        </w:rPr>
        <w:t xml:space="preserve"> y que fueron asignadas para el cumplimiento estratégico del Plan, y por otra parte hay </w:t>
      </w:r>
      <w:r w:rsidRPr="00203245">
        <w:rPr>
          <w:rFonts w:eastAsiaTheme="minorHAnsi"/>
          <w:lang w:val="es-CR" w:eastAsia="en-US"/>
        </w:rPr>
        <w:lastRenderedPageBreak/>
        <w:t xml:space="preserve">3297 metas que fueron formuladas por parte de los despachos y oficinas judiciales por su propia iniciativa. </w:t>
      </w:r>
    </w:p>
    <w:p w14:paraId="453FF8D0" w14:textId="77777777" w:rsidR="00203245" w:rsidRPr="00203245" w:rsidRDefault="00203245" w:rsidP="00203245">
      <w:pPr>
        <w:widowControl w:val="0"/>
        <w:tabs>
          <w:tab w:val="left" w:pos="567"/>
        </w:tabs>
        <w:suppressAutoHyphens w:val="0"/>
        <w:ind w:left="851" w:right="851" w:firstLine="709"/>
        <w:rPr>
          <w:rFonts w:eastAsiaTheme="minorHAnsi"/>
          <w:lang w:val="es-CR" w:eastAsia="en-US"/>
        </w:rPr>
      </w:pPr>
    </w:p>
    <w:p w14:paraId="42392BCA"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De la totalidad de 1361 metas operativas provenientes del PEI, hay 704 que registran un avance de 0 a 50% lo que representa un 52% de las metas registran avances muy bajos o nulos a la fecha del primer semestre, para el segundo tracto, hay 379 metas con avances entre 50-74% lo que equivale a un 28% de las metas estratégicas con un nivel de avance aceptable y acorde al periodo del año en lo que respecta al cumplimiento y finalmente, el último tracto que es el porcentaje de avance más alto con 75-100% se registran 278 metas con ese rango de valores lo que significa que 20% de las metas han sido completadas o están en gran medida avanzadas como labor operativa de la oficina o despacho, por lo tanto, impacta de manera positiva en el cumplimiento del PEI.</w:t>
      </w:r>
    </w:p>
    <w:p w14:paraId="2651B143" w14:textId="77777777" w:rsidR="00203245" w:rsidRPr="00203245" w:rsidRDefault="00203245" w:rsidP="00203245">
      <w:pPr>
        <w:widowControl w:val="0"/>
        <w:tabs>
          <w:tab w:val="left" w:pos="709"/>
        </w:tabs>
        <w:suppressAutoHyphens w:val="0"/>
        <w:ind w:left="851" w:right="851" w:firstLine="709"/>
        <w:jc w:val="both"/>
        <w:rPr>
          <w:rFonts w:eastAsiaTheme="minorHAnsi"/>
          <w:lang w:val="es-CR" w:eastAsia="en-US"/>
        </w:rPr>
      </w:pPr>
    </w:p>
    <w:p w14:paraId="270A18C1"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Con respecto a las metas operativas con un porcentaje de cumplimiento menor al 26% de acuerdo con el Tema Estratégico, se tiene que la mayor cantidad de metas operativas cuyo porcentaje de cumplimiento no supera el 26%, pertenecen a los temas de “Resolución oportuna de conflictos” con un total de 159 metas (53%) y el restante 47% pertenecen a los siguientes Temas Estratégicos: “Confianza y probidad en la justicia” con un total de 20 metas (6%). Por otro lado, el tema “Optimización e innovación de los servicios judiciales” registró un total de 15 metas (4%), seguido del tema “Planificación Institucional” con un total de 9 metas (2%) y finalizando con el tema “Gestión del Personal” con un total de 7 metas vinculadas al tema estratégico (2%).</w:t>
      </w:r>
    </w:p>
    <w:p w14:paraId="49646D8B" w14:textId="77777777" w:rsidR="00203245" w:rsidRPr="00203245" w:rsidRDefault="00203245" w:rsidP="00203245">
      <w:pPr>
        <w:widowControl w:val="0"/>
        <w:tabs>
          <w:tab w:val="left" w:pos="567"/>
        </w:tabs>
        <w:suppressAutoHyphens w:val="0"/>
        <w:ind w:left="851" w:right="851" w:firstLine="709"/>
        <w:rPr>
          <w:rFonts w:eastAsiaTheme="minorHAnsi"/>
          <w:lang w:val="es-CR" w:eastAsia="en-US"/>
        </w:rPr>
      </w:pPr>
    </w:p>
    <w:p w14:paraId="2CCB47A3"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lang w:val="es-CR" w:eastAsia="es-ES"/>
        </w:rPr>
      </w:pPr>
      <w:r w:rsidRPr="00203245">
        <w:rPr>
          <w:rFonts w:eastAsiaTheme="minorHAnsi"/>
          <w:lang w:val="es-CR" w:eastAsia="en-US"/>
        </w:rPr>
        <w:t xml:space="preserve">De los 17 </w:t>
      </w:r>
      <w:proofErr w:type="gramStart"/>
      <w:r w:rsidRPr="00203245">
        <w:rPr>
          <w:rFonts w:eastAsiaTheme="minorHAnsi"/>
          <w:lang w:val="es-CR" w:eastAsia="en-US"/>
        </w:rPr>
        <w:t>Responsables</w:t>
      </w:r>
      <w:proofErr w:type="gramEnd"/>
      <w:r w:rsidRPr="00203245">
        <w:rPr>
          <w:rFonts w:eastAsiaTheme="minorHAnsi"/>
          <w:lang w:val="es-CR" w:eastAsia="en-US"/>
        </w:rPr>
        <w:t xml:space="preserve"> Estratégicos con metas operativas vinculadas al PEI. Se tiene un primer grupo con un </w:t>
      </w:r>
      <w:proofErr w:type="gramStart"/>
      <w:r w:rsidRPr="00203245">
        <w:rPr>
          <w:rFonts w:eastAsiaTheme="minorHAnsi"/>
          <w:lang w:val="es-CR" w:eastAsia="en-US"/>
        </w:rPr>
        <w:t>Responsable</w:t>
      </w:r>
      <w:proofErr w:type="gramEnd"/>
      <w:r w:rsidRPr="00203245">
        <w:rPr>
          <w:rFonts w:eastAsiaTheme="minorHAnsi"/>
          <w:lang w:val="es-CR" w:eastAsia="en-US"/>
        </w:rPr>
        <w:t xml:space="preserve"> Estratégico, con un rango superior a 50 metas operativas vinculadas al PEI, con un avance menor al 26% de avance de cumplimiento, seguidamente de un grupo con cinco </w:t>
      </w:r>
      <w:proofErr w:type="gramStart"/>
      <w:r w:rsidRPr="00203245">
        <w:rPr>
          <w:rFonts w:eastAsiaTheme="minorHAnsi"/>
          <w:lang w:val="es-CR" w:eastAsia="en-US"/>
        </w:rPr>
        <w:t>Responsables</w:t>
      </w:r>
      <w:proofErr w:type="gramEnd"/>
      <w:r w:rsidRPr="00203245">
        <w:rPr>
          <w:rFonts w:eastAsiaTheme="minorHAnsi"/>
          <w:lang w:val="es-CR" w:eastAsia="en-US"/>
        </w:rPr>
        <w:t xml:space="preserve"> Estratégicos, con un rango de 50 a 10 metas estratégicas vinculadas al PEI menor al 26% de avance cumplimiento y finalmente diecisiete </w:t>
      </w:r>
      <w:proofErr w:type="gramStart"/>
      <w:r w:rsidRPr="00203245">
        <w:rPr>
          <w:rFonts w:eastAsiaTheme="minorHAnsi"/>
          <w:lang w:val="es-CR" w:eastAsia="en-US"/>
        </w:rPr>
        <w:t>Responsables</w:t>
      </w:r>
      <w:proofErr w:type="gramEnd"/>
      <w:r w:rsidRPr="00203245">
        <w:rPr>
          <w:rFonts w:eastAsiaTheme="minorHAnsi"/>
          <w:lang w:val="es-CR" w:eastAsia="en-US"/>
        </w:rPr>
        <w:t xml:space="preserve"> Estratégicos, con un rango inferior a 10 metas estratégicas vinculadas al PEI menor al 26% de avance de cumplimiento.</w:t>
      </w:r>
    </w:p>
    <w:p w14:paraId="0D87FF66" w14:textId="77777777" w:rsidR="00203245" w:rsidRPr="00203245" w:rsidRDefault="00203245" w:rsidP="00203245">
      <w:pPr>
        <w:widowControl w:val="0"/>
        <w:suppressAutoHyphens w:val="0"/>
        <w:ind w:left="851" w:right="851" w:firstLine="709"/>
        <w:rPr>
          <w:rFonts w:eastAsia="Calibri"/>
          <w:b/>
          <w:bCs/>
          <w:lang w:val="es-CR" w:eastAsia="en-US"/>
        </w:rPr>
      </w:pPr>
    </w:p>
    <w:p w14:paraId="355DB4F6"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lang w:val="es-CR" w:eastAsia="es-ES"/>
        </w:rPr>
      </w:pPr>
      <w:r w:rsidRPr="00203245">
        <w:rPr>
          <w:rFonts w:eastAsia="Calibri"/>
          <w:lang w:val="es-CR" w:eastAsia="en-US"/>
        </w:rPr>
        <w:t xml:space="preserve">El Subproceso de Planificación Estratégica realizó una revisión del Plan Estratégico Institucional 2025-2030 mediante el oficio 1183-PLA-PE-2025, en el cual se propuso una alineación estratégica que consiste en el cambio de responsable estratégico de 97 metas estratégicas que indican: </w:t>
      </w:r>
      <w:r w:rsidRPr="00203245">
        <w:rPr>
          <w:rFonts w:eastAsia="Calibri"/>
          <w:i/>
          <w:iCs/>
          <w:lang w:val="es-CR" w:eastAsia="en-US"/>
        </w:rPr>
        <w:t xml:space="preserve">“Que al finalizar el 2030, los despachos jurisdiccionales hayan desarrollado o implementado planes conforme a los resultados obtenidos de los indicadores de gestión y el modelo de mejora continua, para disminuir el rezago judicial” </w:t>
      </w:r>
      <w:r w:rsidRPr="00203245">
        <w:rPr>
          <w:rFonts w:eastAsia="Calibri"/>
          <w:lang w:val="es-CR" w:eastAsia="en-US"/>
        </w:rPr>
        <w:t xml:space="preserve">que hoy tienen </w:t>
      </w:r>
      <w:r w:rsidRPr="00203245">
        <w:rPr>
          <w:rFonts w:eastAsia="Calibri"/>
          <w:lang w:val="es-CR" w:eastAsia="en-US"/>
        </w:rPr>
        <w:lastRenderedPageBreak/>
        <w:t>como responsable estratégico a la Dirección de Planificación siendo lo correcto CACMFJ.</w:t>
      </w:r>
    </w:p>
    <w:p w14:paraId="66F41117" w14:textId="77777777" w:rsidR="00203245" w:rsidRPr="00203245" w:rsidRDefault="00203245" w:rsidP="00203245">
      <w:pPr>
        <w:widowControl w:val="0"/>
        <w:tabs>
          <w:tab w:val="left" w:pos="993"/>
        </w:tabs>
        <w:suppressAutoHyphens w:val="0"/>
        <w:ind w:left="851" w:right="851" w:firstLine="709"/>
        <w:jc w:val="both"/>
        <w:rPr>
          <w:lang w:val="es-CR" w:eastAsia="es-ES"/>
        </w:rPr>
      </w:pPr>
    </w:p>
    <w:p w14:paraId="3C408363"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lang w:val="es-CR" w:eastAsia="es-CR"/>
        </w:rPr>
      </w:pPr>
      <w:r w:rsidRPr="00203245">
        <w:rPr>
          <w:rFonts w:eastAsiaTheme="minorHAnsi"/>
          <w:lang w:val="es-CR" w:eastAsia="en-US"/>
        </w:rPr>
        <w:t xml:space="preserve">Los sistemas  (PEI y PAO) presentaron una infraestructura tecnológica obsoleta, según criterio tecnológico emitido por la Dirección de Tecnología de Información y Comunicaciones, lo cual motivó el desarrollo el nuevo Sistema de Gestión Estratégico (SGE); por lo anterior, el nuevo sistema (SGE) fue puesto en puesto en producción en abril del 2025 con funcionalidades limitadas, específicamente las pantallas de Catálogos Operativos, Formulación Operativa y Avances; por lo cual, no se logró incluir todas las funcionalidades previstas, esto debido a la suspensión de los permisos con goce de salario en el segundo semestre de 2024; sin embargo,  la Dirección de Tecnología de Información y Comunicaciones y la Dirección de Planificación, han asumido el desarrollo y mantenimiento del sistema con recursos ordinarios , sin contar con apoyo extraordinario. </w:t>
      </w:r>
    </w:p>
    <w:p w14:paraId="11FD3340" w14:textId="77777777" w:rsidR="00203245" w:rsidRPr="00203245" w:rsidRDefault="00203245" w:rsidP="00203245">
      <w:pPr>
        <w:widowControl w:val="0"/>
        <w:tabs>
          <w:tab w:val="left" w:pos="993"/>
        </w:tabs>
        <w:suppressAutoHyphens w:val="0"/>
        <w:ind w:left="851" w:right="851" w:firstLine="709"/>
        <w:jc w:val="both"/>
        <w:rPr>
          <w:rFonts w:eastAsiaTheme="minorHAnsi"/>
          <w:lang w:val="es-CR" w:eastAsia="en-US"/>
        </w:rPr>
      </w:pPr>
    </w:p>
    <w:p w14:paraId="39A3E043" w14:textId="77777777" w:rsidR="00203245" w:rsidRPr="00203245" w:rsidRDefault="00203245" w:rsidP="00203245">
      <w:pPr>
        <w:widowControl w:val="0"/>
        <w:numPr>
          <w:ilvl w:val="1"/>
          <w:numId w:val="127"/>
        </w:numPr>
        <w:tabs>
          <w:tab w:val="left" w:pos="851"/>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Producto del seguimiento al Plan Anual Operativo 2025, se detectan cinco hallazgos y acciones de mejora, según se enlistan en el apartado 7 del presente informe, a las cuales se les dará seguimiento en la evaluación del Plan Anual Operativo 2025, con corte al 31 de diciembre del 2025.</w:t>
      </w:r>
    </w:p>
    <w:p w14:paraId="5EDF4527" w14:textId="77777777" w:rsidR="00203245" w:rsidRPr="00203245" w:rsidRDefault="00203245" w:rsidP="00203245">
      <w:pPr>
        <w:widowControl w:val="0"/>
        <w:suppressAutoHyphens w:val="0"/>
        <w:ind w:left="851" w:right="851" w:firstLine="709"/>
        <w:rPr>
          <w:rFonts w:eastAsiaTheme="minorHAnsi"/>
          <w:lang w:val="es-CR" w:eastAsia="zh-CN"/>
        </w:rPr>
      </w:pPr>
    </w:p>
    <w:p w14:paraId="366CC8B4" w14:textId="77777777" w:rsidR="00203245" w:rsidRPr="00203245" w:rsidRDefault="00203245" w:rsidP="00203245">
      <w:pPr>
        <w:widowControl w:val="0"/>
        <w:numPr>
          <w:ilvl w:val="0"/>
          <w:numId w:val="129"/>
        </w:numPr>
        <w:pBdr>
          <w:top w:val="single" w:sz="2" w:space="1" w:color="1F3864"/>
          <w:left w:val="single" w:sz="2" w:space="4" w:color="1F3864"/>
          <w:bottom w:val="single" w:sz="2" w:space="1" w:color="1F3864"/>
          <w:right w:val="single" w:sz="2" w:space="4" w:color="1F3864"/>
        </w:pBdr>
        <w:shd w:val="clear" w:color="auto" w:fill="2F86BB"/>
        <w:tabs>
          <w:tab w:val="left" w:pos="284"/>
        </w:tabs>
        <w:suppressAutoHyphens w:val="0"/>
        <w:autoSpaceDE w:val="0"/>
        <w:autoSpaceDN w:val="0"/>
        <w:adjustRightInd w:val="0"/>
        <w:ind w:left="851" w:right="851" w:firstLine="709"/>
        <w:jc w:val="both"/>
        <w:rPr>
          <w:bCs/>
          <w:u w:color="000000"/>
          <w:lang w:val="es-CR" w:eastAsia="en-US"/>
        </w:rPr>
      </w:pPr>
      <w:bookmarkStart w:id="7" w:name="_Toc212539546"/>
      <w:r w:rsidRPr="00203245">
        <w:rPr>
          <w:bCs/>
          <w:u w:color="000000"/>
          <w:lang w:val="es-CR" w:eastAsia="en-US"/>
        </w:rPr>
        <w:t>Recomendaciones</w:t>
      </w:r>
      <w:bookmarkEnd w:id="7"/>
    </w:p>
    <w:p w14:paraId="065C6B93" w14:textId="77777777" w:rsidR="00203245" w:rsidRPr="00203245" w:rsidRDefault="00203245" w:rsidP="00203245">
      <w:pPr>
        <w:widowControl w:val="0"/>
        <w:suppressAutoHyphens w:val="0"/>
        <w:ind w:left="851" w:right="851" w:firstLine="709"/>
        <w:rPr>
          <w:rFonts w:eastAsiaTheme="minorHAnsi"/>
          <w:lang w:val="es-CR" w:eastAsia="en-US"/>
        </w:rPr>
      </w:pPr>
    </w:p>
    <w:p w14:paraId="22979323" w14:textId="77777777" w:rsidR="00203245" w:rsidRPr="00203245" w:rsidRDefault="00203245" w:rsidP="00203245">
      <w:pPr>
        <w:widowControl w:val="0"/>
        <w:suppressAutoHyphens w:val="0"/>
        <w:ind w:left="851" w:right="851" w:firstLine="709"/>
        <w:jc w:val="both"/>
        <w:rPr>
          <w:rFonts w:eastAsiaTheme="majorEastAsia"/>
          <w:b/>
          <w:bCs/>
          <w:lang w:val="es-CR" w:eastAsia="en-US"/>
        </w:rPr>
      </w:pPr>
      <w:r w:rsidRPr="00203245">
        <w:rPr>
          <w:rFonts w:eastAsiaTheme="majorEastAsia"/>
          <w:b/>
          <w:bCs/>
          <w:lang w:val="es-CR" w:eastAsia="en-US"/>
        </w:rPr>
        <w:t>Al Consejo Superior</w:t>
      </w:r>
    </w:p>
    <w:p w14:paraId="2BF46A0D" w14:textId="77777777" w:rsidR="00203245" w:rsidRPr="00203245" w:rsidRDefault="00203245" w:rsidP="00203245">
      <w:pPr>
        <w:widowControl w:val="0"/>
        <w:suppressAutoHyphens w:val="0"/>
        <w:ind w:left="851" w:right="851" w:firstLine="709"/>
        <w:jc w:val="both"/>
        <w:rPr>
          <w:rFonts w:eastAsiaTheme="minorHAnsi"/>
          <w:lang w:val="es-CR" w:eastAsia="en-US"/>
        </w:rPr>
      </w:pPr>
    </w:p>
    <w:p w14:paraId="5A95415F"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Aprobar el presente informe y sus recomendaciones, correspondiente al seguimiento de las metas operativas del Plan Anual Operativo 2025, al término del primer semestre de 2025.</w:t>
      </w:r>
    </w:p>
    <w:p w14:paraId="2AF9D2BF" w14:textId="77777777" w:rsidR="00203245" w:rsidRPr="00203245" w:rsidRDefault="00203245" w:rsidP="00203245">
      <w:pPr>
        <w:widowControl w:val="0"/>
        <w:tabs>
          <w:tab w:val="left" w:pos="567"/>
          <w:tab w:val="left" w:pos="1276"/>
        </w:tabs>
        <w:suppressAutoHyphens w:val="0"/>
        <w:ind w:left="851" w:right="851" w:firstLine="709"/>
        <w:jc w:val="both"/>
        <w:rPr>
          <w:rFonts w:eastAsiaTheme="minorHAnsi"/>
          <w:lang w:val="es-CR" w:eastAsia="en-US"/>
        </w:rPr>
      </w:pPr>
    </w:p>
    <w:p w14:paraId="4D16BF2E"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Tomar nota de los hallazgos en el seguimiento del Plan Anual Operativo 2025 y las acciones a realizar según apartado 7 de este informe y comunicar a las diferentes instancias judiciales, quienes deberán ejecutar dichas acciones. El seguimiento a estas acciones deberá realizarse por el Subproceso de Evaluación de la Dirección de Planificación en el informe de Evaluación al Plan Anual Operativo 2025.</w:t>
      </w:r>
    </w:p>
    <w:p w14:paraId="7CB120B9" w14:textId="77777777" w:rsidR="00203245" w:rsidRPr="00203245" w:rsidRDefault="00203245" w:rsidP="00203245">
      <w:pPr>
        <w:widowControl w:val="0"/>
        <w:tabs>
          <w:tab w:val="left" w:pos="567"/>
          <w:tab w:val="left" w:pos="1276"/>
        </w:tabs>
        <w:suppressAutoHyphens w:val="0"/>
        <w:ind w:left="851" w:right="851" w:firstLine="709"/>
        <w:jc w:val="both"/>
        <w:rPr>
          <w:rFonts w:eastAsiaTheme="minorHAnsi"/>
          <w:lang w:val="es-CR" w:eastAsia="en-US"/>
        </w:rPr>
      </w:pPr>
    </w:p>
    <w:p w14:paraId="32415151"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 xml:space="preserve">Hacer un atento recordatorio para registrar avances en el cumplimiento de metas operativas, a los Programas Presupuestarios Ministerio Público, Administración Fondo de Jubilaciones y Pensiones, Organismo de Investigación Jurisdiccional, Dirección, Administración y Otros Órganos de </w:t>
      </w:r>
      <w:r w:rsidRPr="00203245">
        <w:rPr>
          <w:rFonts w:eastAsiaTheme="minorHAnsi"/>
          <w:lang w:val="es-CR" w:eastAsia="en-US"/>
        </w:rPr>
        <w:lastRenderedPageBreak/>
        <w:t xml:space="preserve">Apoyo, Servicio Jurisdiccional, Servicio de Atención y Protección de Víctimas y Testigos y Defensa Pública, según se indica en el apartado </w:t>
      </w:r>
      <w:r w:rsidRPr="00203245">
        <w:rPr>
          <w:rFonts w:eastAsiaTheme="minorHAnsi"/>
          <w:b/>
          <w:bCs/>
          <w:i/>
          <w:iCs/>
          <w:lang w:val="es-CR" w:eastAsia="en-US"/>
        </w:rPr>
        <w:t>“Hallazgos del seguimiento al Plan Anual Operativo 2025 y acciones de mejora”</w:t>
      </w:r>
      <w:r w:rsidRPr="00203245">
        <w:rPr>
          <w:rFonts w:eastAsiaTheme="minorHAnsi"/>
          <w:b/>
          <w:bCs/>
          <w:lang w:val="es-CR" w:eastAsia="en-US"/>
        </w:rPr>
        <w:t xml:space="preserve"> punto 7.1</w:t>
      </w:r>
      <w:r w:rsidRPr="00203245">
        <w:rPr>
          <w:rFonts w:eastAsiaTheme="minorHAnsi"/>
          <w:lang w:val="es-CR" w:eastAsia="en-US"/>
        </w:rPr>
        <w:t>, quienes presentaron una disminución en la comparación del avance del cumplimiento entre el primer semestre 2024 y el primer semestre 2025.</w:t>
      </w:r>
    </w:p>
    <w:p w14:paraId="0ED970DD" w14:textId="77777777" w:rsidR="00203245" w:rsidRPr="00203245" w:rsidRDefault="00203245" w:rsidP="00203245">
      <w:pPr>
        <w:widowControl w:val="0"/>
        <w:tabs>
          <w:tab w:val="left" w:pos="567"/>
          <w:tab w:val="left" w:pos="1276"/>
        </w:tabs>
        <w:suppressAutoHyphens w:val="0"/>
        <w:ind w:left="851" w:right="851" w:firstLine="709"/>
        <w:jc w:val="both"/>
        <w:rPr>
          <w:rFonts w:eastAsiaTheme="minorHAnsi"/>
          <w:lang w:val="es-CR" w:eastAsia="en-US"/>
        </w:rPr>
      </w:pPr>
    </w:p>
    <w:p w14:paraId="46CB78FF"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 xml:space="preserve">Hacer un atento recordatorio para registrar avances en el cumplimiento de metas operativas, a los 39 Centros de Responsabilidad, según se indica en el apartado </w:t>
      </w:r>
      <w:r w:rsidRPr="00203245">
        <w:rPr>
          <w:rFonts w:eastAsiaTheme="minorHAnsi"/>
          <w:b/>
          <w:bCs/>
          <w:i/>
          <w:iCs/>
          <w:lang w:val="es-CR" w:eastAsia="en-US"/>
        </w:rPr>
        <w:t>“Hallazgos del seguimiento al Plan Anual Operativo 2025 y acciones de mejora”</w:t>
      </w:r>
      <w:r w:rsidRPr="00203245">
        <w:rPr>
          <w:rFonts w:eastAsiaTheme="minorHAnsi"/>
          <w:b/>
          <w:bCs/>
          <w:lang w:val="es-CR" w:eastAsia="en-US"/>
        </w:rPr>
        <w:t xml:space="preserve"> punto 7.2</w:t>
      </w:r>
      <w:r w:rsidRPr="00203245">
        <w:rPr>
          <w:rFonts w:eastAsiaTheme="minorHAnsi"/>
          <w:lang w:val="es-CR" w:eastAsia="en-US"/>
        </w:rPr>
        <w:t>, quienes presentaron una disminución en la comparación del avance del cumplimiento entre el primer semestre 2024 y el primer semestre 2025.</w:t>
      </w:r>
    </w:p>
    <w:p w14:paraId="06ED96A6" w14:textId="77777777" w:rsidR="00203245" w:rsidRPr="00203245" w:rsidRDefault="00203245" w:rsidP="00203245">
      <w:pPr>
        <w:widowControl w:val="0"/>
        <w:tabs>
          <w:tab w:val="left" w:pos="567"/>
          <w:tab w:val="left" w:pos="1276"/>
        </w:tabs>
        <w:suppressAutoHyphens w:val="0"/>
        <w:ind w:left="851" w:right="851" w:firstLine="709"/>
        <w:jc w:val="both"/>
        <w:rPr>
          <w:rFonts w:eastAsiaTheme="minorHAnsi"/>
          <w:lang w:val="es-CR" w:eastAsia="en-US"/>
        </w:rPr>
      </w:pPr>
    </w:p>
    <w:p w14:paraId="63B900C5"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lang w:val="es-CR" w:eastAsia="en-US"/>
        </w:rPr>
        <w:t>Hacer un atento recordatorio para registrar avances en el cumplimiento de metas operativas, a los 50 Centros de Responsabilidad, según se indica en el apartado</w:t>
      </w:r>
      <w:r w:rsidRPr="00203245">
        <w:rPr>
          <w:rFonts w:eastAsiaTheme="minorHAnsi"/>
          <w:b/>
          <w:bCs/>
          <w:lang w:val="es-CR" w:eastAsia="en-US"/>
        </w:rPr>
        <w:t xml:space="preserve"> </w:t>
      </w:r>
      <w:r w:rsidRPr="00203245">
        <w:rPr>
          <w:rFonts w:eastAsiaTheme="minorHAnsi"/>
          <w:b/>
          <w:bCs/>
          <w:i/>
          <w:iCs/>
          <w:lang w:val="es-CR" w:eastAsia="en-US"/>
        </w:rPr>
        <w:t>“Hallazgos del seguimiento al Plan Anual Operativo 2025 y acciones de mejora”</w:t>
      </w:r>
      <w:r w:rsidRPr="00203245">
        <w:rPr>
          <w:rFonts w:eastAsiaTheme="minorHAnsi"/>
          <w:b/>
          <w:bCs/>
          <w:lang w:val="es-CR" w:eastAsia="en-US"/>
        </w:rPr>
        <w:t xml:space="preserve"> punto 7.3</w:t>
      </w:r>
      <w:r w:rsidRPr="00203245">
        <w:rPr>
          <w:rFonts w:eastAsiaTheme="minorHAnsi"/>
          <w:lang w:val="es-CR" w:eastAsia="en-US"/>
        </w:rPr>
        <w:t xml:space="preserve">, que registran con metas operativas con un avance inferior al 26%, para que determinen las razones que propiciaron no alcanzar los resultados esperados. </w:t>
      </w:r>
    </w:p>
    <w:p w14:paraId="4B5F74AF" w14:textId="77777777" w:rsidR="00203245" w:rsidRPr="00203245" w:rsidRDefault="00203245" w:rsidP="00203245">
      <w:pPr>
        <w:widowControl w:val="0"/>
        <w:tabs>
          <w:tab w:val="left" w:pos="993"/>
          <w:tab w:val="left" w:pos="1276"/>
        </w:tabs>
        <w:suppressAutoHyphens w:val="0"/>
        <w:ind w:left="851" w:right="851" w:firstLine="709"/>
        <w:jc w:val="both"/>
        <w:rPr>
          <w:rFonts w:eastAsiaTheme="minorHAnsi"/>
          <w:lang w:val="es-CR" w:eastAsia="en-US"/>
        </w:rPr>
      </w:pPr>
    </w:p>
    <w:p w14:paraId="280C45BA"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ajorEastAsia"/>
          <w:b/>
          <w:bCs/>
          <w:lang w:val="es-CR" w:eastAsia="en-US"/>
        </w:rPr>
      </w:pPr>
      <w:r w:rsidRPr="00203245">
        <w:rPr>
          <w:rFonts w:eastAsiaTheme="minorHAnsi"/>
          <w:lang w:val="es-CR" w:eastAsia="en-US"/>
        </w:rPr>
        <w:t xml:space="preserve">Hacer un atento recordatorio para registrar avances en el cumplimiento de metas operativas, a las 358 Oficinas o despachos judiciales, según se indica en el apartado </w:t>
      </w:r>
      <w:r w:rsidRPr="00203245">
        <w:rPr>
          <w:rFonts w:eastAsiaTheme="minorHAnsi"/>
          <w:b/>
          <w:bCs/>
          <w:i/>
          <w:iCs/>
          <w:lang w:val="es-CR" w:eastAsia="en-US"/>
        </w:rPr>
        <w:t>“Hallazgos del seguimiento al Plan Anual Operativo 2025 y acciones de mejora”</w:t>
      </w:r>
      <w:r w:rsidRPr="00203245">
        <w:rPr>
          <w:rFonts w:eastAsiaTheme="minorHAnsi"/>
          <w:b/>
          <w:bCs/>
          <w:lang w:val="es-CR" w:eastAsia="en-US"/>
        </w:rPr>
        <w:t xml:space="preserve"> punto 7.4</w:t>
      </w:r>
      <w:r w:rsidRPr="00203245">
        <w:rPr>
          <w:rFonts w:eastAsiaTheme="minorHAnsi"/>
          <w:lang w:val="es-CR" w:eastAsia="en-US"/>
        </w:rPr>
        <w:t>, que registran metas operativas con un porcentaje inferior al 26%, esto con el fin de cumplir con los objetivos y metas, así como con la debida actualización de avances en el Sistema de Gestión Estratégica del Poder Judicial (SGE-PJ) al cierre del periodo 2025.</w:t>
      </w:r>
    </w:p>
    <w:p w14:paraId="79DBB67A" w14:textId="77777777" w:rsidR="00203245" w:rsidRPr="00203245" w:rsidRDefault="00203245" w:rsidP="00203245">
      <w:pPr>
        <w:widowControl w:val="0"/>
        <w:tabs>
          <w:tab w:val="left" w:pos="993"/>
          <w:tab w:val="left" w:pos="1276"/>
        </w:tabs>
        <w:suppressAutoHyphens w:val="0"/>
        <w:ind w:left="851" w:right="851" w:firstLine="709"/>
        <w:jc w:val="both"/>
        <w:rPr>
          <w:rFonts w:eastAsiaTheme="majorEastAsia"/>
          <w:b/>
          <w:bCs/>
          <w:lang w:val="es-CR" w:eastAsia="en-US"/>
        </w:rPr>
      </w:pPr>
    </w:p>
    <w:p w14:paraId="7CF45237"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ajorEastAsia"/>
          <w:b/>
          <w:bCs/>
          <w:lang w:val="es-CR" w:eastAsia="en-US"/>
        </w:rPr>
      </w:pPr>
      <w:r w:rsidRPr="00203245">
        <w:rPr>
          <w:rFonts w:eastAsiaTheme="minorHAnsi"/>
          <w:lang w:val="es-CR" w:eastAsia="en-US"/>
        </w:rPr>
        <w:t xml:space="preserve">Hacer un atento recordatorio para registrar avances en el cumplimiento de metas operativas, a los 23 </w:t>
      </w:r>
      <w:proofErr w:type="gramStart"/>
      <w:r w:rsidRPr="00203245">
        <w:rPr>
          <w:rFonts w:eastAsiaTheme="minorHAnsi"/>
          <w:lang w:val="es-CR" w:eastAsia="en-US"/>
        </w:rPr>
        <w:t>Responsables</w:t>
      </w:r>
      <w:proofErr w:type="gramEnd"/>
      <w:r w:rsidRPr="00203245">
        <w:rPr>
          <w:rFonts w:eastAsiaTheme="minorHAnsi"/>
          <w:lang w:val="es-CR" w:eastAsia="en-US"/>
        </w:rPr>
        <w:t xml:space="preserve"> Estratégicos, según se indica en el apartado </w:t>
      </w:r>
      <w:r w:rsidRPr="00203245">
        <w:rPr>
          <w:rFonts w:eastAsiaTheme="minorHAnsi"/>
          <w:b/>
          <w:bCs/>
          <w:i/>
          <w:iCs/>
          <w:lang w:val="es-CR" w:eastAsia="en-US"/>
        </w:rPr>
        <w:t>“Hallazgos del seguimiento al Plan Anual Operativo 2025 y acciones de mejora”</w:t>
      </w:r>
      <w:r w:rsidRPr="00203245">
        <w:rPr>
          <w:rFonts w:eastAsiaTheme="minorHAnsi"/>
          <w:b/>
          <w:bCs/>
          <w:lang w:val="es-CR" w:eastAsia="en-US"/>
        </w:rPr>
        <w:t xml:space="preserve"> punto 7.5</w:t>
      </w:r>
      <w:r w:rsidRPr="00203245">
        <w:rPr>
          <w:rFonts w:eastAsiaTheme="minorHAnsi"/>
          <w:lang w:val="es-CR" w:eastAsia="en-US"/>
        </w:rPr>
        <w:t xml:space="preserve">, que </w:t>
      </w:r>
      <w:r w:rsidRPr="00203245">
        <w:rPr>
          <w:rFonts w:eastAsiaTheme="minorHAnsi"/>
          <w:lang w:val="es-CR" w:eastAsia="ja-JP"/>
        </w:rPr>
        <w:t>presentan metas operativas vinculadas al PEI con un avance de cumplimiento inferior al 26%.</w:t>
      </w:r>
    </w:p>
    <w:p w14:paraId="4402F766" w14:textId="77777777" w:rsidR="00203245" w:rsidRPr="00203245" w:rsidRDefault="00203245" w:rsidP="00203245">
      <w:pPr>
        <w:widowControl w:val="0"/>
        <w:suppressAutoHyphens w:val="0"/>
        <w:ind w:left="851" w:right="851" w:firstLine="709"/>
        <w:rPr>
          <w:rFonts w:eastAsiaTheme="majorEastAsia"/>
          <w:b/>
          <w:bCs/>
          <w:lang w:val="es-CR" w:eastAsia="en-US"/>
        </w:rPr>
      </w:pPr>
    </w:p>
    <w:p w14:paraId="40D9E1CA"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ajorEastAsia"/>
          <w:lang w:val="es-CR" w:eastAsia="en-US"/>
        </w:rPr>
      </w:pPr>
      <w:r w:rsidRPr="00203245">
        <w:rPr>
          <w:rFonts w:eastAsiaTheme="minorHAnsi"/>
          <w:lang w:val="es-CR" w:eastAsia="en-US"/>
        </w:rPr>
        <w:t>Aprobar</w:t>
      </w:r>
      <w:r w:rsidRPr="00203245">
        <w:rPr>
          <w:rFonts w:eastAsiaTheme="majorEastAsia"/>
          <w:lang w:val="es-CR" w:eastAsia="en-US"/>
        </w:rPr>
        <w:t xml:space="preserve"> la modificación de la Circular 09-2023 denominada </w:t>
      </w:r>
      <w:r w:rsidRPr="00203245">
        <w:rPr>
          <w:rFonts w:eastAsia="Calibri"/>
          <w:bCs/>
          <w:i/>
          <w:iCs/>
          <w:lang w:val="es-CR"/>
        </w:rPr>
        <w:t xml:space="preserve">“Modificación de la circular 141-2022 sobre la Obligación de realizar evaluaciones semestrales y anuales a los Planes Anuales Operativos”, </w:t>
      </w:r>
      <w:r w:rsidRPr="00203245">
        <w:rPr>
          <w:rFonts w:eastAsia="Calibri"/>
          <w:bCs/>
          <w:lang w:val="es-CR"/>
        </w:rPr>
        <w:t xml:space="preserve">aprobada por el Consejo Superior en sesión 97-2022, celebrada el 10 de noviembre del 2022, artículo XXXIII, </w:t>
      </w:r>
      <w:r w:rsidRPr="00203245">
        <w:rPr>
          <w:rFonts w:eastAsiaTheme="majorEastAsia"/>
          <w:lang w:val="es-CR" w:eastAsia="en-US"/>
        </w:rPr>
        <w:t xml:space="preserve">en relación con que los responsables de los despachos judiciales realicen dichos seguimientos periódicos a sus Planes Anuales Operativos de manera mensual Se adjunta la propuesta de la circular XXX-2025 </w:t>
      </w:r>
      <w:r w:rsidRPr="00203245">
        <w:rPr>
          <w:rFonts w:eastAsiaTheme="majorEastAsia"/>
          <w:lang w:val="es-CR" w:eastAsia="en-US"/>
        </w:rPr>
        <w:lastRenderedPageBreak/>
        <w:t xml:space="preserve">actualizada:  </w:t>
      </w:r>
    </w:p>
    <w:p w14:paraId="01B7E524" w14:textId="77777777" w:rsidR="00203245" w:rsidRPr="00203245" w:rsidRDefault="00203245" w:rsidP="00203245">
      <w:pPr>
        <w:widowControl w:val="0"/>
        <w:tabs>
          <w:tab w:val="left" w:pos="993"/>
          <w:tab w:val="left" w:pos="1276"/>
        </w:tabs>
        <w:suppressAutoHyphens w:val="0"/>
        <w:ind w:left="851" w:right="851" w:firstLine="709"/>
        <w:jc w:val="both"/>
        <w:rPr>
          <w:rFonts w:eastAsiaTheme="majorEastAsia"/>
          <w:b/>
          <w:bCs/>
          <w:lang w:val="es-CR" w:eastAsia="en-US"/>
        </w:rPr>
      </w:pPr>
    </w:p>
    <w:p w14:paraId="06DE58FE" w14:textId="1F945162" w:rsidR="00203245" w:rsidRPr="00203245" w:rsidRDefault="00203245" w:rsidP="00203245">
      <w:pPr>
        <w:widowControl w:val="0"/>
        <w:tabs>
          <w:tab w:val="left" w:pos="993"/>
          <w:tab w:val="left" w:pos="1276"/>
        </w:tabs>
        <w:suppressAutoHyphens w:val="0"/>
        <w:ind w:left="851" w:right="851" w:firstLine="709"/>
        <w:jc w:val="center"/>
        <w:rPr>
          <w:rFonts w:eastAsiaTheme="majorEastAsia"/>
          <w:b/>
          <w:bCs/>
          <w:lang w:val="es-CR" w:eastAsia="en-US"/>
        </w:rPr>
      </w:pPr>
      <w:bookmarkStart w:id="8" w:name="_MON_1818480494"/>
      <w:bookmarkEnd w:id="8"/>
      <w:r w:rsidRPr="00203245">
        <w:rPr>
          <w:rFonts w:eastAsiaTheme="majorEastAsia"/>
          <w:noProof/>
          <w:lang w:val="es-CR" w:eastAsia="en-US"/>
        </w:rPr>
        <w:drawing>
          <wp:inline distT="0" distB="0" distL="0" distR="0" wp14:anchorId="26E00AA6" wp14:editId="6E431BF4">
            <wp:extent cx="828675" cy="542925"/>
            <wp:effectExtent l="0" t="0" r="0" b="0"/>
            <wp:docPr id="12725288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542925"/>
                    </a:xfrm>
                    <a:prstGeom prst="rect">
                      <a:avLst/>
                    </a:prstGeom>
                    <a:noFill/>
                    <a:ln>
                      <a:noFill/>
                    </a:ln>
                  </pic:spPr>
                </pic:pic>
              </a:graphicData>
            </a:graphic>
          </wp:inline>
        </w:drawing>
      </w:r>
    </w:p>
    <w:p w14:paraId="1B08C39F" w14:textId="77777777" w:rsidR="00203245" w:rsidRPr="00203245" w:rsidRDefault="00203245" w:rsidP="00203245">
      <w:pPr>
        <w:widowControl w:val="0"/>
        <w:suppressAutoHyphens w:val="0"/>
        <w:ind w:left="851" w:right="851" w:firstLine="709"/>
        <w:jc w:val="both"/>
        <w:rPr>
          <w:rFonts w:eastAsia="MS Gothic"/>
          <w:b/>
          <w:bCs/>
          <w:u w:color="000000"/>
          <w:lang w:val="es-CR" w:eastAsia="ja-JP"/>
        </w:rPr>
      </w:pPr>
    </w:p>
    <w:p w14:paraId="3A456FD6" w14:textId="77777777" w:rsidR="00203245" w:rsidRPr="00203245" w:rsidRDefault="00203245" w:rsidP="00203245">
      <w:pPr>
        <w:widowControl w:val="0"/>
        <w:suppressAutoHyphens w:val="0"/>
        <w:ind w:left="851" w:right="851" w:firstLine="709"/>
        <w:jc w:val="both"/>
        <w:rPr>
          <w:rFonts w:eastAsia="MS Gothic"/>
          <w:b/>
          <w:bCs/>
          <w:u w:color="000000"/>
          <w:lang w:val="es-CR" w:eastAsia="ja-JP"/>
        </w:rPr>
      </w:pPr>
      <w:r w:rsidRPr="00203245">
        <w:rPr>
          <w:rFonts w:eastAsia="MS Gothic"/>
          <w:b/>
          <w:bCs/>
          <w:u w:color="000000"/>
          <w:lang w:val="es-CR" w:eastAsia="ja-JP"/>
        </w:rPr>
        <w:t xml:space="preserve">A los </w:t>
      </w:r>
      <w:proofErr w:type="gramStart"/>
      <w:r w:rsidRPr="00203245">
        <w:rPr>
          <w:rFonts w:eastAsia="MS Gothic"/>
          <w:b/>
          <w:bCs/>
          <w:u w:color="000000"/>
          <w:lang w:val="es-CR" w:eastAsia="ja-JP"/>
        </w:rPr>
        <w:t>Responsables</w:t>
      </w:r>
      <w:proofErr w:type="gramEnd"/>
      <w:r w:rsidRPr="00203245">
        <w:rPr>
          <w:rFonts w:eastAsia="MS Gothic"/>
          <w:b/>
          <w:bCs/>
          <w:u w:color="000000"/>
          <w:lang w:val="es-CR" w:eastAsia="ja-JP"/>
        </w:rPr>
        <w:t xml:space="preserve"> Estratégicos </w:t>
      </w:r>
    </w:p>
    <w:p w14:paraId="14E04178" w14:textId="77777777" w:rsidR="00203245" w:rsidRPr="00203245" w:rsidRDefault="00203245" w:rsidP="00203245">
      <w:pPr>
        <w:widowControl w:val="0"/>
        <w:suppressAutoHyphens w:val="0"/>
        <w:ind w:left="851" w:right="851" w:firstLine="709"/>
        <w:rPr>
          <w:rFonts w:eastAsiaTheme="minorHAnsi"/>
          <w:lang w:val="es-CR" w:eastAsia="ja-JP"/>
        </w:rPr>
      </w:pPr>
    </w:p>
    <w:p w14:paraId="7A3C56C8"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lang w:val="es-CR" w:eastAsia="en-US"/>
        </w:rPr>
      </w:pPr>
      <w:r w:rsidRPr="00203245">
        <w:rPr>
          <w:rFonts w:eastAsiaTheme="minorHAnsi"/>
          <w:bCs/>
          <w:lang w:val="es-CR" w:eastAsia="en-US"/>
        </w:rPr>
        <w:t xml:space="preserve">  Se le reitera a los </w:t>
      </w:r>
      <w:proofErr w:type="gramStart"/>
      <w:r w:rsidRPr="00203245">
        <w:rPr>
          <w:rFonts w:eastAsiaTheme="minorHAnsi"/>
          <w:bCs/>
          <w:lang w:val="es-CR" w:eastAsia="en-US"/>
        </w:rPr>
        <w:t>Responsables</w:t>
      </w:r>
      <w:proofErr w:type="gramEnd"/>
      <w:r w:rsidRPr="00203245">
        <w:rPr>
          <w:rFonts w:eastAsiaTheme="minorHAnsi"/>
          <w:bCs/>
          <w:lang w:val="es-CR" w:eastAsia="en-US"/>
        </w:rPr>
        <w:t xml:space="preserve"> Estratégicos que deben de coordinar y dar seguimiento a los responsables operativos con el fin de registrar los avances de las metas contenidas en los Planes Anuales Operativos</w:t>
      </w:r>
      <w:r w:rsidRPr="00203245">
        <w:rPr>
          <w:rFonts w:eastAsiaTheme="minorHAnsi"/>
          <w:lang w:val="es-CR" w:eastAsia="en-US"/>
        </w:rPr>
        <w:t xml:space="preserve"> que están vinculadas con el Plan Estratégico Institucional de manera periódica, debido a la importancia que revisten esas metas al contribuir de manera directa con el cumplimiento del PEI. </w:t>
      </w:r>
    </w:p>
    <w:p w14:paraId="77DA2DB7" w14:textId="77777777" w:rsidR="00203245" w:rsidRPr="00203245" w:rsidRDefault="00203245" w:rsidP="00203245">
      <w:pPr>
        <w:widowControl w:val="0"/>
        <w:tabs>
          <w:tab w:val="left" w:pos="426"/>
          <w:tab w:val="left" w:pos="851"/>
          <w:tab w:val="left" w:pos="993"/>
        </w:tabs>
        <w:suppressAutoHyphens w:val="0"/>
        <w:autoSpaceDE w:val="0"/>
        <w:autoSpaceDN w:val="0"/>
        <w:adjustRightInd w:val="0"/>
        <w:ind w:left="851" w:right="851" w:firstLine="709"/>
        <w:jc w:val="both"/>
        <w:rPr>
          <w:rFonts w:eastAsiaTheme="minorHAnsi"/>
          <w:lang w:val="es-CR" w:eastAsia="en-US"/>
        </w:rPr>
      </w:pPr>
    </w:p>
    <w:p w14:paraId="0818B773" w14:textId="77777777" w:rsidR="00203245" w:rsidRPr="00203245" w:rsidRDefault="00203245" w:rsidP="00203245">
      <w:pPr>
        <w:widowControl w:val="0"/>
        <w:tabs>
          <w:tab w:val="left" w:pos="426"/>
          <w:tab w:val="left" w:pos="851"/>
          <w:tab w:val="left" w:pos="993"/>
        </w:tabs>
        <w:suppressAutoHyphens w:val="0"/>
        <w:autoSpaceDE w:val="0"/>
        <w:autoSpaceDN w:val="0"/>
        <w:adjustRightInd w:val="0"/>
        <w:ind w:left="851" w:right="851" w:firstLine="709"/>
        <w:jc w:val="both"/>
        <w:rPr>
          <w:rFonts w:eastAsiaTheme="minorHAnsi"/>
          <w:lang w:val="es-CR" w:eastAsia="en-US"/>
        </w:rPr>
      </w:pPr>
    </w:p>
    <w:p w14:paraId="374274E5" w14:textId="77777777" w:rsidR="00203245" w:rsidRPr="00203245" w:rsidRDefault="00203245" w:rsidP="00203245">
      <w:pPr>
        <w:widowControl w:val="0"/>
        <w:tabs>
          <w:tab w:val="left" w:pos="426"/>
          <w:tab w:val="left" w:pos="851"/>
          <w:tab w:val="left" w:pos="993"/>
        </w:tabs>
        <w:suppressAutoHyphens w:val="0"/>
        <w:autoSpaceDE w:val="0"/>
        <w:autoSpaceDN w:val="0"/>
        <w:adjustRightInd w:val="0"/>
        <w:ind w:left="851" w:right="851" w:firstLine="709"/>
        <w:jc w:val="both"/>
        <w:rPr>
          <w:rFonts w:eastAsiaTheme="minorHAnsi"/>
          <w:lang w:val="es-CR" w:eastAsia="en-US"/>
        </w:rPr>
      </w:pPr>
    </w:p>
    <w:p w14:paraId="0B8B3EED" w14:textId="77777777" w:rsidR="00203245" w:rsidRPr="00203245" w:rsidRDefault="00203245" w:rsidP="00203245">
      <w:pPr>
        <w:widowControl w:val="0"/>
        <w:tabs>
          <w:tab w:val="left" w:pos="993"/>
          <w:tab w:val="left" w:pos="1134"/>
        </w:tabs>
        <w:suppressAutoHyphens w:val="0"/>
        <w:ind w:left="851" w:right="851" w:firstLine="709"/>
        <w:jc w:val="both"/>
        <w:rPr>
          <w:rFonts w:eastAsiaTheme="majorEastAsia"/>
          <w:b/>
          <w:bCs/>
          <w:lang w:val="es-CR" w:eastAsia="en-US"/>
        </w:rPr>
      </w:pPr>
      <w:r w:rsidRPr="00203245">
        <w:rPr>
          <w:rFonts w:eastAsiaTheme="majorEastAsia"/>
          <w:b/>
          <w:bCs/>
          <w:lang w:val="es-CR" w:eastAsia="en-US"/>
        </w:rPr>
        <w:t>A las Administraciones Regionales y Consejos de Administración y Centros de Responsabilidad:</w:t>
      </w:r>
    </w:p>
    <w:p w14:paraId="77F9B361" w14:textId="77777777" w:rsidR="00203245" w:rsidRPr="00203245" w:rsidRDefault="00203245" w:rsidP="00203245">
      <w:pPr>
        <w:widowControl w:val="0"/>
        <w:tabs>
          <w:tab w:val="left" w:pos="851"/>
          <w:tab w:val="left" w:pos="993"/>
          <w:tab w:val="left" w:pos="1134"/>
        </w:tabs>
        <w:suppressAutoHyphens w:val="0"/>
        <w:autoSpaceDE w:val="0"/>
        <w:autoSpaceDN w:val="0"/>
        <w:adjustRightInd w:val="0"/>
        <w:ind w:left="851" w:right="851" w:firstLine="709"/>
        <w:jc w:val="both"/>
        <w:rPr>
          <w:rFonts w:eastAsiaTheme="minorHAnsi"/>
          <w:b/>
          <w:lang w:val="es-CR" w:eastAsia="en-US"/>
        </w:rPr>
      </w:pPr>
    </w:p>
    <w:p w14:paraId="416393AA"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b/>
          <w:bCs/>
          <w:lang w:val="es-CR" w:eastAsia="en-US"/>
        </w:rPr>
      </w:pPr>
      <w:r w:rsidRPr="00203245">
        <w:rPr>
          <w:rFonts w:eastAsiaTheme="minorHAnsi"/>
          <w:bCs/>
          <w:lang w:val="es-CR" w:eastAsia="en-US"/>
        </w:rPr>
        <w:t xml:space="preserve">Reiterar a los Centros Responsables el acuerdo del Consejo Superior de la sesión </w:t>
      </w:r>
      <w:r w:rsidRPr="00203245">
        <w:rPr>
          <w:rFonts w:eastAsiaTheme="minorHAnsi"/>
          <w:lang w:val="es-CR" w:eastAsia="en-US"/>
        </w:rPr>
        <w:t xml:space="preserve">62-2023, celebrada el 27 de julio del 2023, artículo XLV, el Consejo Superior conoció el informe 426-PLA-EV-PE-2023, relacionado </w:t>
      </w:r>
      <w:r w:rsidRPr="00203245">
        <w:rPr>
          <w:rFonts w:eastAsiaTheme="minorHAnsi"/>
          <w:snapToGrid w:val="0"/>
          <w:lang w:val="es-CR" w:eastAsia="en-US"/>
        </w:rPr>
        <w:t>con los temas de formulación y seguimiento del Plan Anual Operativo (</w:t>
      </w:r>
      <w:r w:rsidRPr="00203245">
        <w:rPr>
          <w:rFonts w:eastAsiaTheme="minorHAnsi"/>
          <w:b/>
          <w:bCs/>
          <w:i/>
          <w:iCs/>
          <w:lang w:val="es-CR" w:eastAsia="en-US"/>
        </w:rPr>
        <w:t xml:space="preserve">Procedimiento PCDT-DPLA-0110-0115-01-Seguimiento por parte de los Centros de Responsabilidad sobre los Planes Anuales Operativos de las oficinas y despachos judiciales), </w:t>
      </w:r>
      <w:r w:rsidRPr="00203245">
        <w:rPr>
          <w:rFonts w:eastAsiaTheme="minorHAnsi"/>
          <w:b/>
          <w:bCs/>
          <w:lang w:val="es-CR" w:eastAsia="en-US"/>
        </w:rPr>
        <w:t>ver anexo</w:t>
      </w:r>
      <w:r w:rsidRPr="00203245">
        <w:rPr>
          <w:rFonts w:eastAsiaTheme="minorHAnsi"/>
          <w:b/>
          <w:bCs/>
          <w:i/>
          <w:iCs/>
          <w:lang w:val="es-CR" w:eastAsia="en-US"/>
        </w:rPr>
        <w:t xml:space="preserve"> </w:t>
      </w:r>
      <w:r w:rsidRPr="00203245">
        <w:rPr>
          <w:rFonts w:eastAsiaTheme="minorHAnsi"/>
          <w:b/>
          <w:bCs/>
          <w:lang w:val="es-CR" w:eastAsia="en-US"/>
        </w:rPr>
        <w:t>16.</w:t>
      </w:r>
    </w:p>
    <w:p w14:paraId="2424AB50" w14:textId="77777777" w:rsidR="00203245" w:rsidRPr="00203245" w:rsidRDefault="00203245" w:rsidP="00203245">
      <w:pPr>
        <w:widowControl w:val="0"/>
        <w:tabs>
          <w:tab w:val="left" w:pos="426"/>
          <w:tab w:val="left" w:pos="851"/>
          <w:tab w:val="left" w:pos="993"/>
        </w:tabs>
        <w:suppressAutoHyphens w:val="0"/>
        <w:autoSpaceDE w:val="0"/>
        <w:autoSpaceDN w:val="0"/>
        <w:adjustRightInd w:val="0"/>
        <w:ind w:left="851" w:right="851" w:firstLine="709"/>
        <w:jc w:val="both"/>
        <w:rPr>
          <w:rFonts w:eastAsiaTheme="minorHAnsi"/>
          <w:bCs/>
          <w:lang w:val="es-CR" w:eastAsia="en-US"/>
        </w:rPr>
      </w:pPr>
    </w:p>
    <w:p w14:paraId="2DCCEBA3"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bCs/>
          <w:lang w:val="es-CR" w:eastAsia="en-US"/>
        </w:rPr>
      </w:pPr>
      <w:r w:rsidRPr="00203245">
        <w:rPr>
          <w:rFonts w:eastAsiaTheme="minorHAnsi"/>
          <w:bCs/>
          <w:lang w:val="es-CR" w:eastAsia="en-US"/>
        </w:rPr>
        <w:t xml:space="preserve">Reiterar a los Centros de Responsabilidad, el acuerdo del Consejo Superior de la sesión 04-2024, celebrada el 18 de enero del 2024, artículo XXX, donde se conoció el informe 1480-PLA-EV-PE-2023, relacionado al informe </w:t>
      </w:r>
      <w:r w:rsidRPr="00203245">
        <w:rPr>
          <w:rFonts w:eastAsiaTheme="minorHAnsi"/>
          <w:lang w:val="es-CR" w:eastAsia="en-US"/>
        </w:rPr>
        <w:t xml:space="preserve">relacionado con la evaluación al Plan Anual Operativo 2022 y se acordó: </w:t>
      </w:r>
      <w:r w:rsidRPr="00203245">
        <w:rPr>
          <w:rFonts w:eastAsiaTheme="minorHAnsi"/>
          <w:i/>
          <w:iCs/>
          <w:lang w:val="es-CR" w:eastAsia="en-US"/>
        </w:rPr>
        <w:t xml:space="preserve">“Tener por recibido el </w:t>
      </w:r>
      <w:r w:rsidRPr="00203245">
        <w:rPr>
          <w:rFonts w:eastAsiaTheme="minorHAnsi"/>
          <w:bCs/>
          <w:i/>
          <w:iCs/>
          <w:lang w:val="es-CR" w:eastAsia="en-US"/>
        </w:rPr>
        <w:t xml:space="preserve">informe </w:t>
      </w:r>
      <w:r w:rsidRPr="00203245">
        <w:rPr>
          <w:rFonts w:eastAsiaTheme="minorHAnsi"/>
          <w:i/>
          <w:iCs/>
          <w:lang w:val="es-CR" w:eastAsia="en-US"/>
        </w:rPr>
        <w:t xml:space="preserve">1480-PLA-EV-PE-2023 </w:t>
      </w:r>
      <w:r w:rsidRPr="00203245">
        <w:rPr>
          <w:rFonts w:eastAsiaTheme="minorHAnsi"/>
          <w:bCs/>
          <w:i/>
          <w:iCs/>
          <w:lang w:val="es-CR" w:eastAsia="en-US"/>
        </w:rPr>
        <w:t>de la Dirección de Planificación</w:t>
      </w:r>
      <w:r w:rsidRPr="00203245">
        <w:rPr>
          <w:rFonts w:eastAsiaTheme="minorHAnsi"/>
          <w:i/>
          <w:iCs/>
          <w:lang w:val="es-CR" w:eastAsia="en-US"/>
        </w:rPr>
        <w:t>, relacionado con la evaluación al Plan Anual Operativo 2022, donde se acordó lo siguiente:</w:t>
      </w:r>
      <w:r w:rsidRPr="00203245">
        <w:rPr>
          <w:rFonts w:eastAsia="Calibri"/>
          <w:i/>
          <w:iCs/>
          <w:lang w:val="es-CR" w:eastAsia="en-US"/>
        </w:rPr>
        <w:t xml:space="preserve"> “Tener por rendido el informe </w:t>
      </w:r>
      <w:r w:rsidRPr="00203245">
        <w:rPr>
          <w:rFonts w:eastAsiaTheme="minorHAnsi"/>
          <w:i/>
          <w:iCs/>
          <w:lang w:val="es-CR" w:eastAsia="en-US"/>
        </w:rPr>
        <w:t>652-PLA-EV-2023</w:t>
      </w:r>
      <w:r w:rsidRPr="00203245">
        <w:rPr>
          <w:rFonts w:eastAsia="Calibri"/>
          <w:i/>
          <w:iCs/>
          <w:lang w:val="es-CR" w:eastAsia="en-US"/>
        </w:rPr>
        <w:t xml:space="preserve"> relacionado con la </w:t>
      </w:r>
      <w:r w:rsidRPr="00203245">
        <w:rPr>
          <w:rFonts w:eastAsiaTheme="minorHAnsi"/>
          <w:i/>
          <w:iCs/>
          <w:lang w:val="es-CR" w:eastAsia="en-US"/>
        </w:rPr>
        <w:t>evaluación anual de los Planes Anuales Operativos al corte del 31 de enero del 2023”,</w:t>
      </w:r>
      <w:r w:rsidRPr="00203245">
        <w:rPr>
          <w:rFonts w:eastAsiaTheme="minorHAnsi"/>
          <w:b/>
          <w:bCs/>
          <w:i/>
          <w:iCs/>
          <w:lang w:val="es-CR" w:eastAsia="en-US"/>
        </w:rPr>
        <w:t xml:space="preserve"> </w:t>
      </w:r>
      <w:r w:rsidRPr="00203245">
        <w:rPr>
          <w:rFonts w:eastAsiaTheme="minorHAnsi"/>
          <w:b/>
          <w:bCs/>
          <w:lang w:val="es-CR" w:eastAsia="en-US"/>
        </w:rPr>
        <w:t>ver anexo</w:t>
      </w:r>
      <w:r w:rsidRPr="00203245">
        <w:rPr>
          <w:rFonts w:eastAsiaTheme="minorHAnsi"/>
          <w:b/>
          <w:bCs/>
          <w:i/>
          <w:iCs/>
          <w:lang w:val="es-CR" w:eastAsia="en-US"/>
        </w:rPr>
        <w:t xml:space="preserve"> </w:t>
      </w:r>
      <w:r w:rsidRPr="00203245">
        <w:rPr>
          <w:rFonts w:eastAsiaTheme="minorHAnsi"/>
          <w:b/>
          <w:bCs/>
          <w:lang w:val="es-CR" w:eastAsia="en-US"/>
        </w:rPr>
        <w:t>17.</w:t>
      </w:r>
    </w:p>
    <w:p w14:paraId="2978A24F" w14:textId="77777777" w:rsidR="00203245" w:rsidRPr="00203245" w:rsidRDefault="00203245" w:rsidP="00203245">
      <w:pPr>
        <w:widowControl w:val="0"/>
        <w:tabs>
          <w:tab w:val="left" w:pos="567"/>
        </w:tabs>
        <w:suppressAutoHyphens w:val="0"/>
        <w:autoSpaceDE w:val="0"/>
        <w:autoSpaceDN w:val="0"/>
        <w:adjustRightInd w:val="0"/>
        <w:ind w:left="851" w:right="851" w:firstLine="709"/>
        <w:jc w:val="both"/>
        <w:rPr>
          <w:rFonts w:eastAsiaTheme="minorHAnsi"/>
          <w:b/>
          <w:u w:val="single"/>
          <w:lang w:val="es-CR" w:eastAsia="en-US"/>
        </w:rPr>
      </w:pPr>
    </w:p>
    <w:p w14:paraId="13F77F3A"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b/>
          <w:u w:val="single"/>
          <w:lang w:val="es-CR" w:eastAsia="en-US"/>
        </w:rPr>
      </w:pPr>
      <w:r w:rsidRPr="00203245">
        <w:rPr>
          <w:rFonts w:eastAsiaTheme="minorHAnsi"/>
          <w:bCs/>
          <w:lang w:val="es-CR" w:eastAsia="en-US"/>
        </w:rPr>
        <w:t xml:space="preserve">Brindar un apoyo y acompañamiento a las oficinas que los integran. El seguimiento efectivo de la ejecución de las actividades programadas en la </w:t>
      </w:r>
      <w:r w:rsidRPr="00203245">
        <w:rPr>
          <w:rFonts w:eastAsiaTheme="minorHAnsi"/>
          <w:bCs/>
          <w:lang w:val="es-CR" w:eastAsia="en-US"/>
        </w:rPr>
        <w:lastRenderedPageBreak/>
        <w:t xml:space="preserve">forma y plazo establecido, garantizando el avance de las metas y la efectiva distribución a lo largo del año. </w:t>
      </w:r>
    </w:p>
    <w:p w14:paraId="18D89556" w14:textId="77777777" w:rsidR="00203245" w:rsidRPr="00203245" w:rsidRDefault="00203245" w:rsidP="00203245">
      <w:pPr>
        <w:widowControl w:val="0"/>
        <w:tabs>
          <w:tab w:val="left" w:pos="567"/>
        </w:tabs>
        <w:suppressAutoHyphens w:val="0"/>
        <w:autoSpaceDE w:val="0"/>
        <w:autoSpaceDN w:val="0"/>
        <w:adjustRightInd w:val="0"/>
        <w:ind w:left="851" w:right="851" w:firstLine="709"/>
        <w:jc w:val="both"/>
        <w:rPr>
          <w:rFonts w:eastAsiaTheme="minorHAnsi"/>
          <w:b/>
          <w:u w:val="single"/>
          <w:lang w:val="es-CR" w:eastAsia="en-US"/>
        </w:rPr>
      </w:pPr>
    </w:p>
    <w:p w14:paraId="47E5BFBC"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b/>
          <w:u w:val="single"/>
          <w:lang w:val="es-CR" w:eastAsia="en-US"/>
        </w:rPr>
      </w:pPr>
      <w:r w:rsidRPr="00203245">
        <w:rPr>
          <w:rFonts w:eastAsiaTheme="minorHAnsi"/>
          <w:bCs/>
          <w:lang w:val="es-CR" w:eastAsia="en-US"/>
        </w:rPr>
        <w:t>Replicar la capacitación que imparte la Dirección de Planificación denominada “Capacitación a los PAOS (</w:t>
      </w:r>
      <w:r w:rsidRPr="00203245">
        <w:rPr>
          <w:rFonts w:eastAsiaTheme="minorHAnsi"/>
          <w:bCs/>
          <w:i/>
          <w:iCs/>
          <w:lang w:val="es-CR" w:eastAsia="en-US"/>
        </w:rPr>
        <w:t>formulación y seguimiento</w:t>
      </w:r>
      <w:r w:rsidRPr="00203245">
        <w:rPr>
          <w:rFonts w:eastAsiaTheme="minorHAnsi"/>
          <w:bCs/>
          <w:lang w:val="es-CR" w:eastAsia="en-US"/>
        </w:rPr>
        <w:t>)”, dirigida al personal de las oficinas administrativas y jurisdiccionales; así como, atender las distintas consultas relacionadas con la formulación y seguimiento del PAO, en caso de requerir estos Centros la capacitación por parte de la Dirección de Planificación, solicitarla para realizar la respectiva programación.</w:t>
      </w:r>
    </w:p>
    <w:p w14:paraId="53F971AD" w14:textId="77777777" w:rsidR="00203245" w:rsidRPr="00203245" w:rsidRDefault="00203245" w:rsidP="00203245">
      <w:pPr>
        <w:widowControl w:val="0"/>
        <w:tabs>
          <w:tab w:val="left" w:pos="567"/>
        </w:tabs>
        <w:suppressAutoHyphens w:val="0"/>
        <w:autoSpaceDE w:val="0"/>
        <w:autoSpaceDN w:val="0"/>
        <w:adjustRightInd w:val="0"/>
        <w:ind w:left="851" w:right="851" w:firstLine="709"/>
        <w:jc w:val="both"/>
        <w:rPr>
          <w:rFonts w:eastAsiaTheme="minorHAnsi"/>
          <w:b/>
          <w:u w:val="single"/>
          <w:lang w:val="es-CR" w:eastAsia="en-US"/>
        </w:rPr>
      </w:pPr>
    </w:p>
    <w:p w14:paraId="238AE6A5" w14:textId="77777777" w:rsidR="00203245" w:rsidRPr="00203245" w:rsidRDefault="00203245" w:rsidP="00203245">
      <w:pPr>
        <w:keepNext/>
        <w:keepLines/>
        <w:suppressAutoHyphens w:val="0"/>
        <w:ind w:left="851" w:right="851" w:firstLine="709"/>
        <w:jc w:val="both"/>
        <w:rPr>
          <w:rFonts w:eastAsiaTheme="majorEastAsia"/>
          <w:b/>
          <w:bCs/>
          <w:lang w:val="es-CR" w:eastAsia="en-US"/>
        </w:rPr>
      </w:pPr>
      <w:r w:rsidRPr="00203245">
        <w:rPr>
          <w:rFonts w:eastAsiaTheme="majorEastAsia"/>
          <w:b/>
          <w:bCs/>
          <w:lang w:val="es-CR" w:eastAsia="en-US"/>
        </w:rPr>
        <w:t>A las oficinas y despachos judiciales</w:t>
      </w:r>
    </w:p>
    <w:p w14:paraId="22BF17E4" w14:textId="77777777" w:rsidR="00203245" w:rsidRPr="00203245" w:rsidRDefault="00203245" w:rsidP="00203245">
      <w:pPr>
        <w:suppressAutoHyphens w:val="0"/>
        <w:ind w:left="851" w:right="851" w:firstLine="709"/>
        <w:rPr>
          <w:rFonts w:eastAsiaTheme="minorHAnsi"/>
          <w:lang w:val="es-CR" w:eastAsia="en-US"/>
        </w:rPr>
      </w:pPr>
    </w:p>
    <w:p w14:paraId="18045867"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bCs/>
          <w:lang w:val="es-CR" w:eastAsia="en-US"/>
        </w:rPr>
      </w:pPr>
      <w:r w:rsidRPr="00203245">
        <w:rPr>
          <w:rFonts w:eastAsiaTheme="minorHAnsi"/>
          <w:bCs/>
          <w:lang w:val="es-CR" w:eastAsia="en-US"/>
        </w:rPr>
        <w:t xml:space="preserve">En caso de aprobarse la modificación a la circular 9-2023, de la Secretaría General de la Corte, del 16 de enero del 2023, denominada Modificación de la circular 141-2022 sobre la “Obligación de realizar evaluaciones semestrales y anuales a los Planes Anuales Operativos”,  se solicita a todos los despachos y oficinas judiciales del país que formularon sus Planes Anuales Operativos para el 2025, el deber de mantener actualizado el avance logrado en cada una de las metas formuladas, según los lineamientos establecidos en dicha circular. </w:t>
      </w:r>
    </w:p>
    <w:p w14:paraId="79C02156" w14:textId="77777777" w:rsidR="00203245" w:rsidRPr="00203245" w:rsidRDefault="00203245" w:rsidP="00203245">
      <w:pPr>
        <w:tabs>
          <w:tab w:val="left" w:pos="567"/>
          <w:tab w:val="left" w:pos="1276"/>
        </w:tabs>
        <w:suppressAutoHyphens w:val="0"/>
        <w:ind w:left="851" w:right="851" w:firstLine="709"/>
        <w:jc w:val="both"/>
        <w:rPr>
          <w:rFonts w:eastAsiaTheme="minorHAnsi"/>
          <w:b/>
          <w:bCs/>
          <w:lang w:val="es-CR" w:eastAsia="en-US"/>
        </w:rPr>
      </w:pPr>
    </w:p>
    <w:p w14:paraId="5ACBC9BD"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bCs/>
          <w:lang w:val="es-CR" w:eastAsia="en-US"/>
        </w:rPr>
      </w:pPr>
      <w:r w:rsidRPr="00203245">
        <w:rPr>
          <w:rFonts w:eastAsiaTheme="minorHAnsi"/>
          <w:bCs/>
          <w:lang w:val="es-CR" w:eastAsia="en-US"/>
        </w:rPr>
        <w:t xml:space="preserve">Registrar avances a las metas operativas de los Planes Anuales Operativos que están vinculadas con el Plan Estratégico Institucional </w:t>
      </w:r>
      <w:r w:rsidRPr="00203245">
        <w:rPr>
          <w:rFonts w:eastAsiaTheme="minorHAnsi"/>
          <w:b/>
          <w:lang w:val="es-CR" w:eastAsia="en-US"/>
        </w:rPr>
        <w:t>de manera mensual</w:t>
      </w:r>
      <w:r w:rsidRPr="00203245">
        <w:rPr>
          <w:rFonts w:eastAsiaTheme="minorHAnsi"/>
          <w:bCs/>
          <w:lang w:val="es-CR" w:eastAsia="en-US"/>
        </w:rPr>
        <w:t>, debido a la importancia que revisten esas metas al contribuir de manera directa con el cumplimiento del PEI.</w:t>
      </w:r>
    </w:p>
    <w:p w14:paraId="57074E45" w14:textId="77777777" w:rsidR="00203245" w:rsidRPr="00203245" w:rsidRDefault="00203245" w:rsidP="00203245">
      <w:pPr>
        <w:tabs>
          <w:tab w:val="left" w:pos="567"/>
          <w:tab w:val="left" w:pos="1276"/>
        </w:tabs>
        <w:suppressAutoHyphens w:val="0"/>
        <w:ind w:left="851" w:right="851" w:firstLine="709"/>
        <w:jc w:val="both"/>
        <w:rPr>
          <w:rFonts w:eastAsiaTheme="minorHAnsi"/>
          <w:b/>
          <w:bCs/>
          <w:lang w:val="es-CR" w:eastAsia="en-US"/>
        </w:rPr>
      </w:pPr>
    </w:p>
    <w:p w14:paraId="4E529B83"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bCs/>
          <w:lang w:val="es-CR" w:eastAsia="en-US"/>
        </w:rPr>
      </w:pPr>
      <w:r w:rsidRPr="00203245">
        <w:rPr>
          <w:rFonts w:eastAsiaTheme="minorHAnsi"/>
          <w:bCs/>
          <w:lang w:val="es-CR" w:eastAsia="en-US"/>
        </w:rPr>
        <w:t>Reiterar a las oficinas y despachos judiciales que deben de actualizar adecuadamente los estados de las metas contenidas en el Sistema de Gestión Estratégica del Poder Judicial (SGE-PJ) para que, al llevar a cabo la evaluación del PAO al finalizar el 2025, las metas queden clasificadas en los únicos tres estados avalados: completado, pendiente o cancelado (este último debe contar un visto bueno por parte de la Dirección de Planificación), los restantes estados no están avalados para reportar el estado final de una meta.</w:t>
      </w:r>
    </w:p>
    <w:p w14:paraId="5224C063" w14:textId="77777777" w:rsidR="00203245" w:rsidRPr="00203245" w:rsidRDefault="00203245" w:rsidP="00203245">
      <w:pPr>
        <w:tabs>
          <w:tab w:val="left" w:pos="567"/>
          <w:tab w:val="left" w:pos="1276"/>
        </w:tabs>
        <w:suppressAutoHyphens w:val="0"/>
        <w:ind w:left="851" w:right="851" w:firstLine="709"/>
        <w:jc w:val="both"/>
        <w:rPr>
          <w:rFonts w:eastAsiaTheme="minorHAnsi"/>
          <w:b/>
          <w:bCs/>
          <w:lang w:val="es-CR" w:eastAsia="en-US"/>
        </w:rPr>
      </w:pPr>
    </w:p>
    <w:p w14:paraId="66F580F6"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bCs/>
          <w:lang w:val="es-CR" w:eastAsia="en-US"/>
        </w:rPr>
      </w:pPr>
      <w:r w:rsidRPr="00203245">
        <w:rPr>
          <w:rFonts w:eastAsiaTheme="minorHAnsi"/>
          <w:bCs/>
          <w:lang w:val="es-CR" w:eastAsia="en-US"/>
        </w:rPr>
        <w:t xml:space="preserve">Reiterar a las jefaturas de oficinas y despachos judiciales que son las personas responsables de garantizar el cumplimiento de las metas operativas, lo cual contribuirá al logro de los objetivos propuestos en las Políticas Institucionales del 2025.  </w:t>
      </w:r>
    </w:p>
    <w:p w14:paraId="736145E4" w14:textId="77777777" w:rsidR="00203245" w:rsidRPr="00203245" w:rsidRDefault="00203245" w:rsidP="00203245">
      <w:pPr>
        <w:tabs>
          <w:tab w:val="left" w:pos="567"/>
          <w:tab w:val="left" w:pos="1276"/>
        </w:tabs>
        <w:suppressAutoHyphens w:val="0"/>
        <w:ind w:left="851" w:right="851" w:firstLine="709"/>
        <w:jc w:val="both"/>
        <w:rPr>
          <w:rFonts w:eastAsiaTheme="minorHAnsi"/>
          <w:b/>
          <w:bCs/>
          <w:lang w:val="es-CR" w:eastAsia="en-US"/>
        </w:rPr>
      </w:pPr>
    </w:p>
    <w:p w14:paraId="75C32493"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bCs/>
          <w:lang w:val="es-CR" w:eastAsia="en-US"/>
        </w:rPr>
      </w:pPr>
      <w:r w:rsidRPr="00203245">
        <w:rPr>
          <w:rFonts w:eastAsiaTheme="minorHAnsi"/>
          <w:bCs/>
          <w:lang w:val="es-CR" w:eastAsia="en-US"/>
        </w:rPr>
        <w:t xml:space="preserve">Describir el cumplimiento y adjuntar una evidencia conforme a la meta, al objetivo, al eje transversal, al momento de registrar los avances de las </w:t>
      </w:r>
      <w:r w:rsidRPr="00203245">
        <w:rPr>
          <w:rFonts w:eastAsiaTheme="minorHAnsi"/>
          <w:bCs/>
          <w:lang w:val="es-CR" w:eastAsia="en-US"/>
        </w:rPr>
        <w:lastRenderedPageBreak/>
        <w:t>metas operativas en el sistema, esto con el fin de garantizar su efectivo alcance.</w:t>
      </w:r>
    </w:p>
    <w:p w14:paraId="5A5F1935" w14:textId="77777777" w:rsidR="00203245" w:rsidRPr="00203245" w:rsidRDefault="00203245" w:rsidP="00203245">
      <w:pPr>
        <w:suppressAutoHyphens w:val="0"/>
        <w:ind w:left="851" w:right="851" w:firstLine="709"/>
        <w:rPr>
          <w:rFonts w:eastAsiaTheme="majorEastAsia"/>
          <w:b/>
          <w:bCs/>
          <w:lang w:val="es-CR" w:eastAsia="en-US"/>
        </w:rPr>
      </w:pPr>
    </w:p>
    <w:p w14:paraId="0D56DF32" w14:textId="77777777" w:rsidR="00203245" w:rsidRPr="00203245" w:rsidRDefault="00203245" w:rsidP="00203245">
      <w:pPr>
        <w:keepNext/>
        <w:keepLines/>
        <w:suppressAutoHyphens w:val="0"/>
        <w:ind w:left="851" w:right="851" w:firstLine="709"/>
        <w:jc w:val="both"/>
        <w:rPr>
          <w:rFonts w:eastAsiaTheme="majorEastAsia"/>
          <w:b/>
          <w:bCs/>
          <w:lang w:val="es-CR" w:eastAsia="en-US"/>
        </w:rPr>
      </w:pPr>
      <w:r w:rsidRPr="00203245">
        <w:rPr>
          <w:rFonts w:eastAsiaTheme="majorEastAsia"/>
          <w:b/>
          <w:bCs/>
          <w:lang w:val="es-CR" w:eastAsia="en-US"/>
        </w:rPr>
        <w:t>Al Subproceso de Planificación Estratégica</w:t>
      </w:r>
    </w:p>
    <w:p w14:paraId="58BD4BF1" w14:textId="77777777" w:rsidR="00203245" w:rsidRPr="00203245" w:rsidRDefault="00203245" w:rsidP="00203245">
      <w:pPr>
        <w:suppressAutoHyphens w:val="0"/>
        <w:ind w:left="851" w:right="851" w:firstLine="709"/>
        <w:rPr>
          <w:rFonts w:eastAsiaTheme="minorHAnsi"/>
          <w:lang w:val="es-CR" w:eastAsia="en-US"/>
        </w:rPr>
      </w:pPr>
    </w:p>
    <w:p w14:paraId="71174107"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bCs/>
          <w:lang w:val="es-CR" w:eastAsia="en-US"/>
        </w:rPr>
      </w:pPr>
      <w:r w:rsidRPr="00203245">
        <w:rPr>
          <w:rFonts w:eastAsiaTheme="minorHAnsi"/>
          <w:bCs/>
          <w:lang w:val="es-CR" w:eastAsia="en-US"/>
        </w:rPr>
        <w:t xml:space="preserve">Continuar con los esfuerzos realizados en conjunto con la Dirección de Tecnología de Información y Comunicaciones, para lograr la implementación de los reportes </w:t>
      </w:r>
      <w:r w:rsidRPr="00203245">
        <w:rPr>
          <w:rFonts w:eastAsiaTheme="minorHAnsi"/>
          <w:lang w:val="es-CR" w:eastAsia="ja-JP"/>
        </w:rPr>
        <w:t xml:space="preserve">para los perfiles de Administrador y Encargado de Oficina </w:t>
      </w:r>
      <w:r w:rsidRPr="00203245">
        <w:rPr>
          <w:rFonts w:eastAsiaTheme="minorHAnsi"/>
          <w:bCs/>
          <w:lang w:val="es-CR" w:eastAsia="en-US"/>
        </w:rPr>
        <w:t xml:space="preserve">y la sostenibilidad del Sistema de Gestión Estratégica, fortaleciendo la apropiación institucional de la herramienta. </w:t>
      </w:r>
    </w:p>
    <w:p w14:paraId="242699A3" w14:textId="77777777" w:rsidR="00203245" w:rsidRPr="00203245" w:rsidRDefault="00203245" w:rsidP="00203245">
      <w:pPr>
        <w:widowControl w:val="0"/>
        <w:suppressAutoHyphens w:val="0"/>
        <w:autoSpaceDE w:val="0"/>
        <w:autoSpaceDN w:val="0"/>
        <w:adjustRightInd w:val="0"/>
        <w:ind w:left="851" w:right="851" w:firstLine="709"/>
        <w:jc w:val="both"/>
        <w:rPr>
          <w:rFonts w:eastAsiaTheme="minorHAnsi"/>
          <w:bCs/>
          <w:lang w:val="es-CR" w:eastAsia="en-US"/>
        </w:rPr>
      </w:pPr>
    </w:p>
    <w:p w14:paraId="77E0D1DC" w14:textId="77777777" w:rsidR="00203245" w:rsidRPr="00203245" w:rsidRDefault="00203245" w:rsidP="00203245">
      <w:pPr>
        <w:keepNext/>
        <w:keepLines/>
        <w:suppressAutoHyphens w:val="0"/>
        <w:ind w:left="851" w:right="851" w:firstLine="709"/>
        <w:jc w:val="both"/>
        <w:rPr>
          <w:rFonts w:eastAsiaTheme="majorEastAsia"/>
          <w:b/>
          <w:bCs/>
          <w:lang w:val="es-CR" w:eastAsia="en-US"/>
        </w:rPr>
      </w:pPr>
      <w:r w:rsidRPr="00203245">
        <w:rPr>
          <w:rFonts w:eastAsiaTheme="majorEastAsia"/>
          <w:b/>
          <w:bCs/>
          <w:lang w:val="es-CR" w:eastAsia="en-US"/>
        </w:rPr>
        <w:t>A la Dirección de Tecnología de Información y Comunicaciones</w:t>
      </w:r>
    </w:p>
    <w:p w14:paraId="06DFE85A" w14:textId="77777777" w:rsidR="00203245" w:rsidRPr="00203245" w:rsidRDefault="00203245" w:rsidP="00203245">
      <w:pPr>
        <w:suppressAutoHyphens w:val="0"/>
        <w:ind w:left="851" w:right="851" w:firstLine="709"/>
        <w:rPr>
          <w:rFonts w:eastAsiaTheme="minorHAnsi"/>
          <w:lang w:val="es-CR" w:eastAsia="en-US"/>
        </w:rPr>
      </w:pPr>
    </w:p>
    <w:p w14:paraId="56E168E2" w14:textId="77777777" w:rsidR="00203245" w:rsidRPr="00203245" w:rsidRDefault="00203245" w:rsidP="00203245">
      <w:pPr>
        <w:widowControl w:val="0"/>
        <w:numPr>
          <w:ilvl w:val="1"/>
          <w:numId w:val="128"/>
        </w:numPr>
        <w:tabs>
          <w:tab w:val="left" w:pos="0"/>
          <w:tab w:val="left" w:pos="567"/>
        </w:tabs>
        <w:suppressAutoHyphens w:val="0"/>
        <w:autoSpaceDE w:val="0"/>
        <w:autoSpaceDN w:val="0"/>
        <w:adjustRightInd w:val="0"/>
        <w:ind w:left="851" w:right="851" w:firstLine="709"/>
        <w:jc w:val="both"/>
        <w:rPr>
          <w:rFonts w:eastAsiaTheme="minorHAnsi"/>
          <w:bCs/>
          <w:lang w:val="es-CR" w:eastAsia="en-US"/>
        </w:rPr>
      </w:pPr>
      <w:r w:rsidRPr="00203245">
        <w:rPr>
          <w:rFonts w:eastAsiaTheme="minorHAnsi"/>
          <w:bCs/>
          <w:lang w:val="es-CR" w:eastAsia="en-US"/>
        </w:rPr>
        <w:t xml:space="preserve">Continuar con los esfuerzos realizados en conjunto con el Subproceso de Planificación Estratégica de la Dirección de Planificación, para lograr la implementación de los reportes </w:t>
      </w:r>
      <w:r w:rsidRPr="00203245">
        <w:rPr>
          <w:rFonts w:eastAsiaTheme="minorHAnsi"/>
          <w:lang w:val="es-CR" w:eastAsia="ja-JP"/>
        </w:rPr>
        <w:t xml:space="preserve">para los perfiles de Administrador y Encargado de Oficina </w:t>
      </w:r>
      <w:r w:rsidRPr="00203245">
        <w:rPr>
          <w:rFonts w:eastAsiaTheme="minorHAnsi"/>
          <w:bCs/>
          <w:lang w:val="es-CR" w:eastAsia="en-US"/>
        </w:rPr>
        <w:t xml:space="preserve">y la sostenibilidad del Sistema de Gestión Estratégica, fortaleciendo la apropiación institucional de la herramienta. </w:t>
      </w:r>
    </w:p>
    <w:p w14:paraId="20819C0A" w14:textId="77777777" w:rsidR="00203245" w:rsidRPr="00203245" w:rsidRDefault="00203245" w:rsidP="00203245">
      <w:pPr>
        <w:tabs>
          <w:tab w:val="left" w:pos="0"/>
          <w:tab w:val="left" w:pos="567"/>
        </w:tabs>
        <w:suppressAutoHyphens w:val="0"/>
        <w:ind w:left="1560" w:right="851"/>
        <w:jc w:val="both"/>
        <w:rPr>
          <w:rFonts w:eastAsiaTheme="minorHAnsi"/>
          <w:bCs/>
          <w:lang w:val="es-CR" w:eastAsia="en-US"/>
        </w:rPr>
      </w:pPr>
    </w:p>
    <w:bookmarkEnd w:id="4"/>
    <w:p w14:paraId="274C01BA" w14:textId="77777777" w:rsidR="00203245" w:rsidRPr="00203245" w:rsidRDefault="00203245" w:rsidP="00203245">
      <w:pPr>
        <w:widowControl w:val="0"/>
        <w:suppressAutoHyphens w:val="0"/>
        <w:autoSpaceDE w:val="0"/>
        <w:autoSpaceDN w:val="0"/>
        <w:adjustRightInd w:val="0"/>
        <w:jc w:val="center"/>
        <w:rPr>
          <w:b/>
          <w:bCs/>
          <w:lang w:val="es-CR" w:eastAsia="es-ES"/>
        </w:rPr>
      </w:pPr>
      <w:r w:rsidRPr="00203245">
        <w:rPr>
          <w:b/>
          <w:bCs/>
          <w:lang w:val="es-CR" w:eastAsia="es-ES"/>
        </w:rPr>
        <w:t>-0-</w:t>
      </w:r>
    </w:p>
    <w:p w14:paraId="29EB0B19" w14:textId="77777777" w:rsidR="00203245" w:rsidRDefault="00203245" w:rsidP="00203245">
      <w:pPr>
        <w:widowControl w:val="0"/>
        <w:suppressAutoHyphens w:val="0"/>
        <w:autoSpaceDE w:val="0"/>
        <w:autoSpaceDN w:val="0"/>
        <w:adjustRightInd w:val="0"/>
        <w:jc w:val="center"/>
        <w:rPr>
          <w:b/>
          <w:bCs/>
          <w:lang w:val="es-CR" w:eastAsia="es-ES"/>
        </w:rPr>
      </w:pPr>
      <w:r w:rsidRPr="00203245">
        <w:rPr>
          <w:b/>
          <w:bCs/>
          <w:lang w:val="es-CR" w:eastAsia="es-ES"/>
        </w:rPr>
        <w:t>Informe completo:</w:t>
      </w:r>
    </w:p>
    <w:p w14:paraId="71767F13" w14:textId="77777777" w:rsidR="00203245" w:rsidRPr="00203245" w:rsidRDefault="00203245" w:rsidP="00203245">
      <w:pPr>
        <w:widowControl w:val="0"/>
        <w:suppressAutoHyphens w:val="0"/>
        <w:autoSpaceDE w:val="0"/>
        <w:autoSpaceDN w:val="0"/>
        <w:adjustRightInd w:val="0"/>
        <w:jc w:val="center"/>
        <w:rPr>
          <w:b/>
          <w:bCs/>
          <w:lang w:val="es-CR" w:eastAsia="es-ES"/>
        </w:rPr>
      </w:pPr>
    </w:p>
    <w:p w14:paraId="39157F58" w14:textId="3F691E5D" w:rsidR="00203245" w:rsidRDefault="00203245" w:rsidP="00203245">
      <w:pPr>
        <w:widowControl w:val="0"/>
        <w:suppressAutoHyphens w:val="0"/>
        <w:autoSpaceDE w:val="0"/>
        <w:autoSpaceDN w:val="0"/>
        <w:adjustRightInd w:val="0"/>
        <w:jc w:val="center"/>
        <w:rPr>
          <w:b/>
          <w:bCs/>
          <w:lang w:val="es-CR" w:eastAsia="es-ES"/>
        </w:rPr>
      </w:pPr>
      <w:r w:rsidRPr="00203245">
        <w:rPr>
          <w:noProof/>
          <w:lang w:val="es-CR"/>
        </w:rPr>
        <w:drawing>
          <wp:inline distT="0" distB="0" distL="0" distR="0" wp14:anchorId="7C054C2E" wp14:editId="1AE43244">
            <wp:extent cx="1000125" cy="638175"/>
            <wp:effectExtent l="0" t="0" r="9525" b="0"/>
            <wp:docPr id="12690428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638175"/>
                    </a:xfrm>
                    <a:prstGeom prst="rect">
                      <a:avLst/>
                    </a:prstGeom>
                    <a:noFill/>
                    <a:ln>
                      <a:noFill/>
                    </a:ln>
                  </pic:spPr>
                </pic:pic>
              </a:graphicData>
            </a:graphic>
          </wp:inline>
        </w:drawing>
      </w:r>
    </w:p>
    <w:p w14:paraId="1BD874F0" w14:textId="77777777" w:rsidR="00203245" w:rsidRPr="00203245" w:rsidRDefault="00203245" w:rsidP="00203245">
      <w:pPr>
        <w:widowControl w:val="0"/>
        <w:suppressAutoHyphens w:val="0"/>
        <w:autoSpaceDE w:val="0"/>
        <w:autoSpaceDN w:val="0"/>
        <w:adjustRightInd w:val="0"/>
        <w:jc w:val="center"/>
        <w:rPr>
          <w:b/>
          <w:bCs/>
          <w:lang w:val="es-CR" w:eastAsia="es-ES"/>
        </w:rPr>
      </w:pPr>
    </w:p>
    <w:p w14:paraId="08C334D4" w14:textId="77777777" w:rsidR="00203245" w:rsidRPr="00203245" w:rsidRDefault="00203245" w:rsidP="00203245">
      <w:pPr>
        <w:widowControl w:val="0"/>
        <w:tabs>
          <w:tab w:val="left" w:pos="0"/>
          <w:tab w:val="left" w:pos="567"/>
        </w:tabs>
        <w:suppressAutoHyphens w:val="0"/>
        <w:ind w:firstLine="709"/>
        <w:jc w:val="both"/>
        <w:rPr>
          <w:lang w:val="es-CR" w:eastAsia="en-US"/>
        </w:rPr>
      </w:pPr>
      <w:r w:rsidRPr="00203245">
        <w:rPr>
          <w:b/>
          <w:bCs/>
          <w:lang w:val="es-CR" w:eastAsia="es-ES"/>
        </w:rPr>
        <w:t>Se acordó:</w:t>
      </w:r>
      <w:r w:rsidRPr="00203245">
        <w:rPr>
          <w:lang w:val="es-CR" w:eastAsia="es-ES"/>
        </w:rPr>
        <w:t xml:space="preserve"> </w:t>
      </w:r>
      <w:r w:rsidRPr="00203245">
        <w:rPr>
          <w:b/>
          <w:bCs/>
          <w:lang w:val="es-CR" w:eastAsia="es-ES"/>
        </w:rPr>
        <w:t>1)</w:t>
      </w:r>
      <w:r w:rsidRPr="00203245">
        <w:rPr>
          <w:lang w:val="es-CR" w:eastAsia="es-ES"/>
        </w:rPr>
        <w:t xml:space="preserve"> Tener por conocido y aprobar las recomendaciones del oficio </w:t>
      </w:r>
      <w:proofErr w:type="spellStart"/>
      <w:r w:rsidRPr="00203245">
        <w:rPr>
          <w:lang w:val="es-CR" w:eastAsia="es-ES"/>
        </w:rPr>
        <w:t>N°</w:t>
      </w:r>
      <w:proofErr w:type="spellEnd"/>
      <w:r w:rsidRPr="00203245">
        <w:rPr>
          <w:lang w:val="es-CR" w:eastAsia="es-ES"/>
        </w:rPr>
        <w:t xml:space="preserve"> 1377-PLA-EV-2025 de la Dirección de Planificación, correspondiente al seguimiento de las metas operativas del Plan Anual Operativo 2025, al término del primer semestre de 2025.</w:t>
      </w:r>
      <w:r w:rsidRPr="00203245">
        <w:rPr>
          <w:rFonts w:eastAsia="Calibri"/>
          <w:lang w:val="es-CR" w:eastAsia="es-ES"/>
        </w:rPr>
        <w:t xml:space="preserve"> </w:t>
      </w:r>
      <w:r w:rsidRPr="00203245">
        <w:rPr>
          <w:rFonts w:eastAsia="Calibri"/>
          <w:b/>
          <w:bCs/>
          <w:lang w:val="es-CR" w:eastAsia="en-US"/>
        </w:rPr>
        <w:t>2)</w:t>
      </w:r>
      <w:r w:rsidRPr="00203245">
        <w:rPr>
          <w:rFonts w:eastAsia="Calibri"/>
          <w:lang w:val="es-CR" w:eastAsia="en-US"/>
        </w:rPr>
        <w:t xml:space="preserve"> Tomar nota de los hallazgos en el seguimiento del Plan Anual Operativo 2025 y las acciones a realizar, según apartado 7 de este informe, y comunicar a las diferentes instancias judiciales, quienes deberán ejecutar dichas acciones. El seguimiento a estas acciones deberá realizarse por el Subproceso de Evaluación de la Dirección de Planificación en el informe de Evaluación al Plan Anual Operativo 2025. </w:t>
      </w:r>
      <w:r w:rsidRPr="00203245">
        <w:rPr>
          <w:rFonts w:eastAsia="Calibri"/>
          <w:b/>
          <w:bCs/>
          <w:lang w:val="es-CR" w:eastAsia="en-US"/>
        </w:rPr>
        <w:t>3)</w:t>
      </w:r>
      <w:r w:rsidRPr="00203245">
        <w:rPr>
          <w:rFonts w:eastAsia="Calibri"/>
          <w:lang w:val="es-CR" w:eastAsia="en-US"/>
        </w:rPr>
        <w:t xml:space="preserve"> Hacer un atento recordatorio, para registrar avances en el cumplimiento de metas operativas, a los Programas Presupuestarios Ministerio Público, Administración Fondo de Jubilaciones y Pensiones, Organismo de Investigación Jurisdiccional, Dirección, Administración y Otros Órganos de Apoyo, Servicio Jurisdiccional, Servicio de Atención y Protección de Víctimas y Testigos y Defensa Pública, según se indica en el apartado </w:t>
      </w:r>
      <w:r w:rsidRPr="00203245">
        <w:rPr>
          <w:rFonts w:eastAsia="Calibri"/>
          <w:b/>
          <w:bCs/>
          <w:i/>
          <w:iCs/>
          <w:lang w:val="es-CR" w:eastAsia="en-US"/>
        </w:rPr>
        <w:t>“Hallazgos del seguimiento al Plan Anual Operativo 2025 y acciones de mejora”</w:t>
      </w:r>
      <w:r w:rsidRPr="00203245">
        <w:rPr>
          <w:rFonts w:eastAsia="Calibri"/>
          <w:b/>
          <w:bCs/>
          <w:lang w:val="es-CR" w:eastAsia="en-US"/>
        </w:rPr>
        <w:t xml:space="preserve"> punto 6.1</w:t>
      </w:r>
      <w:r w:rsidRPr="00203245">
        <w:rPr>
          <w:rFonts w:eastAsia="Calibri"/>
          <w:lang w:val="es-CR" w:eastAsia="en-US"/>
        </w:rPr>
        <w:t xml:space="preserve">, quienes presentaron una disminución en la comparación del avance del cumplimiento entre el primer semestre 2024 y el primer semestre 2025. </w:t>
      </w:r>
      <w:r w:rsidRPr="00203245">
        <w:rPr>
          <w:rFonts w:eastAsia="Calibri"/>
          <w:b/>
          <w:bCs/>
          <w:lang w:val="es-CR" w:eastAsia="en-US"/>
        </w:rPr>
        <w:t>4)</w:t>
      </w:r>
      <w:r w:rsidRPr="00203245">
        <w:rPr>
          <w:rFonts w:eastAsia="Calibri"/>
          <w:lang w:val="es-CR" w:eastAsia="en-US"/>
        </w:rPr>
        <w:t xml:space="preserve"> Hacer un atento recordatorio, para registrar avances en el cumplimiento de metas operativas, a los 39 Centros </w:t>
      </w:r>
      <w:r w:rsidRPr="00203245">
        <w:rPr>
          <w:rFonts w:eastAsia="Calibri"/>
          <w:lang w:val="es-CR" w:eastAsia="en-US"/>
        </w:rPr>
        <w:lastRenderedPageBreak/>
        <w:t xml:space="preserve">de Responsabilidad, según se indica en el apartado </w:t>
      </w:r>
      <w:r w:rsidRPr="00203245">
        <w:rPr>
          <w:rFonts w:eastAsia="Calibri"/>
          <w:b/>
          <w:bCs/>
          <w:i/>
          <w:iCs/>
          <w:lang w:val="es-CR" w:eastAsia="en-US"/>
        </w:rPr>
        <w:t>“Hallazgos del seguimiento al Plan Anual Operativo 2025 y acciones de mejora”</w:t>
      </w:r>
      <w:r w:rsidRPr="00203245">
        <w:rPr>
          <w:rFonts w:eastAsia="Calibri"/>
          <w:b/>
          <w:bCs/>
          <w:lang w:val="es-CR" w:eastAsia="en-US"/>
        </w:rPr>
        <w:t xml:space="preserve"> punto 6.2</w:t>
      </w:r>
      <w:r w:rsidRPr="00203245">
        <w:rPr>
          <w:rFonts w:eastAsia="Calibri"/>
          <w:lang w:val="es-CR" w:eastAsia="en-US"/>
        </w:rPr>
        <w:t xml:space="preserve">, quienes presentaron una disminución en la comparación del avance del cumplimiento entre el primer semestre 2024 y el primer semestre 2025. </w:t>
      </w:r>
      <w:r w:rsidRPr="00203245">
        <w:rPr>
          <w:rFonts w:eastAsia="Calibri"/>
          <w:b/>
          <w:bCs/>
          <w:lang w:val="es-CR" w:eastAsia="en-US"/>
        </w:rPr>
        <w:t>5)</w:t>
      </w:r>
      <w:r w:rsidRPr="00203245">
        <w:rPr>
          <w:rFonts w:eastAsia="Calibri"/>
          <w:lang w:val="es-CR" w:eastAsia="en-US"/>
        </w:rPr>
        <w:t xml:space="preserve"> Hacer un atento recordatorio, para registrar avances en el cumplimiento de metas operativas, a los 50 Centros de Responsabilidad, según se indica en el apartado</w:t>
      </w:r>
      <w:r w:rsidRPr="00203245">
        <w:rPr>
          <w:rFonts w:eastAsia="Calibri"/>
          <w:b/>
          <w:bCs/>
          <w:lang w:val="es-CR" w:eastAsia="en-US"/>
        </w:rPr>
        <w:t xml:space="preserve"> </w:t>
      </w:r>
      <w:r w:rsidRPr="00203245">
        <w:rPr>
          <w:rFonts w:eastAsia="Calibri"/>
          <w:b/>
          <w:bCs/>
          <w:i/>
          <w:iCs/>
          <w:lang w:val="es-CR" w:eastAsia="en-US"/>
        </w:rPr>
        <w:t>“Hallazgos del seguimiento al Plan Anual Operativo 2025 y acciones de mejora”</w:t>
      </w:r>
      <w:r w:rsidRPr="00203245">
        <w:rPr>
          <w:rFonts w:eastAsia="Calibri"/>
          <w:b/>
          <w:bCs/>
          <w:lang w:val="es-CR" w:eastAsia="en-US"/>
        </w:rPr>
        <w:t xml:space="preserve"> punto 6.3</w:t>
      </w:r>
      <w:r w:rsidRPr="00203245">
        <w:rPr>
          <w:rFonts w:eastAsia="Calibri"/>
          <w:lang w:val="es-CR" w:eastAsia="en-US"/>
        </w:rPr>
        <w:t xml:space="preserve">, que registran metas operativas con un avance inferior al 26%, para que determinen las razones que propiciaron no alcanzar los resultados esperados. </w:t>
      </w:r>
      <w:r w:rsidRPr="00203245">
        <w:rPr>
          <w:rFonts w:eastAsia="Calibri"/>
          <w:b/>
          <w:bCs/>
          <w:lang w:val="es-CR" w:eastAsia="en-US"/>
        </w:rPr>
        <w:t>6)</w:t>
      </w:r>
      <w:r w:rsidRPr="00203245">
        <w:rPr>
          <w:rFonts w:eastAsia="Calibri"/>
          <w:lang w:val="es-CR" w:eastAsia="en-US"/>
        </w:rPr>
        <w:t xml:space="preserve"> Hacer un atento recordatorio, para registrar avances en el cumplimiento de metas operativas, a las 358 Oficinas o despachos judiciales, según se indica en el apartado </w:t>
      </w:r>
      <w:r w:rsidRPr="00203245">
        <w:rPr>
          <w:rFonts w:eastAsia="Calibri"/>
          <w:b/>
          <w:bCs/>
          <w:i/>
          <w:iCs/>
          <w:lang w:val="es-CR" w:eastAsia="en-US"/>
        </w:rPr>
        <w:t>“Hallazgos del seguimiento al Plan Anual Operativo 2025 y acciones de mejora”</w:t>
      </w:r>
      <w:r w:rsidRPr="00203245">
        <w:rPr>
          <w:rFonts w:eastAsia="Calibri"/>
          <w:b/>
          <w:bCs/>
          <w:lang w:val="es-CR" w:eastAsia="en-US"/>
        </w:rPr>
        <w:t xml:space="preserve"> punto 6.4</w:t>
      </w:r>
      <w:r w:rsidRPr="00203245">
        <w:rPr>
          <w:rFonts w:eastAsia="Calibri"/>
          <w:lang w:val="es-CR" w:eastAsia="en-US"/>
        </w:rPr>
        <w:t xml:space="preserve">, que registran metas operativas con un porcentaje inferior al 26%, esto con el fin de cumplir con los objetivos y metas, así como con la debida actualización de avances en el Sistema de Gestión Estratégica del Poder Judicial (SGE-PJ) al cierre del periodo 2025. </w:t>
      </w:r>
      <w:r w:rsidRPr="00203245">
        <w:rPr>
          <w:rFonts w:eastAsia="Calibri"/>
          <w:b/>
          <w:bCs/>
          <w:lang w:val="es-CR" w:eastAsia="en-US"/>
        </w:rPr>
        <w:t>7)</w:t>
      </w:r>
      <w:r w:rsidRPr="00203245">
        <w:rPr>
          <w:rFonts w:eastAsia="Calibri"/>
          <w:lang w:val="es-CR" w:eastAsia="en-US"/>
        </w:rPr>
        <w:t xml:space="preserve"> Hacer un atento recordatorio, para registrar avances en el cumplimiento de metas operativas, a los 23 </w:t>
      </w:r>
      <w:bookmarkStart w:id="9" w:name="_Hlk216344734"/>
      <w:proofErr w:type="gramStart"/>
      <w:r w:rsidRPr="00203245">
        <w:rPr>
          <w:rFonts w:eastAsia="Calibri"/>
          <w:lang w:val="es-CR" w:eastAsia="en-US"/>
        </w:rPr>
        <w:t>Responsables</w:t>
      </w:r>
      <w:proofErr w:type="gramEnd"/>
      <w:r w:rsidRPr="00203245">
        <w:rPr>
          <w:rFonts w:eastAsia="Calibri"/>
          <w:lang w:val="es-CR" w:eastAsia="en-US"/>
        </w:rPr>
        <w:t xml:space="preserve"> Estratégicos</w:t>
      </w:r>
      <w:bookmarkEnd w:id="9"/>
      <w:r w:rsidRPr="00203245">
        <w:rPr>
          <w:rFonts w:eastAsia="Calibri"/>
          <w:lang w:val="es-CR" w:eastAsia="en-US"/>
        </w:rPr>
        <w:t xml:space="preserve">, según se indica en el apartado </w:t>
      </w:r>
      <w:r w:rsidRPr="00203245">
        <w:rPr>
          <w:rFonts w:eastAsia="Calibri"/>
          <w:b/>
          <w:bCs/>
          <w:i/>
          <w:iCs/>
          <w:lang w:val="es-CR" w:eastAsia="en-US"/>
        </w:rPr>
        <w:t>“Hallazgos del seguimiento al Plan Anual Operativo 2025 y acciones de mejora”</w:t>
      </w:r>
      <w:r w:rsidRPr="00203245">
        <w:rPr>
          <w:rFonts w:eastAsia="Calibri"/>
          <w:b/>
          <w:bCs/>
          <w:lang w:val="es-CR" w:eastAsia="en-US"/>
        </w:rPr>
        <w:t xml:space="preserve"> punto 6.5</w:t>
      </w:r>
      <w:r w:rsidRPr="00203245">
        <w:rPr>
          <w:rFonts w:eastAsia="Calibri"/>
          <w:lang w:val="es-CR" w:eastAsia="en-US"/>
        </w:rPr>
        <w:t xml:space="preserve">, que </w:t>
      </w:r>
      <w:r w:rsidRPr="00203245">
        <w:rPr>
          <w:rFonts w:eastAsia="Calibri"/>
          <w:lang w:val="es-CR" w:eastAsia="ja-JP"/>
        </w:rPr>
        <w:t xml:space="preserve">presentan metas operativas vinculadas al PEI con un avance de cumplimiento inferior al 26%. </w:t>
      </w:r>
      <w:r w:rsidRPr="00203245">
        <w:rPr>
          <w:rFonts w:eastAsia="Calibri"/>
          <w:b/>
          <w:bCs/>
          <w:lang w:val="es-CR" w:eastAsia="en-US"/>
        </w:rPr>
        <w:t>8)</w:t>
      </w:r>
      <w:r w:rsidRPr="00203245">
        <w:rPr>
          <w:rFonts w:eastAsia="Calibri"/>
          <w:lang w:val="es-CR" w:eastAsia="en-US"/>
        </w:rPr>
        <w:t xml:space="preserve"> Aprobar</w:t>
      </w:r>
      <w:r w:rsidRPr="00203245">
        <w:rPr>
          <w:lang w:val="es-CR" w:eastAsia="en-US"/>
        </w:rPr>
        <w:t xml:space="preserve"> la modificación de la Circular 09-2023 denominada </w:t>
      </w:r>
      <w:r w:rsidRPr="00203245">
        <w:rPr>
          <w:rFonts w:eastAsia="Calibri"/>
          <w:bCs/>
          <w:i/>
          <w:iCs/>
          <w:lang w:val="es-CR"/>
        </w:rPr>
        <w:t xml:space="preserve">“Modificación de la circular 141-2022 sobre la Obligación de realizar evaluaciones semestrales y anuales a los Planes Anuales Operativos”, </w:t>
      </w:r>
      <w:r w:rsidRPr="00203245">
        <w:rPr>
          <w:rFonts w:eastAsia="Calibri"/>
          <w:bCs/>
          <w:lang w:val="es-CR"/>
        </w:rPr>
        <w:t xml:space="preserve">aprobada por el Consejo Superior en sesión 97-2022, celebrada el 10 de noviembre del 2022, artículo XXXIII, </w:t>
      </w:r>
      <w:r w:rsidRPr="00203245">
        <w:rPr>
          <w:lang w:val="es-CR" w:eastAsia="en-US"/>
        </w:rPr>
        <w:t xml:space="preserve">en relación con que los responsables de los despachos judiciales realicen dichos seguimientos periódicos a sus Planes Anuales Operativos de manera mensual. Se adjunta la propuesta de la circular. </w:t>
      </w:r>
    </w:p>
    <w:p w14:paraId="43CE6509" w14:textId="77777777" w:rsidR="00203245" w:rsidRPr="00203245" w:rsidRDefault="00203245" w:rsidP="00203245">
      <w:pPr>
        <w:widowControl w:val="0"/>
        <w:tabs>
          <w:tab w:val="left" w:pos="993"/>
          <w:tab w:val="left" w:pos="1276"/>
        </w:tabs>
        <w:suppressAutoHyphens w:val="0"/>
        <w:ind w:firstLine="709"/>
        <w:jc w:val="both"/>
        <w:rPr>
          <w:b/>
          <w:bCs/>
          <w:lang w:val="es-CR" w:eastAsia="en-US"/>
        </w:rPr>
      </w:pPr>
    </w:p>
    <w:p w14:paraId="6006D0B3" w14:textId="02B4F052" w:rsidR="00203245" w:rsidRPr="00203245" w:rsidRDefault="00203245" w:rsidP="00203245">
      <w:pPr>
        <w:widowControl w:val="0"/>
        <w:tabs>
          <w:tab w:val="left" w:pos="993"/>
          <w:tab w:val="left" w:pos="1276"/>
        </w:tabs>
        <w:suppressAutoHyphens w:val="0"/>
        <w:jc w:val="center"/>
        <w:rPr>
          <w:b/>
          <w:bCs/>
          <w:lang w:val="es-CR" w:eastAsia="en-US"/>
        </w:rPr>
      </w:pPr>
      <w:r w:rsidRPr="00203245">
        <w:rPr>
          <w:noProof/>
          <w:lang w:val="es-CR" w:eastAsia="en-US"/>
        </w:rPr>
        <w:drawing>
          <wp:inline distT="0" distB="0" distL="0" distR="0" wp14:anchorId="724884A8" wp14:editId="3204F197">
            <wp:extent cx="828675" cy="542925"/>
            <wp:effectExtent l="0" t="0" r="0" b="0"/>
            <wp:docPr id="114201962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542925"/>
                    </a:xfrm>
                    <a:prstGeom prst="rect">
                      <a:avLst/>
                    </a:prstGeom>
                    <a:noFill/>
                    <a:ln>
                      <a:noFill/>
                    </a:ln>
                  </pic:spPr>
                </pic:pic>
              </a:graphicData>
            </a:graphic>
          </wp:inline>
        </w:drawing>
      </w:r>
    </w:p>
    <w:p w14:paraId="00815958" w14:textId="77777777" w:rsidR="00203245" w:rsidRPr="00203245" w:rsidRDefault="00203245" w:rsidP="00203245">
      <w:pPr>
        <w:rPr>
          <w:rFonts w:eastAsia="MS Gothic"/>
          <w:lang w:val="es-CR" w:eastAsia="ja-JP"/>
        </w:rPr>
      </w:pPr>
    </w:p>
    <w:p w14:paraId="31C6CF0A" w14:textId="754A6368" w:rsidR="00294863" w:rsidRPr="00203245" w:rsidRDefault="00203245" w:rsidP="00203245">
      <w:pPr>
        <w:widowControl w:val="0"/>
        <w:suppressAutoHyphens w:val="0"/>
        <w:autoSpaceDE w:val="0"/>
        <w:autoSpaceDN w:val="0"/>
        <w:adjustRightInd w:val="0"/>
        <w:ind w:firstLine="709"/>
        <w:jc w:val="both"/>
        <w:rPr>
          <w:lang w:val="es-CR" w:eastAsia="es-ES"/>
        </w:rPr>
      </w:pPr>
      <w:r w:rsidRPr="00203245">
        <w:rPr>
          <w:rFonts w:eastAsia="MS Gothic"/>
          <w:b/>
          <w:bCs/>
          <w:u w:color="000000"/>
          <w:lang w:val="es-CR" w:eastAsia="ja-JP"/>
        </w:rPr>
        <w:t>9)</w:t>
      </w:r>
      <w:r w:rsidRPr="00203245">
        <w:rPr>
          <w:rFonts w:eastAsia="MS Gothic"/>
          <w:u w:color="000000"/>
          <w:lang w:val="es-CR" w:eastAsia="ja-JP"/>
        </w:rPr>
        <w:t xml:space="preserve"> A los </w:t>
      </w:r>
      <w:proofErr w:type="gramStart"/>
      <w:r w:rsidRPr="00203245">
        <w:rPr>
          <w:rFonts w:eastAsia="MS Gothic"/>
          <w:u w:color="000000"/>
          <w:lang w:val="es-CR" w:eastAsia="ja-JP"/>
        </w:rPr>
        <w:t>Responsables</w:t>
      </w:r>
      <w:proofErr w:type="gramEnd"/>
      <w:r w:rsidRPr="00203245">
        <w:rPr>
          <w:rFonts w:eastAsia="MS Gothic"/>
          <w:u w:color="000000"/>
          <w:lang w:val="es-CR" w:eastAsia="ja-JP"/>
        </w:rPr>
        <w:t xml:space="preserve"> Estratégicos se </w:t>
      </w:r>
      <w:r w:rsidRPr="00203245">
        <w:rPr>
          <w:lang w:val="es-CR" w:eastAsia="en-US"/>
        </w:rPr>
        <w:t xml:space="preserve">les reitera que deben de coordinar y dar seguimiento a los responsables operativos con el fin de registrar los avances de las metas contenidas en los Planes Anuales Operativos que están vinculadas con el Plan Estratégico Institucional de manera periódica, debido a la importancia que revisten esas metas al contribuir de manera directa con el cumplimiento del PEI. </w:t>
      </w:r>
      <w:r w:rsidRPr="00203245">
        <w:rPr>
          <w:b/>
          <w:bCs/>
          <w:lang w:val="es-CR" w:eastAsia="en-US"/>
        </w:rPr>
        <w:t>10)</w:t>
      </w:r>
      <w:r w:rsidRPr="00203245">
        <w:rPr>
          <w:lang w:val="es-CR" w:eastAsia="en-US"/>
        </w:rPr>
        <w:t xml:space="preserve"> Las Administraciones Regionales, Consejos de Administración y Centros de Responsabilidad deberán: </w:t>
      </w:r>
      <w:r w:rsidRPr="00203245">
        <w:rPr>
          <w:b/>
          <w:bCs/>
          <w:lang w:val="es-CR" w:eastAsia="en-US"/>
        </w:rPr>
        <w:t>a)</w:t>
      </w:r>
      <w:r w:rsidRPr="00203245">
        <w:rPr>
          <w:lang w:val="es-CR" w:eastAsia="en-US"/>
        </w:rPr>
        <w:t xml:space="preserve"> Reiterar a los Centros Responsables el acuerdo del Consejo Superior de la sesión 62-2023, celebrada el 27 de julio del 2023, artículo XLV, el Consejo Superior conoció el informe 426-PLA-EV-PE-2023, relacionado </w:t>
      </w:r>
      <w:r w:rsidRPr="00203245">
        <w:rPr>
          <w:snapToGrid w:val="0"/>
          <w:lang w:val="es-CR" w:eastAsia="en-US"/>
        </w:rPr>
        <w:t>con los temas de formulación y seguimiento del Plan Anual Operativo (</w:t>
      </w:r>
      <w:r w:rsidRPr="00203245">
        <w:rPr>
          <w:lang w:val="es-CR" w:eastAsia="en-US"/>
        </w:rPr>
        <w:t xml:space="preserve">Procedimiento PCDT-DPLA-0110-0115-01-Seguimiento por parte de los Centros de Responsabilidad sobre los Planes Anuales Operativos de las oficinas y despachos judiciales), ver anexo 16. </w:t>
      </w:r>
      <w:r w:rsidRPr="00203245">
        <w:rPr>
          <w:b/>
          <w:bCs/>
          <w:lang w:val="es-CR" w:eastAsia="en-US"/>
        </w:rPr>
        <w:t>b)</w:t>
      </w:r>
      <w:r w:rsidRPr="00203245">
        <w:rPr>
          <w:lang w:val="es-CR" w:eastAsia="en-US"/>
        </w:rPr>
        <w:t xml:space="preserve"> Reiterar a los Centros de Responsabilidad, el acuerdo del Consejo Superior de la sesión 04-2024, celebrada el 18 de enero del 2024, artículo XXX, donde se conoció el informe 1480-PLA-EV-PE-2023, referente al informe relacionado con la evaluación al </w:t>
      </w:r>
      <w:r w:rsidRPr="00203245">
        <w:rPr>
          <w:lang w:val="es-CR" w:eastAsia="en-US"/>
        </w:rPr>
        <w:lastRenderedPageBreak/>
        <w:t xml:space="preserve">Plan Anual Operativo 2022 y se acordó: </w:t>
      </w:r>
      <w:r w:rsidRPr="00203245">
        <w:rPr>
          <w:i/>
          <w:iCs/>
          <w:lang w:val="es-CR" w:eastAsia="en-US"/>
        </w:rPr>
        <w:t>“Tener por recibido el informe 1480-PLA-EV-PE-2023 de la Dirección de Planificación, relacionado con la evaluación al Plan Anual Operativo 2022, donde se acordó lo siguiente:</w:t>
      </w:r>
      <w:r w:rsidRPr="00203245">
        <w:rPr>
          <w:rFonts w:eastAsia="Calibri"/>
          <w:i/>
          <w:iCs/>
          <w:lang w:val="es-CR" w:eastAsia="en-US"/>
        </w:rPr>
        <w:t xml:space="preserve"> “Tener por rendido el informe </w:t>
      </w:r>
      <w:r w:rsidRPr="00203245">
        <w:rPr>
          <w:i/>
          <w:iCs/>
          <w:lang w:val="es-CR" w:eastAsia="en-US"/>
        </w:rPr>
        <w:t>652-PLA-EV-2023</w:t>
      </w:r>
      <w:r w:rsidRPr="00203245">
        <w:rPr>
          <w:rFonts w:eastAsia="Calibri"/>
          <w:i/>
          <w:iCs/>
          <w:lang w:val="es-CR" w:eastAsia="en-US"/>
        </w:rPr>
        <w:t xml:space="preserve"> relacionado con la </w:t>
      </w:r>
      <w:r w:rsidRPr="00203245">
        <w:rPr>
          <w:i/>
          <w:iCs/>
          <w:lang w:val="es-CR" w:eastAsia="en-US"/>
        </w:rPr>
        <w:t>evaluación anual de los Planes Anuales Operativos al corte del 31 de enero del 2023”</w:t>
      </w:r>
      <w:r w:rsidRPr="00203245">
        <w:rPr>
          <w:lang w:val="es-CR" w:eastAsia="en-US"/>
        </w:rPr>
        <w:t xml:space="preserve">, ver anexo 17. </w:t>
      </w:r>
      <w:r w:rsidRPr="00203245">
        <w:rPr>
          <w:b/>
          <w:bCs/>
          <w:lang w:val="es-CR" w:eastAsia="en-US"/>
        </w:rPr>
        <w:t>c)</w:t>
      </w:r>
      <w:r w:rsidRPr="00203245">
        <w:rPr>
          <w:lang w:val="es-CR" w:eastAsia="en-US"/>
        </w:rPr>
        <w:t xml:space="preserve"> Brindar un apoyo y acompañamiento a las oficinas que los integran. El seguimiento efectivo de la ejecución de las actividades programadas en la forma y plazo establecido, garantizando el avance de las metas y la efectiva distribución a lo largo del año. </w:t>
      </w:r>
      <w:r w:rsidRPr="00203245">
        <w:rPr>
          <w:b/>
          <w:bCs/>
          <w:lang w:val="es-CR" w:eastAsia="en-US"/>
        </w:rPr>
        <w:t>d)</w:t>
      </w:r>
      <w:r w:rsidRPr="00203245">
        <w:rPr>
          <w:lang w:val="es-CR" w:eastAsia="en-US"/>
        </w:rPr>
        <w:t xml:space="preserve"> Replicar la capacitación que imparte la Dirección de Planificación denominada “Capacitación a los PAOS (formulación y seguimiento)”, dirigida al personal de las oficinas administrativas y jurisdiccionales; así como, atender las distintas consultas relacionadas con la formulación y seguimiento del PAO, en caso de requerir estos Centros la capacitación por parte de la Dirección de Planificación, solicitarla para realizar la respectiva programación. </w:t>
      </w:r>
      <w:r w:rsidRPr="00203245">
        <w:rPr>
          <w:b/>
          <w:bCs/>
          <w:lang w:val="es-CR" w:eastAsia="en-US"/>
        </w:rPr>
        <w:t>11)</w:t>
      </w:r>
      <w:r w:rsidRPr="00203245">
        <w:rPr>
          <w:lang w:val="es-CR" w:eastAsia="en-US"/>
        </w:rPr>
        <w:t xml:space="preserve"> Las oficinas y despachos judiciales deberán: </w:t>
      </w:r>
      <w:r w:rsidRPr="00203245">
        <w:rPr>
          <w:b/>
          <w:bCs/>
          <w:lang w:val="es-CR" w:eastAsia="en-US"/>
        </w:rPr>
        <w:t>a)</w:t>
      </w:r>
      <w:r w:rsidRPr="00203245">
        <w:rPr>
          <w:lang w:val="es-CR" w:eastAsia="en-US"/>
        </w:rPr>
        <w:t xml:space="preserve"> Habiéndose aprobado la modificación de la circular 9-2023, de la Secretaría General de la Corte, del 16 de enero del 2023, denominada Modificación de la circular 141-2022 sobre la “Obligación de realizar evaluaciones semestrales y anuales a los Planes Anuales Operativos”, se solicita a todos los despachos y oficinas judiciales del país que formularon sus Planes Anuales Operativos para el 2025, el deber de mantener actualizado el avance logrado en cada una de las metas formuladas, según los lineamientos establecidos en dicha circular. </w:t>
      </w:r>
      <w:r w:rsidRPr="00203245">
        <w:rPr>
          <w:b/>
          <w:bCs/>
          <w:lang w:val="es-CR" w:eastAsia="en-US"/>
        </w:rPr>
        <w:t>b)</w:t>
      </w:r>
      <w:r w:rsidRPr="00203245">
        <w:rPr>
          <w:lang w:val="es-CR" w:eastAsia="en-US"/>
        </w:rPr>
        <w:t xml:space="preserve"> Registrar avances a las metas operativas de los Planes Anuales Operativos que están vinculadas con el Plan Estratégico Institucional de manera mensual, debido a la importancia que revisten esas metas al contribuir de manera directa con el cumplimiento del PEI. </w:t>
      </w:r>
      <w:r w:rsidRPr="00203245">
        <w:rPr>
          <w:b/>
          <w:bCs/>
          <w:lang w:val="es-CR" w:eastAsia="en-US"/>
        </w:rPr>
        <w:t>c)</w:t>
      </w:r>
      <w:r w:rsidRPr="00203245">
        <w:rPr>
          <w:lang w:val="es-CR" w:eastAsia="en-US"/>
        </w:rPr>
        <w:t xml:space="preserve"> Se les reitera a las oficinas y despachos judiciales que deben de actualizar adecuadamente los estados de las metas contenidas en el Sistema de Gestión Estratégica del Poder Judicial (SGE-PJ) para que, al llevar a cabo la evaluación del PAO al finalizar el 2025, las metas queden clasificadas en los únicos tres estados avalados: completado, pendiente o cancelado (este último debe contar un visto bueno por parte de la Dirección de Planificación), los restantes estados no están avalados para reportar el estado final de una meta. </w:t>
      </w:r>
      <w:r w:rsidRPr="00203245">
        <w:rPr>
          <w:b/>
          <w:bCs/>
          <w:lang w:val="es-CR" w:eastAsia="en-US"/>
        </w:rPr>
        <w:t>d)</w:t>
      </w:r>
      <w:r w:rsidRPr="00203245">
        <w:rPr>
          <w:lang w:val="es-CR" w:eastAsia="en-US"/>
        </w:rPr>
        <w:t xml:space="preserve"> Se les reitera a las jefaturas de oficinas y despachos judiciales que son las personas responsables de garantizar el cumplimiento de las metas operativas, lo cual contribuirá al logro de los objetivos propuestos en las Políticas Institucionales del 2025. </w:t>
      </w:r>
      <w:r w:rsidRPr="00203245">
        <w:rPr>
          <w:b/>
          <w:bCs/>
          <w:lang w:val="es-CR" w:eastAsia="en-US"/>
        </w:rPr>
        <w:t>e)</w:t>
      </w:r>
      <w:r w:rsidRPr="00203245">
        <w:rPr>
          <w:lang w:val="es-CR" w:eastAsia="en-US"/>
        </w:rPr>
        <w:t xml:space="preserve"> Describir el cumplimiento y adjuntar una evidencia conforme a la meta, al objetivo, al eje transversal, al momento de registrar los avances de las metas operativas en el sistema, esto con el fin de garantizar su efectivo alcance. </w:t>
      </w:r>
      <w:r w:rsidRPr="00203245">
        <w:rPr>
          <w:b/>
          <w:bCs/>
          <w:lang w:val="es-CR" w:eastAsia="en-US"/>
        </w:rPr>
        <w:t>12)</w:t>
      </w:r>
      <w:r w:rsidRPr="00203245">
        <w:rPr>
          <w:lang w:val="es-CR" w:eastAsia="en-US"/>
        </w:rPr>
        <w:t xml:space="preserve"> El Subproceso de Planificación Estratégica deberá continuar con los esfuerzos realizados en conjunto con la Dirección de Tecnología de Información y Comunicaciones, para lograr la implementación de los reportes </w:t>
      </w:r>
      <w:r w:rsidRPr="00203245">
        <w:rPr>
          <w:lang w:val="es-CR" w:eastAsia="ja-JP"/>
        </w:rPr>
        <w:t xml:space="preserve">para los perfiles de Administrador y Encargado de Oficina </w:t>
      </w:r>
      <w:r w:rsidRPr="00203245">
        <w:rPr>
          <w:lang w:val="es-CR" w:eastAsia="en-US"/>
        </w:rPr>
        <w:t xml:space="preserve">y la sostenibilidad del Sistema de Gestión Estratégica, fortaleciendo la apropiación institucional de la herramienta. </w:t>
      </w:r>
      <w:r w:rsidRPr="00203245">
        <w:rPr>
          <w:b/>
          <w:bCs/>
          <w:lang w:val="es-CR" w:eastAsia="en-US"/>
        </w:rPr>
        <w:t>13)</w:t>
      </w:r>
      <w:r w:rsidRPr="00203245">
        <w:rPr>
          <w:lang w:val="es-CR" w:eastAsia="en-US"/>
        </w:rPr>
        <w:t xml:space="preserve"> La Dirección de Tecnología de Información y Comunicaciones deberá continuar con los esfuerzos realizados en conjunto con el Subproceso de Planificación Estratégica de la Dirección de Planificación, para lograr la implementación de los reportes </w:t>
      </w:r>
      <w:r w:rsidRPr="00203245">
        <w:rPr>
          <w:lang w:val="es-CR" w:eastAsia="ja-JP"/>
        </w:rPr>
        <w:t xml:space="preserve">para los perfiles de Administrador y Encargado de Oficina </w:t>
      </w:r>
      <w:r w:rsidRPr="00203245">
        <w:rPr>
          <w:lang w:val="es-CR" w:eastAsia="en-US"/>
        </w:rPr>
        <w:t xml:space="preserve">y la sostenibilidad del Sistema de Gestión Estratégica, fortaleciendo la apropiación institucional de la herramienta. </w:t>
      </w:r>
      <w:r w:rsidRPr="00203245">
        <w:rPr>
          <w:b/>
          <w:bCs/>
          <w:lang w:val="es-CR" w:eastAsia="es-ES"/>
        </w:rPr>
        <w:t xml:space="preserve">14) </w:t>
      </w:r>
      <w:r w:rsidRPr="00203245">
        <w:rPr>
          <w:lang w:val="es-CR" w:eastAsia="es-ES"/>
        </w:rPr>
        <w:t xml:space="preserve">Hacer este acuerdo de conocimiento de la Dirección de Planificación, el Subproceso de Planificación Estratégica, el </w:t>
      </w:r>
      <w:r w:rsidRPr="00203245">
        <w:rPr>
          <w:lang w:val="es-CR" w:eastAsia="es-ES"/>
        </w:rPr>
        <w:lastRenderedPageBreak/>
        <w:t xml:space="preserve">Subproceso de Evaluación, Magistrado Orlando Aguirre Gómez, Presidente de la Corte Suprema de Justicia, </w:t>
      </w:r>
      <w:r w:rsidRPr="00203245">
        <w:rPr>
          <w:rFonts w:eastAsia="Calibri"/>
          <w:lang w:val="es-CR" w:eastAsia="es-ES"/>
        </w:rPr>
        <w:t xml:space="preserve">Despacho de la Presidencia, </w:t>
      </w:r>
      <w:r w:rsidRPr="00203245">
        <w:rPr>
          <w:rFonts w:eastAsia="Calibri"/>
          <w:lang w:val="es-CR" w:eastAsia="en-US"/>
        </w:rPr>
        <w:t xml:space="preserve">Sala Primera, Sala Segunda, Sala Tercera, Sala Constitucional, Auditoría Judicial, Fiscalía General de la República, Defensa Pública, Contraloría de Servicios, Oficina de Control Interno, Dirección Ejecutiva, Dirección de Gestión Humana, Dirección Jurídica, Dirección General del Organismo de Investigación Judicial, Dirección de Tecnología de Información y Comunicaciones, Centro de Gestión de la Calidad, Centro Electrónico de Información Jurisprudencial, Centro de Conciliación del Poder Judicial, Centro Judicial de Intervención de las Comunicaciones, Centro de Apoyo Coordinación y Mejoramiento de la Función Jurisdiccional, Administraciones Regionales y Consejos de Administración a nivel nacional, Departamento de Trabajo Social y Psicología, Departamento de Prensa y Comunicación Organizacional, Servicio de Atención y Protección de Víctimas y Testigos, Secretaría Técnica de Ética y Valores, Secretaría Técnica de Género y Acceso a la Justicia, Escuela Judicial, Unidad de Monitoreo y Apoyo a la Gestión de Fiscalías, Comisión Nacional para el Mejoramiento de la Administración de Justicia, Junta Administradora del Fondo de Jubilaciones y Pensiones (Administración del Programa 951), Centros de responsabilidad, oficinas y despachos judiciales, programas presupuestarios, Responsables Estratégicos, </w:t>
      </w:r>
      <w:r w:rsidRPr="00203245">
        <w:rPr>
          <w:lang w:val="es-CR" w:eastAsia="es-ES"/>
        </w:rPr>
        <w:t>para lo de su cargo.</w:t>
      </w:r>
      <w:r w:rsidR="009F45D2" w:rsidRPr="00203245">
        <w:rPr>
          <w:b/>
          <w:bCs/>
        </w:rPr>
        <w:t>”</w:t>
      </w:r>
    </w:p>
    <w:p w14:paraId="3301832F" w14:textId="77777777" w:rsidR="00294863" w:rsidRPr="00203245" w:rsidRDefault="00294863" w:rsidP="00203245">
      <w:pPr>
        <w:widowControl w:val="0"/>
        <w:autoSpaceDE w:val="0"/>
        <w:autoSpaceDN w:val="0"/>
        <w:adjustRightInd w:val="0"/>
        <w:ind w:right="851"/>
        <w:jc w:val="both"/>
      </w:pPr>
    </w:p>
    <w:p w14:paraId="5C125FAA" w14:textId="77777777" w:rsidR="009033DA" w:rsidRPr="00203245" w:rsidRDefault="009033DA" w:rsidP="00203245">
      <w:pPr>
        <w:widowControl w:val="0"/>
        <w:autoSpaceDE w:val="0"/>
        <w:autoSpaceDN w:val="0"/>
        <w:adjustRightInd w:val="0"/>
        <w:ind w:right="851"/>
        <w:jc w:val="both"/>
      </w:pPr>
    </w:p>
    <w:p w14:paraId="47ECE26F" w14:textId="77777777" w:rsidR="003D6337" w:rsidRPr="00203245" w:rsidRDefault="00561024" w:rsidP="00203245">
      <w:pPr>
        <w:tabs>
          <w:tab w:val="left" w:pos="4295"/>
        </w:tabs>
        <w:ind w:left="3969"/>
        <w:jc w:val="both"/>
        <w:rPr>
          <w:b/>
          <w:bCs/>
        </w:rPr>
      </w:pPr>
      <w:r w:rsidRPr="00203245">
        <w:rPr>
          <w:b/>
          <w:bCs/>
        </w:rPr>
        <w:t>A</w:t>
      </w:r>
      <w:r w:rsidR="003D6337" w:rsidRPr="00203245">
        <w:rPr>
          <w:b/>
          <w:bCs/>
        </w:rPr>
        <w:t xml:space="preserve">tentamente, </w:t>
      </w:r>
    </w:p>
    <w:p w14:paraId="65B7A8D2" w14:textId="77777777" w:rsidR="003D6337" w:rsidRPr="00203245" w:rsidRDefault="003D6337" w:rsidP="00203245">
      <w:pPr>
        <w:ind w:left="3969"/>
        <w:jc w:val="both"/>
        <w:rPr>
          <w:b/>
          <w:bCs/>
        </w:rPr>
      </w:pPr>
    </w:p>
    <w:p w14:paraId="5AA974A0" w14:textId="652E59AA" w:rsidR="003D6337" w:rsidRPr="00203245" w:rsidRDefault="003D6337" w:rsidP="00203245">
      <w:pPr>
        <w:ind w:left="3969"/>
        <w:jc w:val="both"/>
        <w:rPr>
          <w:b/>
          <w:bCs/>
          <w:lang w:val="es-ES_tradnl"/>
        </w:rPr>
      </w:pPr>
    </w:p>
    <w:p w14:paraId="3E32B868" w14:textId="77777777" w:rsidR="000E3E12" w:rsidRPr="00203245" w:rsidRDefault="000E3E12" w:rsidP="00203245">
      <w:pPr>
        <w:ind w:left="3969"/>
        <w:jc w:val="both"/>
        <w:rPr>
          <w:b/>
          <w:bCs/>
          <w:lang w:val="es-ES_tradnl"/>
        </w:rPr>
      </w:pPr>
    </w:p>
    <w:p w14:paraId="31EBFCE9" w14:textId="77777777" w:rsidR="00910D0C" w:rsidRPr="00203245" w:rsidRDefault="00910D0C" w:rsidP="00203245">
      <w:pPr>
        <w:ind w:left="3969"/>
        <w:jc w:val="both"/>
        <w:rPr>
          <w:b/>
          <w:bCs/>
          <w:lang w:val="es-ES_tradnl"/>
        </w:rPr>
      </w:pPr>
    </w:p>
    <w:p w14:paraId="50D41986" w14:textId="77777777" w:rsidR="006561E6" w:rsidRPr="00203245" w:rsidRDefault="006561E6" w:rsidP="00203245">
      <w:pPr>
        <w:keepNext/>
        <w:shd w:val="clear" w:color="auto" w:fill="FFFFFF"/>
        <w:ind w:left="3969"/>
        <w:jc w:val="both"/>
        <w:rPr>
          <w:b/>
          <w:bCs/>
        </w:rPr>
      </w:pPr>
      <w:r w:rsidRPr="00203245">
        <w:rPr>
          <w:b/>
          <w:bCs/>
        </w:rPr>
        <w:t xml:space="preserve">Licda. Vanessa Fernández Salas </w:t>
      </w:r>
    </w:p>
    <w:p w14:paraId="73E40F48" w14:textId="0C9C47B1" w:rsidR="006561E6" w:rsidRPr="00203245" w:rsidRDefault="006561E6" w:rsidP="00203245">
      <w:pPr>
        <w:keepNext/>
        <w:shd w:val="clear" w:color="auto" w:fill="FFFFFF"/>
        <w:ind w:left="3969"/>
        <w:jc w:val="both"/>
        <w:rPr>
          <w:b/>
          <w:bCs/>
        </w:rPr>
      </w:pPr>
      <w:r w:rsidRPr="00203245">
        <w:rPr>
          <w:b/>
          <w:bCs/>
        </w:rPr>
        <w:t xml:space="preserve">Prosecretaria General </w:t>
      </w:r>
    </w:p>
    <w:p w14:paraId="0F2B22B0" w14:textId="77777777" w:rsidR="006561E6" w:rsidRPr="00203245" w:rsidRDefault="006561E6" w:rsidP="00203245">
      <w:pPr>
        <w:shd w:val="clear" w:color="auto" w:fill="FFFFFF"/>
        <w:ind w:left="3969"/>
        <w:jc w:val="both"/>
        <w:rPr>
          <w:b/>
          <w:bCs/>
        </w:rPr>
      </w:pPr>
      <w:r w:rsidRPr="00203245">
        <w:rPr>
          <w:b/>
          <w:bCs/>
        </w:rPr>
        <w:t>Secretaría General de la Corte</w:t>
      </w:r>
    </w:p>
    <w:p w14:paraId="4A29341C" w14:textId="77777777" w:rsidR="00186ADE" w:rsidRPr="00203245" w:rsidRDefault="00186ADE" w:rsidP="00203245">
      <w:pPr>
        <w:pStyle w:val="Ttulo51"/>
        <w:keepNext w:val="0"/>
        <w:tabs>
          <w:tab w:val="clear" w:pos="0"/>
        </w:tabs>
        <w:ind w:left="4248"/>
        <w:jc w:val="both"/>
        <w:rPr>
          <w:rFonts w:eastAsia="Times New Roman"/>
          <w:i w:val="0"/>
          <w:iCs w:val="0"/>
          <w:sz w:val="24"/>
          <w:szCs w:val="24"/>
          <w:u w:val="none"/>
          <w:shd w:val="clear" w:color="auto" w:fill="auto"/>
          <w:lang w:val="es-CR"/>
        </w:rPr>
      </w:pPr>
    </w:p>
    <w:p w14:paraId="29C10584" w14:textId="77777777" w:rsidR="00186ADE" w:rsidRPr="00203245" w:rsidRDefault="00186ADE" w:rsidP="00203245">
      <w:pPr>
        <w:pStyle w:val="Ttulo51"/>
        <w:keepNext w:val="0"/>
        <w:tabs>
          <w:tab w:val="clear" w:pos="0"/>
        </w:tabs>
        <w:ind w:left="4248"/>
        <w:jc w:val="both"/>
        <w:rPr>
          <w:rFonts w:eastAsia="Times New Roman"/>
          <w:i w:val="0"/>
          <w:iCs w:val="0"/>
          <w:sz w:val="24"/>
          <w:szCs w:val="24"/>
          <w:u w:val="none"/>
          <w:shd w:val="clear" w:color="auto" w:fill="auto"/>
          <w:lang w:val="es-CR"/>
        </w:rPr>
      </w:pPr>
    </w:p>
    <w:p w14:paraId="6CFD6FA5" w14:textId="77C95648" w:rsidR="009033DA" w:rsidRPr="00203245" w:rsidRDefault="009033DA" w:rsidP="00203245">
      <w:pPr>
        <w:pStyle w:val="Ttulo51"/>
        <w:keepNext w:val="0"/>
        <w:tabs>
          <w:tab w:val="clear" w:pos="0"/>
        </w:tabs>
        <w:ind w:left="4248"/>
        <w:jc w:val="both"/>
        <w:rPr>
          <w:rFonts w:eastAsia="Times New Roman"/>
          <w:i w:val="0"/>
          <w:iCs w:val="0"/>
          <w:sz w:val="24"/>
          <w:szCs w:val="24"/>
          <w:u w:val="none"/>
          <w:shd w:val="clear" w:color="auto" w:fill="auto"/>
          <w:lang w:val="es-CR"/>
        </w:rPr>
      </w:pPr>
    </w:p>
    <w:p w14:paraId="6DA8899B" w14:textId="6936125C" w:rsidR="00245A35" w:rsidRPr="00203245" w:rsidRDefault="00790C15" w:rsidP="00203245">
      <w:pPr>
        <w:jc w:val="both"/>
      </w:pPr>
      <w:proofErr w:type="spellStart"/>
      <w:r w:rsidRPr="00203245">
        <w:t>C</w:t>
      </w:r>
      <w:r w:rsidR="00B46B14" w:rsidRPr="00203245">
        <w:t>c</w:t>
      </w:r>
      <w:proofErr w:type="spellEnd"/>
      <w:r w:rsidR="0029216A" w:rsidRPr="00203245">
        <w:t>:</w:t>
      </w:r>
      <w:r w:rsidR="009033DA" w:rsidRPr="00203245">
        <w:t xml:space="preserve"> </w:t>
      </w:r>
    </w:p>
    <w:p w14:paraId="158810D1" w14:textId="632C900F" w:rsidR="005D270B" w:rsidRPr="00772C5F" w:rsidRDefault="005D270B" w:rsidP="00772C5F">
      <w:pPr>
        <w:ind w:left="708"/>
        <w:rPr>
          <w:rFonts w:eastAsia="Calibri"/>
        </w:rPr>
      </w:pPr>
      <w:r w:rsidRPr="00772C5F">
        <w:rPr>
          <w:rFonts w:eastAsia="Calibri"/>
        </w:rPr>
        <w:t>Despacho de la Presidencia</w:t>
      </w:r>
    </w:p>
    <w:p w14:paraId="512E830D" w14:textId="2CFC06FE" w:rsidR="005D270B" w:rsidRPr="00772C5F" w:rsidRDefault="005D270B" w:rsidP="00772C5F">
      <w:pPr>
        <w:ind w:left="708"/>
        <w:rPr>
          <w:rFonts w:eastAsia="Calibri"/>
        </w:rPr>
      </w:pPr>
      <w:r w:rsidRPr="00772C5F">
        <w:rPr>
          <w:rFonts w:eastAsia="Calibri"/>
        </w:rPr>
        <w:t>Sala Primera</w:t>
      </w:r>
    </w:p>
    <w:p w14:paraId="74370F46" w14:textId="653F3D5D" w:rsidR="005D270B" w:rsidRPr="00772C5F" w:rsidRDefault="005D270B" w:rsidP="00772C5F">
      <w:pPr>
        <w:ind w:left="708"/>
        <w:rPr>
          <w:rFonts w:eastAsia="Calibri"/>
        </w:rPr>
      </w:pPr>
      <w:r w:rsidRPr="00772C5F">
        <w:rPr>
          <w:rFonts w:eastAsia="Calibri"/>
        </w:rPr>
        <w:t>Sala Segunda</w:t>
      </w:r>
    </w:p>
    <w:p w14:paraId="033EF15F" w14:textId="228A9196" w:rsidR="005D270B" w:rsidRPr="00772C5F" w:rsidRDefault="005D270B" w:rsidP="00772C5F">
      <w:pPr>
        <w:ind w:left="708"/>
        <w:rPr>
          <w:rFonts w:eastAsia="Calibri"/>
        </w:rPr>
      </w:pPr>
      <w:r w:rsidRPr="00772C5F">
        <w:rPr>
          <w:rFonts w:eastAsia="Calibri"/>
        </w:rPr>
        <w:t>Sala Tercera</w:t>
      </w:r>
    </w:p>
    <w:p w14:paraId="46944A2C" w14:textId="4FBBB180" w:rsidR="005D270B" w:rsidRPr="00772C5F" w:rsidRDefault="005D270B" w:rsidP="00772C5F">
      <w:pPr>
        <w:ind w:left="708"/>
        <w:rPr>
          <w:rFonts w:eastAsia="Calibri"/>
        </w:rPr>
      </w:pPr>
      <w:r w:rsidRPr="00772C5F">
        <w:rPr>
          <w:rFonts w:eastAsia="Calibri"/>
        </w:rPr>
        <w:t>Sala Constitucional</w:t>
      </w:r>
    </w:p>
    <w:p w14:paraId="0CDDC6C3" w14:textId="331EED6C" w:rsidR="005D270B" w:rsidRPr="00772C5F" w:rsidRDefault="005D270B" w:rsidP="00772C5F">
      <w:pPr>
        <w:ind w:left="708"/>
        <w:rPr>
          <w:rFonts w:eastAsia="Calibri"/>
        </w:rPr>
      </w:pPr>
      <w:r w:rsidRPr="00772C5F">
        <w:rPr>
          <w:rFonts w:eastAsia="Calibri"/>
        </w:rPr>
        <w:t>Comisión Nacional para el Mejoramiento de la Administración de Justicia</w:t>
      </w:r>
    </w:p>
    <w:p w14:paraId="0EFC6B80" w14:textId="4262B39F" w:rsidR="005D270B" w:rsidRPr="00772C5F" w:rsidRDefault="005D270B" w:rsidP="00772C5F">
      <w:pPr>
        <w:ind w:left="708"/>
        <w:rPr>
          <w:rFonts w:eastAsia="Calibri"/>
        </w:rPr>
      </w:pPr>
      <w:r w:rsidRPr="00772C5F">
        <w:rPr>
          <w:rFonts w:eastAsia="Calibri"/>
        </w:rPr>
        <w:t>Fiscalía General de la República</w:t>
      </w:r>
    </w:p>
    <w:p w14:paraId="27980EC2" w14:textId="0C7D1D20" w:rsidR="005D270B" w:rsidRPr="00772C5F" w:rsidRDefault="005D270B" w:rsidP="00772C5F">
      <w:pPr>
        <w:ind w:left="708"/>
        <w:rPr>
          <w:rFonts w:eastAsia="Calibri"/>
        </w:rPr>
      </w:pPr>
      <w:r w:rsidRPr="00772C5F">
        <w:rPr>
          <w:rFonts w:eastAsia="Calibri"/>
        </w:rPr>
        <w:t>Defensa Pública</w:t>
      </w:r>
    </w:p>
    <w:p w14:paraId="1574ACFB" w14:textId="1ABD8936" w:rsidR="009B7CA2" w:rsidRPr="00772C5F" w:rsidRDefault="005D270B" w:rsidP="00772C5F">
      <w:pPr>
        <w:ind w:left="708"/>
        <w:rPr>
          <w:rFonts w:eastAsia="Calibri"/>
        </w:rPr>
      </w:pPr>
      <w:r w:rsidRPr="00772C5F">
        <w:rPr>
          <w:rFonts w:eastAsia="Calibri"/>
        </w:rPr>
        <w:t>Escuela Judicial</w:t>
      </w:r>
    </w:p>
    <w:p w14:paraId="410D6765" w14:textId="2A812D67" w:rsidR="005D270B" w:rsidRPr="00772C5F" w:rsidRDefault="005D270B" w:rsidP="00772C5F">
      <w:pPr>
        <w:ind w:left="708"/>
        <w:rPr>
          <w:rFonts w:eastAsia="Calibri"/>
        </w:rPr>
      </w:pPr>
      <w:r w:rsidRPr="00772C5F">
        <w:rPr>
          <w:rFonts w:eastAsia="Calibri"/>
        </w:rPr>
        <w:t xml:space="preserve">Dirección Ejecutiva </w:t>
      </w:r>
    </w:p>
    <w:p w14:paraId="6A50A017" w14:textId="73AE1FA0" w:rsidR="005D270B" w:rsidRPr="00772C5F" w:rsidRDefault="005D270B" w:rsidP="00772C5F">
      <w:pPr>
        <w:ind w:left="708"/>
        <w:rPr>
          <w:rFonts w:eastAsia="Calibri"/>
        </w:rPr>
      </w:pPr>
      <w:r w:rsidRPr="00772C5F">
        <w:rPr>
          <w:rFonts w:eastAsia="Calibri"/>
        </w:rPr>
        <w:t>Dirección de Gestión Humana</w:t>
      </w:r>
    </w:p>
    <w:p w14:paraId="3C171BEE" w14:textId="7554BBCF" w:rsidR="005D270B" w:rsidRPr="00772C5F" w:rsidRDefault="005D270B" w:rsidP="00772C5F">
      <w:pPr>
        <w:ind w:left="708"/>
        <w:rPr>
          <w:rFonts w:eastAsia="Calibri"/>
        </w:rPr>
      </w:pPr>
      <w:r w:rsidRPr="00772C5F">
        <w:rPr>
          <w:rFonts w:eastAsia="Calibri"/>
        </w:rPr>
        <w:lastRenderedPageBreak/>
        <w:t>Dirección Jurídica</w:t>
      </w:r>
    </w:p>
    <w:p w14:paraId="1018F185" w14:textId="35BE618B" w:rsidR="005D270B" w:rsidRPr="00772C5F" w:rsidRDefault="005D270B" w:rsidP="00772C5F">
      <w:pPr>
        <w:ind w:left="708"/>
        <w:rPr>
          <w:rFonts w:eastAsia="Calibri"/>
        </w:rPr>
      </w:pPr>
      <w:r w:rsidRPr="00772C5F">
        <w:rPr>
          <w:rFonts w:eastAsia="Calibri"/>
        </w:rPr>
        <w:t>Dirección General del Organismo de Investigación Judicial</w:t>
      </w:r>
    </w:p>
    <w:p w14:paraId="2C64FCCA" w14:textId="162FA92F" w:rsidR="005D270B" w:rsidRPr="00772C5F" w:rsidRDefault="005D270B" w:rsidP="00772C5F">
      <w:pPr>
        <w:ind w:left="708"/>
        <w:rPr>
          <w:rFonts w:eastAsia="Calibri"/>
        </w:rPr>
      </w:pPr>
      <w:r w:rsidRPr="00772C5F">
        <w:rPr>
          <w:rFonts w:eastAsia="Calibri"/>
        </w:rPr>
        <w:t>Dirección de Tecnología de Información y Comunicaciones</w:t>
      </w:r>
    </w:p>
    <w:p w14:paraId="374C7051" w14:textId="1DF40CFB" w:rsidR="005D270B" w:rsidRPr="00772C5F" w:rsidRDefault="005D270B" w:rsidP="00772C5F">
      <w:pPr>
        <w:ind w:left="708"/>
        <w:rPr>
          <w:rFonts w:eastAsia="Calibri"/>
        </w:rPr>
      </w:pPr>
      <w:r w:rsidRPr="00772C5F">
        <w:rPr>
          <w:rFonts w:eastAsia="Calibri"/>
        </w:rPr>
        <w:t xml:space="preserve">Junta Administradora del Fondo de Jubilaciones y Pensiones </w:t>
      </w:r>
    </w:p>
    <w:p w14:paraId="5357046A" w14:textId="2446D86F" w:rsidR="009B7CA2" w:rsidRPr="00772C5F" w:rsidRDefault="009B7CA2" w:rsidP="00772C5F">
      <w:pPr>
        <w:ind w:left="708"/>
        <w:rPr>
          <w:rFonts w:eastAsia="Calibri"/>
        </w:rPr>
      </w:pPr>
      <w:r w:rsidRPr="00772C5F">
        <w:rPr>
          <w:rFonts w:eastAsia="Calibri"/>
        </w:rPr>
        <w:t>Servicio de Atención y Protección de Víctimas y Testigos</w:t>
      </w:r>
    </w:p>
    <w:p w14:paraId="792CD899" w14:textId="77777777" w:rsidR="009B7CA2" w:rsidRPr="00772C5F" w:rsidRDefault="009B7CA2" w:rsidP="00772C5F">
      <w:pPr>
        <w:ind w:left="708"/>
        <w:rPr>
          <w:rFonts w:eastAsia="Calibri"/>
        </w:rPr>
      </w:pPr>
      <w:r w:rsidRPr="00772C5F">
        <w:rPr>
          <w:rFonts w:eastAsia="Calibri"/>
        </w:rPr>
        <w:t xml:space="preserve">Auditoría Judicial </w:t>
      </w:r>
    </w:p>
    <w:p w14:paraId="2EB537DD" w14:textId="094E34BE" w:rsidR="009B7CA2" w:rsidRPr="00772C5F" w:rsidRDefault="009B7CA2" w:rsidP="00772C5F">
      <w:pPr>
        <w:ind w:left="708"/>
        <w:rPr>
          <w:rFonts w:eastAsia="Calibri"/>
        </w:rPr>
      </w:pPr>
      <w:r w:rsidRPr="00772C5F">
        <w:rPr>
          <w:rFonts w:eastAsia="Calibri"/>
        </w:rPr>
        <w:t>Oficina de Control Interno</w:t>
      </w:r>
    </w:p>
    <w:p w14:paraId="4906910D" w14:textId="2DE11F0D" w:rsidR="005D270B" w:rsidRPr="00772C5F" w:rsidRDefault="005D270B" w:rsidP="00772C5F">
      <w:pPr>
        <w:ind w:left="708"/>
        <w:rPr>
          <w:rFonts w:eastAsia="Calibri"/>
        </w:rPr>
      </w:pPr>
      <w:r w:rsidRPr="00772C5F">
        <w:rPr>
          <w:rFonts w:eastAsia="Calibri"/>
        </w:rPr>
        <w:t>Centro de Gestión de la Calidad</w:t>
      </w:r>
    </w:p>
    <w:p w14:paraId="7D841790" w14:textId="16818C26" w:rsidR="005D270B" w:rsidRPr="00772C5F" w:rsidRDefault="005D270B" w:rsidP="00772C5F">
      <w:pPr>
        <w:ind w:left="708"/>
        <w:rPr>
          <w:rFonts w:eastAsia="Calibri"/>
        </w:rPr>
      </w:pPr>
      <w:r w:rsidRPr="00772C5F">
        <w:rPr>
          <w:rFonts w:eastAsia="Calibri"/>
        </w:rPr>
        <w:t>Centro Electrónico de Información Jurisprudencial</w:t>
      </w:r>
    </w:p>
    <w:p w14:paraId="51C9DE9A" w14:textId="41018801" w:rsidR="005D270B" w:rsidRPr="00772C5F" w:rsidRDefault="005D270B" w:rsidP="00772C5F">
      <w:pPr>
        <w:ind w:left="708"/>
        <w:rPr>
          <w:rFonts w:eastAsia="Calibri"/>
        </w:rPr>
      </w:pPr>
      <w:r w:rsidRPr="00772C5F">
        <w:rPr>
          <w:rFonts w:eastAsia="Calibri"/>
        </w:rPr>
        <w:t>Centro de Conciliación del Poder Judicial</w:t>
      </w:r>
    </w:p>
    <w:p w14:paraId="2E557CFF" w14:textId="792FFCC8" w:rsidR="005D270B" w:rsidRPr="00772C5F" w:rsidRDefault="005D270B" w:rsidP="00772C5F">
      <w:pPr>
        <w:ind w:left="708"/>
        <w:rPr>
          <w:rFonts w:eastAsia="Calibri"/>
        </w:rPr>
      </w:pPr>
      <w:r w:rsidRPr="00772C5F">
        <w:rPr>
          <w:rFonts w:eastAsia="Calibri"/>
        </w:rPr>
        <w:t>Centro Judicial de Intervención de las Comunicaciones</w:t>
      </w:r>
    </w:p>
    <w:p w14:paraId="0F384E37" w14:textId="00074CF7" w:rsidR="005D270B" w:rsidRPr="00772C5F" w:rsidRDefault="005D270B" w:rsidP="00772C5F">
      <w:pPr>
        <w:ind w:left="708"/>
        <w:rPr>
          <w:rFonts w:eastAsia="Calibri"/>
        </w:rPr>
      </w:pPr>
      <w:r w:rsidRPr="00772C5F">
        <w:rPr>
          <w:rFonts w:eastAsia="Calibri"/>
        </w:rPr>
        <w:t>Centro de Apoyo Coordinación y Mejoramiento de la Función Jurisdiccional</w:t>
      </w:r>
    </w:p>
    <w:p w14:paraId="5E36738F" w14:textId="77777777" w:rsidR="009B7CA2" w:rsidRPr="00772C5F" w:rsidRDefault="009B7CA2" w:rsidP="00772C5F">
      <w:pPr>
        <w:ind w:left="708"/>
        <w:rPr>
          <w:rFonts w:eastAsia="Calibri"/>
        </w:rPr>
      </w:pPr>
      <w:r w:rsidRPr="00772C5F">
        <w:rPr>
          <w:rFonts w:eastAsia="Calibri"/>
        </w:rPr>
        <w:t xml:space="preserve">Departamento de Trabajo Social y Psicología, </w:t>
      </w:r>
    </w:p>
    <w:p w14:paraId="0A0222AA" w14:textId="0B0984C8" w:rsidR="009B7CA2" w:rsidRPr="00772C5F" w:rsidRDefault="009B7CA2" w:rsidP="00772C5F">
      <w:pPr>
        <w:ind w:left="708"/>
        <w:rPr>
          <w:rFonts w:eastAsia="Calibri"/>
        </w:rPr>
      </w:pPr>
      <w:r w:rsidRPr="00772C5F">
        <w:rPr>
          <w:rFonts w:eastAsia="Calibri"/>
        </w:rPr>
        <w:t>Departamento de Prensa y Comunicación Organizacional</w:t>
      </w:r>
    </w:p>
    <w:p w14:paraId="0EF88D88" w14:textId="7CBF01BE" w:rsidR="009B7CA2" w:rsidRPr="00772C5F" w:rsidRDefault="009B7CA2" w:rsidP="00772C5F">
      <w:pPr>
        <w:ind w:left="708"/>
        <w:rPr>
          <w:rFonts w:eastAsia="Calibri"/>
        </w:rPr>
      </w:pPr>
      <w:r w:rsidRPr="00772C5F">
        <w:rPr>
          <w:rFonts w:eastAsia="Calibri"/>
        </w:rPr>
        <w:t>Secretaría Técnica de Ética y Valores</w:t>
      </w:r>
    </w:p>
    <w:p w14:paraId="705A4F9A" w14:textId="5677F951" w:rsidR="009B7CA2" w:rsidRPr="00772C5F" w:rsidRDefault="009B7CA2" w:rsidP="00772C5F">
      <w:pPr>
        <w:ind w:left="708"/>
        <w:rPr>
          <w:rFonts w:eastAsia="Calibri"/>
        </w:rPr>
      </w:pPr>
      <w:r w:rsidRPr="00772C5F">
        <w:rPr>
          <w:rFonts w:eastAsia="Calibri"/>
        </w:rPr>
        <w:t>Secretaría Técnica de Género y Acceso a la Justicia</w:t>
      </w:r>
    </w:p>
    <w:p w14:paraId="53ACC5CC" w14:textId="66675062" w:rsidR="009B7CA2" w:rsidRPr="00772C5F" w:rsidRDefault="009B7CA2" w:rsidP="00772C5F">
      <w:pPr>
        <w:ind w:left="708"/>
        <w:rPr>
          <w:rFonts w:eastAsia="Calibri"/>
        </w:rPr>
      </w:pPr>
      <w:r w:rsidRPr="00772C5F">
        <w:rPr>
          <w:rFonts w:eastAsia="Calibri"/>
        </w:rPr>
        <w:t>Unidad de Monitoreo y Apoyo a la Gestión de Fiscalías</w:t>
      </w:r>
    </w:p>
    <w:p w14:paraId="01F8CBB1" w14:textId="2483A5A8" w:rsidR="009B7CA2" w:rsidRPr="00772C5F" w:rsidRDefault="009B7CA2" w:rsidP="00772C5F">
      <w:pPr>
        <w:ind w:left="708"/>
        <w:rPr>
          <w:rFonts w:eastAsia="Calibri"/>
          <w:lang w:eastAsia="es-ES"/>
        </w:rPr>
      </w:pPr>
      <w:r w:rsidRPr="00772C5F">
        <w:t>Subproceso de Evaluación</w:t>
      </w:r>
    </w:p>
    <w:p w14:paraId="2CA7AC81" w14:textId="67C68158" w:rsidR="00772C5F" w:rsidRPr="00772C5F" w:rsidRDefault="00772C5F" w:rsidP="00772C5F">
      <w:pPr>
        <w:ind w:left="708"/>
      </w:pPr>
      <w:r w:rsidRPr="00772C5F">
        <w:t>Consejo de Administración del Primer Circuito Judicial de San Jos</w:t>
      </w:r>
      <w:r w:rsidRPr="00772C5F">
        <w:t>é</w:t>
      </w:r>
    </w:p>
    <w:p w14:paraId="37918F94" w14:textId="77777777" w:rsidR="00772C5F" w:rsidRPr="00772C5F" w:rsidRDefault="00772C5F" w:rsidP="00772C5F">
      <w:pPr>
        <w:ind w:left="708"/>
      </w:pPr>
      <w:r w:rsidRPr="00772C5F">
        <w:t xml:space="preserve">Consejo de Administración del Segundo Circuito Judicial de San José </w:t>
      </w:r>
    </w:p>
    <w:p w14:paraId="663DFBE0" w14:textId="77777777" w:rsidR="00772C5F" w:rsidRPr="00772C5F" w:rsidRDefault="00772C5F" w:rsidP="00772C5F">
      <w:pPr>
        <w:ind w:left="708"/>
      </w:pPr>
      <w:r w:rsidRPr="00772C5F">
        <w:t xml:space="preserve">Consejo de Administración de Alajuela </w:t>
      </w:r>
    </w:p>
    <w:p w14:paraId="72F4BBC7" w14:textId="77777777" w:rsidR="00772C5F" w:rsidRPr="00772C5F" w:rsidRDefault="00772C5F" w:rsidP="00772C5F">
      <w:pPr>
        <w:ind w:left="708"/>
      </w:pPr>
      <w:r w:rsidRPr="00772C5F">
        <w:t xml:space="preserve">Consejo de Administración de Circuito Pérez Zeledón </w:t>
      </w:r>
    </w:p>
    <w:p w14:paraId="31D4C7B7" w14:textId="77777777" w:rsidR="00772C5F" w:rsidRPr="00772C5F" w:rsidRDefault="00772C5F" w:rsidP="00772C5F">
      <w:pPr>
        <w:ind w:left="708"/>
      </w:pPr>
      <w:r w:rsidRPr="00772C5F">
        <w:t xml:space="preserve">Consejo de Administración de Liberia </w:t>
      </w:r>
    </w:p>
    <w:p w14:paraId="4AFE8C39" w14:textId="77777777" w:rsidR="00772C5F" w:rsidRPr="00772C5F" w:rsidRDefault="00772C5F" w:rsidP="00772C5F">
      <w:pPr>
        <w:ind w:left="708"/>
      </w:pPr>
      <w:r w:rsidRPr="00772C5F">
        <w:t xml:space="preserve">Consejo de Administración de Pococí </w:t>
      </w:r>
    </w:p>
    <w:p w14:paraId="22565142" w14:textId="3586E026" w:rsidR="00772C5F" w:rsidRPr="00772C5F" w:rsidRDefault="00772C5F" w:rsidP="00772C5F">
      <w:pPr>
        <w:ind w:left="708"/>
      </w:pPr>
      <w:r w:rsidRPr="00772C5F">
        <w:t xml:space="preserve">Consejo de </w:t>
      </w:r>
      <w:r w:rsidRPr="00772C5F">
        <w:t>Administración</w:t>
      </w:r>
      <w:r w:rsidRPr="00772C5F">
        <w:t xml:space="preserve"> de San Carlos</w:t>
      </w:r>
    </w:p>
    <w:p w14:paraId="64780FB1" w14:textId="77777777" w:rsidR="00772C5F" w:rsidRPr="00772C5F" w:rsidRDefault="00772C5F" w:rsidP="00772C5F">
      <w:pPr>
        <w:ind w:left="708"/>
      </w:pPr>
      <w:r w:rsidRPr="00772C5F">
        <w:t xml:space="preserve">Consejo de Administración de San Ramón </w:t>
      </w:r>
    </w:p>
    <w:p w14:paraId="6CFED469" w14:textId="77777777" w:rsidR="00772C5F" w:rsidRPr="00772C5F" w:rsidRDefault="00772C5F" w:rsidP="00772C5F">
      <w:pPr>
        <w:ind w:left="708"/>
      </w:pPr>
      <w:r w:rsidRPr="00772C5F">
        <w:t xml:space="preserve">Consejo de Administración del Circuito de Puntarenas </w:t>
      </w:r>
    </w:p>
    <w:p w14:paraId="0727BB8E" w14:textId="69A7C32F" w:rsidR="00772C5F" w:rsidRPr="00772C5F" w:rsidRDefault="00772C5F" w:rsidP="00772C5F">
      <w:pPr>
        <w:ind w:left="708"/>
      </w:pPr>
      <w:r w:rsidRPr="00772C5F">
        <w:t xml:space="preserve">Consejo de </w:t>
      </w:r>
      <w:r w:rsidRPr="00772C5F">
        <w:t>Administración</w:t>
      </w:r>
      <w:r w:rsidRPr="00772C5F">
        <w:t xml:space="preserve"> del Primer Judicial de Circuito de Limon </w:t>
      </w:r>
    </w:p>
    <w:p w14:paraId="1A52F05C" w14:textId="77777777" w:rsidR="00772C5F" w:rsidRPr="00772C5F" w:rsidRDefault="00772C5F" w:rsidP="00772C5F">
      <w:pPr>
        <w:ind w:left="708"/>
      </w:pPr>
      <w:r w:rsidRPr="00772C5F">
        <w:t>Consejo de Administración Golfito</w:t>
      </w:r>
    </w:p>
    <w:p w14:paraId="7ADBAE9E" w14:textId="77777777" w:rsidR="00772C5F" w:rsidRPr="00772C5F" w:rsidRDefault="00772C5F" w:rsidP="00772C5F">
      <w:pPr>
        <w:ind w:left="708"/>
      </w:pPr>
      <w:r w:rsidRPr="00772C5F">
        <w:t xml:space="preserve">Consejo de Administración Osa </w:t>
      </w:r>
    </w:p>
    <w:p w14:paraId="58C6E240" w14:textId="343B374C" w:rsidR="00772C5F" w:rsidRPr="00772C5F" w:rsidRDefault="00772C5F" w:rsidP="00772C5F">
      <w:pPr>
        <w:ind w:left="708"/>
      </w:pPr>
      <w:r w:rsidRPr="00772C5F">
        <w:t xml:space="preserve">Consejo de </w:t>
      </w:r>
      <w:r w:rsidRPr="00772C5F">
        <w:t>Administración</w:t>
      </w:r>
      <w:r w:rsidRPr="00772C5F">
        <w:t xml:space="preserve"> Turrialba</w:t>
      </w:r>
    </w:p>
    <w:p w14:paraId="60E29F05" w14:textId="2C3E158E" w:rsidR="00772C5F" w:rsidRPr="00772C5F" w:rsidRDefault="00772C5F" w:rsidP="00772C5F">
      <w:pPr>
        <w:ind w:left="708"/>
      </w:pPr>
      <w:r w:rsidRPr="00772C5F">
        <w:t xml:space="preserve">Consejo </w:t>
      </w:r>
      <w:r w:rsidRPr="00772C5F">
        <w:t>Administración</w:t>
      </w:r>
      <w:r w:rsidRPr="00772C5F">
        <w:t xml:space="preserve"> de Grecia </w:t>
      </w:r>
    </w:p>
    <w:p w14:paraId="70FB60A0" w14:textId="4F80A089" w:rsidR="00772C5F" w:rsidRPr="00772C5F" w:rsidRDefault="00772C5F" w:rsidP="00772C5F">
      <w:pPr>
        <w:ind w:left="708"/>
      </w:pPr>
      <w:r w:rsidRPr="00772C5F">
        <w:t xml:space="preserve">Consejo </w:t>
      </w:r>
      <w:r w:rsidRPr="00772C5F">
        <w:t>Administración</w:t>
      </w:r>
      <w:r w:rsidRPr="00772C5F">
        <w:t xml:space="preserve"> de Sarapiquí  </w:t>
      </w:r>
    </w:p>
    <w:p w14:paraId="11246817" w14:textId="77777777" w:rsidR="00772C5F" w:rsidRPr="00772C5F" w:rsidRDefault="00772C5F" w:rsidP="00772C5F">
      <w:pPr>
        <w:ind w:left="708"/>
      </w:pPr>
      <w:r w:rsidRPr="00772C5F">
        <w:t>Administración Regional de Osa </w:t>
      </w:r>
    </w:p>
    <w:p w14:paraId="3CB9E54A" w14:textId="77777777" w:rsidR="00772C5F" w:rsidRPr="00772C5F" w:rsidRDefault="00772C5F" w:rsidP="00772C5F">
      <w:pPr>
        <w:ind w:left="708"/>
      </w:pPr>
      <w:r w:rsidRPr="00772C5F">
        <w:t>Administración Regional de Grecia </w:t>
      </w:r>
    </w:p>
    <w:p w14:paraId="429E24CB" w14:textId="77777777" w:rsidR="00772C5F" w:rsidRPr="00772C5F" w:rsidRDefault="00772C5F" w:rsidP="00772C5F">
      <w:pPr>
        <w:ind w:left="708"/>
      </w:pPr>
      <w:r w:rsidRPr="00772C5F">
        <w:t>Administración Regional de Golfito </w:t>
      </w:r>
    </w:p>
    <w:p w14:paraId="47F66294" w14:textId="77777777" w:rsidR="00772C5F" w:rsidRPr="00772C5F" w:rsidRDefault="00772C5F" w:rsidP="00772C5F">
      <w:pPr>
        <w:ind w:left="708"/>
      </w:pPr>
      <w:r w:rsidRPr="00772C5F">
        <w:t>Administración Regional de Cartago </w:t>
      </w:r>
    </w:p>
    <w:p w14:paraId="523091A5" w14:textId="77777777" w:rsidR="00772C5F" w:rsidRPr="00772C5F" w:rsidRDefault="00772C5F" w:rsidP="00772C5F">
      <w:pPr>
        <w:ind w:left="708"/>
      </w:pPr>
      <w:r w:rsidRPr="00772C5F">
        <w:t>Administración Regional de Turrialba </w:t>
      </w:r>
    </w:p>
    <w:p w14:paraId="2C504487" w14:textId="77777777" w:rsidR="00772C5F" w:rsidRPr="00772C5F" w:rsidRDefault="00772C5F" w:rsidP="00772C5F">
      <w:pPr>
        <w:ind w:left="708"/>
      </w:pPr>
      <w:r w:rsidRPr="00772C5F">
        <w:t>Administración Regional de Heredia </w:t>
      </w:r>
    </w:p>
    <w:p w14:paraId="1E61C3DD" w14:textId="77777777" w:rsidR="00772C5F" w:rsidRPr="00772C5F" w:rsidRDefault="00772C5F" w:rsidP="00772C5F">
      <w:pPr>
        <w:ind w:left="708"/>
      </w:pPr>
      <w:r w:rsidRPr="00772C5F">
        <w:t>Administración Regional de Puntarenas </w:t>
      </w:r>
    </w:p>
    <w:p w14:paraId="27A3C071" w14:textId="77777777" w:rsidR="00772C5F" w:rsidRPr="00772C5F" w:rsidRDefault="00772C5F" w:rsidP="00772C5F">
      <w:pPr>
        <w:ind w:left="708"/>
      </w:pPr>
      <w:r w:rsidRPr="00772C5F">
        <w:t>Administración Regional de Sarapiquí </w:t>
      </w:r>
    </w:p>
    <w:p w14:paraId="501A69A5" w14:textId="77777777" w:rsidR="00772C5F" w:rsidRPr="00772C5F" w:rsidRDefault="00772C5F" w:rsidP="00772C5F">
      <w:pPr>
        <w:ind w:left="708"/>
      </w:pPr>
      <w:r w:rsidRPr="00772C5F">
        <w:lastRenderedPageBreak/>
        <w:t>Administración Regional de Quepos (Aguirre y Parrita) </w:t>
      </w:r>
    </w:p>
    <w:p w14:paraId="2053BA6E" w14:textId="77777777" w:rsidR="00772C5F" w:rsidRPr="00772C5F" w:rsidRDefault="00772C5F" w:rsidP="00772C5F">
      <w:pPr>
        <w:ind w:left="708"/>
      </w:pPr>
      <w:r w:rsidRPr="00772C5F">
        <w:t>Administración Primer y Tercer Circuito Judicial de San José </w:t>
      </w:r>
    </w:p>
    <w:p w14:paraId="4723DF7C" w14:textId="77777777" w:rsidR="00772C5F" w:rsidRPr="00772C5F" w:rsidRDefault="00772C5F" w:rsidP="00772C5F">
      <w:pPr>
        <w:ind w:left="708"/>
      </w:pPr>
      <w:r w:rsidRPr="00772C5F">
        <w:t>Administración Segundo Circuito Judicial San José </w:t>
      </w:r>
    </w:p>
    <w:p w14:paraId="46416380" w14:textId="77777777" w:rsidR="00772C5F" w:rsidRPr="00772C5F" w:rsidRDefault="00772C5F" w:rsidP="00772C5F">
      <w:pPr>
        <w:ind w:left="708"/>
      </w:pPr>
      <w:r w:rsidRPr="00772C5F">
        <w:t>Administración Regional Ciudad Judicial de San Joaquín de Flores </w:t>
      </w:r>
    </w:p>
    <w:p w14:paraId="5592FBF7" w14:textId="77777777" w:rsidR="00772C5F" w:rsidRPr="00772C5F" w:rsidRDefault="00772C5F" w:rsidP="00772C5F">
      <w:pPr>
        <w:ind w:left="708"/>
      </w:pPr>
      <w:r w:rsidRPr="00772C5F">
        <w:t>Administración Regional del Primer Circuito Judicial Alajuela </w:t>
      </w:r>
    </w:p>
    <w:p w14:paraId="02D9241A" w14:textId="77777777" w:rsidR="00772C5F" w:rsidRPr="00772C5F" w:rsidRDefault="00772C5F" w:rsidP="00772C5F">
      <w:pPr>
        <w:ind w:left="708"/>
      </w:pPr>
      <w:r w:rsidRPr="00772C5F">
        <w:t>Administración Regional del Segundo Circuito Judicial de Alajuela (San Carlos) </w:t>
      </w:r>
    </w:p>
    <w:p w14:paraId="5F4AA61A" w14:textId="77777777" w:rsidR="00772C5F" w:rsidRPr="00772C5F" w:rsidRDefault="00772C5F" w:rsidP="00772C5F">
      <w:pPr>
        <w:ind w:left="708"/>
      </w:pPr>
      <w:r w:rsidRPr="00772C5F">
        <w:t>Administración Regional del Tercer Circuito Judicial de Alajuela (San Ramón) </w:t>
      </w:r>
    </w:p>
    <w:p w14:paraId="4DD3172D" w14:textId="77777777" w:rsidR="00772C5F" w:rsidRPr="00772C5F" w:rsidRDefault="00772C5F" w:rsidP="00772C5F">
      <w:pPr>
        <w:ind w:left="708"/>
      </w:pPr>
      <w:r w:rsidRPr="00772C5F">
        <w:t>Administración Regional del Primer Circuito Judicial Zona Sur (Pérez Zeledón) </w:t>
      </w:r>
    </w:p>
    <w:p w14:paraId="362D0120" w14:textId="77777777" w:rsidR="00772C5F" w:rsidRPr="00772C5F" w:rsidRDefault="00772C5F" w:rsidP="00772C5F">
      <w:pPr>
        <w:ind w:left="708"/>
      </w:pPr>
      <w:r w:rsidRPr="00772C5F">
        <w:t>Administración Regional del Segundo Circuito Judicial de la Zona Sur (Corredores) </w:t>
      </w:r>
    </w:p>
    <w:p w14:paraId="7790F20D" w14:textId="77777777" w:rsidR="00772C5F" w:rsidRPr="00772C5F" w:rsidRDefault="00772C5F" w:rsidP="00772C5F">
      <w:pPr>
        <w:ind w:left="708"/>
      </w:pPr>
      <w:r w:rsidRPr="00772C5F">
        <w:t>Administración Regional del Primer Circuito Judicial Zona Atlántica (Limón) </w:t>
      </w:r>
    </w:p>
    <w:p w14:paraId="0EA2DD3A" w14:textId="77777777" w:rsidR="00772C5F" w:rsidRPr="00772C5F" w:rsidRDefault="00772C5F" w:rsidP="00772C5F">
      <w:pPr>
        <w:ind w:left="708"/>
      </w:pPr>
      <w:r w:rsidRPr="00772C5F">
        <w:t>Administración Regional del Segundo Circuito Judicial Zona Atlántica (Pococí / Guápiles) </w:t>
      </w:r>
    </w:p>
    <w:p w14:paraId="190DC154" w14:textId="77777777" w:rsidR="00772C5F" w:rsidRPr="00772C5F" w:rsidRDefault="00772C5F" w:rsidP="00772C5F">
      <w:pPr>
        <w:ind w:left="708"/>
      </w:pPr>
      <w:r w:rsidRPr="00772C5F">
        <w:t>Administración Regional del Primer Circuito Judicial Guanacaste (Liberia) </w:t>
      </w:r>
    </w:p>
    <w:p w14:paraId="3FBE8364" w14:textId="77777777" w:rsidR="00772C5F" w:rsidRPr="00772C5F" w:rsidRDefault="00772C5F" w:rsidP="00772C5F">
      <w:pPr>
        <w:ind w:left="708"/>
      </w:pPr>
      <w:r w:rsidRPr="00772C5F">
        <w:t>Administración Regional del Segundo Circuito Judicial de Guanacaste (Nicoya) </w:t>
      </w:r>
    </w:p>
    <w:p w14:paraId="0AC35EEF" w14:textId="77777777" w:rsidR="00772C5F" w:rsidRPr="00772C5F" w:rsidRDefault="00772C5F" w:rsidP="00772C5F">
      <w:pPr>
        <w:ind w:left="708"/>
      </w:pPr>
      <w:r w:rsidRPr="00772C5F">
        <w:t>Administración Regional del Segundo Circuito Judicial de Guanacaste, sede Santa Cruz </w:t>
      </w:r>
    </w:p>
    <w:p w14:paraId="298D8CEC" w14:textId="16EA47F1" w:rsidR="00772C5F" w:rsidRPr="00772C5F" w:rsidRDefault="00772C5F" w:rsidP="00772C5F">
      <w:pPr>
        <w:ind w:left="708"/>
        <w:rPr>
          <w:rFonts w:eastAsia="Calibri"/>
          <w:lang w:eastAsia="es-CR"/>
        </w:rPr>
      </w:pPr>
      <w:bookmarkStart w:id="10" w:name="_Hlk126913170"/>
      <w:r w:rsidRPr="00772C5F">
        <w:t>Administración Regional de Coto Brus</w:t>
      </w:r>
      <w:bookmarkEnd w:id="10"/>
    </w:p>
    <w:p w14:paraId="3BB8113E" w14:textId="40AB048A" w:rsidR="005D270B" w:rsidRPr="00772C5F" w:rsidRDefault="005D270B" w:rsidP="00772C5F">
      <w:pPr>
        <w:ind w:left="708"/>
        <w:rPr>
          <w:rFonts w:eastAsia="Calibri"/>
        </w:rPr>
      </w:pPr>
      <w:r w:rsidRPr="00772C5F">
        <w:rPr>
          <w:rFonts w:eastAsia="Calibri"/>
        </w:rPr>
        <w:t>Contraloría de Servicios del Poder Judicial</w:t>
      </w:r>
    </w:p>
    <w:p w14:paraId="5A4587E6" w14:textId="4B442D75" w:rsidR="005D270B" w:rsidRDefault="005D270B" w:rsidP="00772C5F">
      <w:pPr>
        <w:ind w:left="708"/>
      </w:pPr>
      <w:r w:rsidRPr="00772C5F">
        <w:t xml:space="preserve">Magistrado Orlando Aguirre Gómez, </w:t>
      </w:r>
      <w:r w:rsidR="009B7CA2" w:rsidRPr="00772C5F">
        <w:t>p</w:t>
      </w:r>
      <w:r w:rsidRPr="00772C5F">
        <w:t>residente de la Corte Suprema de Justicia</w:t>
      </w:r>
    </w:p>
    <w:p w14:paraId="4399C935" w14:textId="52ACBE87" w:rsidR="00B45FDB" w:rsidRPr="00772C5F" w:rsidRDefault="00B45FDB" w:rsidP="00772C5F">
      <w:pPr>
        <w:ind w:left="708"/>
        <w:rPr>
          <w:rFonts w:eastAsia="Calibri"/>
          <w:lang w:eastAsia="es-ES"/>
        </w:rPr>
      </w:pPr>
      <w:r>
        <w:t xml:space="preserve">Encargado de Circulares de la </w:t>
      </w:r>
      <w:proofErr w:type="gramStart"/>
      <w:r>
        <w:t>Secretaria General</w:t>
      </w:r>
      <w:proofErr w:type="gramEnd"/>
      <w:r>
        <w:t xml:space="preserve"> de la Corte</w:t>
      </w:r>
    </w:p>
    <w:p w14:paraId="0B7B2DDB" w14:textId="1379228E" w:rsidR="0029216A" w:rsidRPr="00203245" w:rsidRDefault="0029216A" w:rsidP="00772C5F">
      <w:pPr>
        <w:ind w:left="708"/>
        <w:jc w:val="both"/>
      </w:pPr>
      <w:r w:rsidRPr="00203245">
        <w:t>Diligencias / Refs: (</w:t>
      </w:r>
      <w:r w:rsidR="00203245" w:rsidRPr="00203245">
        <w:rPr>
          <w:b/>
          <w:lang w:val="es-CR"/>
        </w:rPr>
        <w:t>13745-2025</w:t>
      </w:r>
      <w:r w:rsidRPr="00203245">
        <w:t>)</w:t>
      </w:r>
    </w:p>
    <w:p w14:paraId="44EB5DEE" w14:textId="4F397950" w:rsidR="009F45D2" w:rsidRPr="00203245" w:rsidRDefault="00E74E41" w:rsidP="00772C5F">
      <w:pPr>
        <w:ind w:left="708"/>
        <w:jc w:val="both"/>
        <w:rPr>
          <w:b/>
          <w:shd w:val="clear" w:color="auto" w:fill="FFFFFF"/>
          <w:lang w:val="es-ES_tradnl"/>
        </w:rPr>
      </w:pPr>
      <w:r w:rsidRPr="00203245">
        <w:rPr>
          <w:b/>
          <w:shd w:val="clear" w:color="auto" w:fill="FFFFFF"/>
          <w:lang w:val="es-ES_tradnl"/>
        </w:rPr>
        <w:t>ediazo</w:t>
      </w:r>
    </w:p>
    <w:sectPr w:rsidR="009F45D2" w:rsidRPr="00203245" w:rsidSect="0076485E">
      <w:headerReference w:type="even" r:id="rId10"/>
      <w:headerReference w:type="default" r:id="rId11"/>
      <w:footerReference w:type="even" r:id="rId12"/>
      <w:footerReference w:type="default" r:id="rId13"/>
      <w:headerReference w:type="first" r:id="rId14"/>
      <w:footerReference w:type="first" r:id="rId15"/>
      <w:footnotePr>
        <w:pos w:val="beneathText"/>
      </w:footnotePr>
      <w:pgSz w:w="12240" w:h="15840"/>
      <w:pgMar w:top="2372" w:right="1418" w:bottom="2126"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A3B9" w14:textId="77777777" w:rsidR="003B017E" w:rsidRDefault="003B017E">
      <w:r>
        <w:separator/>
      </w:r>
    </w:p>
  </w:endnote>
  <w:endnote w:type="continuationSeparator" w:id="0">
    <w:p w14:paraId="0DB38196" w14:textId="77777777" w:rsidR="003B017E" w:rsidRDefault="003B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arSymbol">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altName w:val="DejaVu Serif"/>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C579" w14:textId="77777777" w:rsidR="00895F92" w:rsidRDefault="00895F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7FFB"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 xml:space="preserve">Teléfonos: </w:t>
    </w:r>
    <w:r w:rsidR="00895F92">
      <w:rPr>
        <w:rFonts w:ascii="Times New Roman" w:hAnsi="Times New Roman" w:cs="Times New Roman"/>
        <w:b/>
        <w:sz w:val="16"/>
        <w:szCs w:val="16"/>
        <w:u w:val="none"/>
        <w:lang w:val="es-ES_tradnl"/>
      </w:rPr>
      <w:t>2295-3</w:t>
    </w:r>
    <w:r w:rsidR="00CF3853">
      <w:rPr>
        <w:rFonts w:ascii="Times New Roman" w:hAnsi="Times New Roman" w:cs="Times New Roman"/>
        <w:b/>
        <w:sz w:val="16"/>
        <w:szCs w:val="16"/>
        <w:u w:val="none"/>
        <w:lang w:val="es-ES_tradnl"/>
      </w:rPr>
      <w:t>845</w:t>
    </w:r>
    <w:r w:rsidR="00895F92">
      <w:rPr>
        <w:rFonts w:ascii="Times New Roman" w:hAnsi="Times New Roman" w:cs="Times New Roman"/>
        <w:b/>
        <w:sz w:val="16"/>
        <w:szCs w:val="16"/>
        <w:u w:val="none"/>
        <w:lang w:val="es-ES_tradnl"/>
      </w:rPr>
      <w:t xml:space="preserve"> //</w:t>
    </w:r>
    <w:r>
      <w:rPr>
        <w:rFonts w:ascii="Times New Roman" w:hAnsi="Times New Roman" w:cs="Times New Roman"/>
        <w:b/>
        <w:sz w:val="16"/>
        <w:szCs w:val="16"/>
        <w:u w:val="none"/>
        <w:lang w:val="es-ES_tradnl"/>
      </w:rPr>
      <w:t xml:space="preserve"> 2295-3711</w:t>
    </w:r>
    <w:r>
      <w:rPr>
        <w:rFonts w:ascii="Times New Roman" w:hAnsi="Times New Roman" w:cs="Times New Roman"/>
        <w:b/>
        <w:sz w:val="16"/>
        <w:szCs w:val="16"/>
        <w:u w:val="none"/>
        <w:lang w:val="es-ES_tradnl"/>
      </w:rPr>
      <w:tab/>
      <w:t xml:space="preserve"> Correo: </w:t>
    </w:r>
    <w:hyperlink r:id="rId1" w:history="1">
      <w:r>
        <w:rPr>
          <w:rStyle w:val="Hipervnculo"/>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w:t>
    </w:r>
    <w:proofErr w:type="spellStart"/>
    <w:r>
      <w:rPr>
        <w:rFonts w:ascii="Times New Roman" w:hAnsi="Times New Roman" w:cs="Times New Roman"/>
        <w:b/>
        <w:sz w:val="16"/>
        <w:szCs w:val="16"/>
        <w:u w:val="none"/>
        <w:lang w:val="es-ES_tradnl"/>
      </w:rPr>
      <w:t>Apdo</w:t>
    </w:r>
    <w:proofErr w:type="spellEnd"/>
    <w:r>
      <w:rPr>
        <w:rFonts w:ascii="Times New Roman" w:hAnsi="Times New Roman" w:cs="Times New Roman"/>
        <w:b/>
        <w:sz w:val="16"/>
        <w:szCs w:val="16"/>
        <w:u w:val="none"/>
        <w:lang w:val="es-ES_tradnl"/>
      </w:rPr>
      <w:t>: 1-1003 San José</w:t>
    </w:r>
  </w:p>
  <w:p w14:paraId="7694B644"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42215919" w14:textId="77777777" w:rsidR="00186ADE" w:rsidRDefault="00EF6FF8">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9C666D">
      <w:rPr>
        <w:b/>
        <w:noProof/>
        <w:sz w:val="16"/>
        <w:szCs w:val="16"/>
        <w:lang w:val="es-CR"/>
      </w:rPr>
      <w:t>1</w:t>
    </w:r>
    <w:r>
      <w:rPr>
        <w:b/>
        <w:sz w:val="16"/>
        <w:szCs w:val="16"/>
        <w:lang w:val="es-C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CC7E" w14:textId="77777777" w:rsidR="00895F92" w:rsidRDefault="00895F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74DDB" w14:textId="77777777" w:rsidR="003B017E" w:rsidRDefault="003B017E">
      <w:r>
        <w:separator/>
      </w:r>
    </w:p>
  </w:footnote>
  <w:footnote w:type="continuationSeparator" w:id="0">
    <w:p w14:paraId="211DDD9D" w14:textId="77777777" w:rsidR="003B017E" w:rsidRDefault="003B0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893F" w14:textId="77777777" w:rsidR="00895F92" w:rsidRDefault="00895F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4DA1" w14:textId="0B7B439A" w:rsidR="00186ADE" w:rsidRDefault="000625B4">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056DDC23" wp14:editId="03631723">
              <wp:simplePos x="0" y="0"/>
              <wp:positionH relativeFrom="column">
                <wp:posOffset>0</wp:posOffset>
              </wp:positionH>
              <wp:positionV relativeFrom="paragraph">
                <wp:posOffset>-358140</wp:posOffset>
              </wp:positionV>
              <wp:extent cx="615315" cy="662940"/>
              <wp:effectExtent l="0" t="3810" r="0" b="0"/>
              <wp:wrapNone/>
              <wp:docPr id="21089617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2E5C2" w14:textId="77777777" w:rsidR="00186ADE" w:rsidRDefault="00621217" w:rsidP="00186ADE">
                          <w:pPr>
                            <w:ind w:right="3"/>
                          </w:pPr>
                          <w:r>
                            <w:rPr>
                              <w:noProof/>
                              <w:lang w:eastAsia="es-ES"/>
                            </w:rPr>
                            <w:drawing>
                              <wp:inline distT="0" distB="0" distL="0" distR="0" wp14:anchorId="3C707F0A" wp14:editId="42C663F8">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DDC23" id="_x0000_t202" coordsize="21600,21600" o:spt="202" path="m,l,21600r21600,l21600,xe">
              <v:stroke joinstyle="miter"/>
              <v:path gradientshapeok="t" o:connecttype="rect"/>
            </v:shapetype>
            <v:shape id="Text Box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" stroked="f">
              <v:textbox style="mso-fit-shape-to-text:t" inset="0,0,0,0">
                <w:txbxContent>
                  <w:p w14:paraId="62A2E5C2" w14:textId="77777777" w:rsidR="00186ADE" w:rsidRDefault="00621217" w:rsidP="00186ADE">
                    <w:pPr>
                      <w:ind w:right="3"/>
                    </w:pPr>
                    <w:r>
                      <w:rPr>
                        <w:noProof/>
                        <w:lang w:eastAsia="es-ES"/>
                      </w:rPr>
                      <w:drawing>
                        <wp:inline distT="0" distB="0" distL="0" distR="0" wp14:anchorId="3C707F0A" wp14:editId="42C663F8">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1203DAE7" w14:textId="77777777" w:rsidR="00186ADE" w:rsidRDefault="00186ADE">
    <w:pPr>
      <w:rPr>
        <w:b/>
        <w:bCs/>
        <w:i/>
        <w:iCs/>
        <w:lang w:val="es-ES_tradnl"/>
      </w:rPr>
    </w:pPr>
    <w:r>
      <w:rPr>
        <w:b/>
        <w:bCs/>
        <w:i/>
        <w:iCs/>
        <w:lang w:val="es-ES_tradnl"/>
      </w:rPr>
      <w:t xml:space="preserve">                           Secretaría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EA08" w14:textId="77777777" w:rsidR="00895F92" w:rsidRDefault="00895F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2BB6531"/>
    <w:multiLevelType w:val="hybridMultilevel"/>
    <w:tmpl w:val="096CE98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7F04BA"/>
    <w:multiLevelType w:val="hybridMultilevel"/>
    <w:tmpl w:val="128E3B7E"/>
    <w:lvl w:ilvl="0" w:tplc="3C668CB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6564F04"/>
    <w:multiLevelType w:val="hybridMultilevel"/>
    <w:tmpl w:val="28BC39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66F7BCB"/>
    <w:multiLevelType w:val="hybridMultilevel"/>
    <w:tmpl w:val="4FF627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9E14D7"/>
    <w:multiLevelType w:val="hybridMultilevel"/>
    <w:tmpl w:val="1EFAE6E0"/>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1" w15:restartNumberingAfterBreak="0">
    <w:nsid w:val="07F74430"/>
    <w:multiLevelType w:val="hybridMultilevel"/>
    <w:tmpl w:val="F52E800E"/>
    <w:lvl w:ilvl="0" w:tplc="12B4D714">
      <w:start w:val="1"/>
      <w:numFmt w:val="decimal"/>
      <w:lvlText w:val="%1."/>
      <w:lvlJc w:val="left"/>
      <w:pPr>
        <w:ind w:left="720" w:hanging="360"/>
      </w:pPr>
    </w:lvl>
    <w:lvl w:ilvl="1" w:tplc="2028EB52">
      <w:start w:val="19"/>
      <w:numFmt w:val="bullet"/>
      <w:lvlText w:val="-"/>
      <w:lvlJc w:val="left"/>
      <w:pPr>
        <w:tabs>
          <w:tab w:val="num" w:pos="1742"/>
        </w:tabs>
        <w:ind w:left="1742" w:hanging="360"/>
      </w:pPr>
      <w:rPr>
        <w:rFonts w:ascii="Times New Roman" w:eastAsia="Times New Roman" w:hAnsi="Times New Roman" w:cs="Times New Roman" w:hint="default"/>
      </w:rPr>
    </w:lvl>
    <w:lvl w:ilvl="2" w:tplc="0C0A001B" w:tentative="1">
      <w:start w:val="1"/>
      <w:numFmt w:val="lowerRoman"/>
      <w:lvlText w:val="%3."/>
      <w:lvlJc w:val="right"/>
      <w:pPr>
        <w:tabs>
          <w:tab w:val="num" w:pos="2462"/>
        </w:tabs>
        <w:ind w:left="2462" w:hanging="180"/>
      </w:pPr>
    </w:lvl>
    <w:lvl w:ilvl="3" w:tplc="0C0A000F" w:tentative="1">
      <w:start w:val="1"/>
      <w:numFmt w:val="decimal"/>
      <w:lvlText w:val="%4."/>
      <w:lvlJc w:val="left"/>
      <w:pPr>
        <w:tabs>
          <w:tab w:val="num" w:pos="3182"/>
        </w:tabs>
        <w:ind w:left="3182" w:hanging="360"/>
      </w:pPr>
    </w:lvl>
    <w:lvl w:ilvl="4" w:tplc="0C0A0019" w:tentative="1">
      <w:start w:val="1"/>
      <w:numFmt w:val="lowerLetter"/>
      <w:lvlText w:val="%5."/>
      <w:lvlJc w:val="left"/>
      <w:pPr>
        <w:tabs>
          <w:tab w:val="num" w:pos="3902"/>
        </w:tabs>
        <w:ind w:left="3902" w:hanging="360"/>
      </w:pPr>
    </w:lvl>
    <w:lvl w:ilvl="5" w:tplc="0C0A001B" w:tentative="1">
      <w:start w:val="1"/>
      <w:numFmt w:val="lowerRoman"/>
      <w:lvlText w:val="%6."/>
      <w:lvlJc w:val="right"/>
      <w:pPr>
        <w:tabs>
          <w:tab w:val="num" w:pos="4622"/>
        </w:tabs>
        <w:ind w:left="4622" w:hanging="180"/>
      </w:pPr>
    </w:lvl>
    <w:lvl w:ilvl="6" w:tplc="0C0A000F" w:tentative="1">
      <w:start w:val="1"/>
      <w:numFmt w:val="decimal"/>
      <w:lvlText w:val="%7."/>
      <w:lvlJc w:val="left"/>
      <w:pPr>
        <w:tabs>
          <w:tab w:val="num" w:pos="5342"/>
        </w:tabs>
        <w:ind w:left="5342" w:hanging="360"/>
      </w:pPr>
    </w:lvl>
    <w:lvl w:ilvl="7" w:tplc="0C0A0019" w:tentative="1">
      <w:start w:val="1"/>
      <w:numFmt w:val="lowerLetter"/>
      <w:lvlText w:val="%8."/>
      <w:lvlJc w:val="left"/>
      <w:pPr>
        <w:tabs>
          <w:tab w:val="num" w:pos="6062"/>
        </w:tabs>
        <w:ind w:left="6062" w:hanging="360"/>
      </w:pPr>
    </w:lvl>
    <w:lvl w:ilvl="8" w:tplc="0C0A001B" w:tentative="1">
      <w:start w:val="1"/>
      <w:numFmt w:val="lowerRoman"/>
      <w:lvlText w:val="%9."/>
      <w:lvlJc w:val="right"/>
      <w:pPr>
        <w:tabs>
          <w:tab w:val="num" w:pos="6782"/>
        </w:tabs>
        <w:ind w:left="6782" w:hanging="180"/>
      </w:pPr>
    </w:lvl>
  </w:abstractNum>
  <w:abstractNum w:abstractNumId="12" w15:restartNumberingAfterBreak="0">
    <w:nsid w:val="08443967"/>
    <w:multiLevelType w:val="hybridMultilevel"/>
    <w:tmpl w:val="9A54ED40"/>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9EF51DC"/>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A5105A2"/>
    <w:multiLevelType w:val="hybridMultilevel"/>
    <w:tmpl w:val="D8A0EC56"/>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5"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D5761A"/>
    <w:multiLevelType w:val="hybridMultilevel"/>
    <w:tmpl w:val="20A0028A"/>
    <w:lvl w:ilvl="0" w:tplc="F606C4BC">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E2424C9"/>
    <w:multiLevelType w:val="hybridMultilevel"/>
    <w:tmpl w:val="FBDA7FF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1F35652"/>
    <w:multiLevelType w:val="hybridMultilevel"/>
    <w:tmpl w:val="F362B242"/>
    <w:lvl w:ilvl="0" w:tplc="0C0A000B">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9" w15:restartNumberingAfterBreak="0">
    <w:nsid w:val="12393BF3"/>
    <w:multiLevelType w:val="hybridMultilevel"/>
    <w:tmpl w:val="493C0DF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13D04621"/>
    <w:multiLevelType w:val="hybridMultilevel"/>
    <w:tmpl w:val="AD24D942"/>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1" w15:restartNumberingAfterBreak="0">
    <w:nsid w:val="14CD40DC"/>
    <w:multiLevelType w:val="hybridMultilevel"/>
    <w:tmpl w:val="F9864834"/>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56E4E56"/>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6556F3B"/>
    <w:multiLevelType w:val="hybridMultilevel"/>
    <w:tmpl w:val="D826BA2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76E000F"/>
    <w:multiLevelType w:val="hybridMultilevel"/>
    <w:tmpl w:val="28EE8B74"/>
    <w:lvl w:ilvl="0" w:tplc="9BEAC5B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5" w15:restartNumberingAfterBreak="0">
    <w:nsid w:val="179D2524"/>
    <w:multiLevelType w:val="hybridMultilevel"/>
    <w:tmpl w:val="8D52E5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8413D1C"/>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93E128E"/>
    <w:multiLevelType w:val="hybridMultilevel"/>
    <w:tmpl w:val="BF42DC8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1A6C47BD"/>
    <w:multiLevelType w:val="hybridMultilevel"/>
    <w:tmpl w:val="BE2400B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1A887D86"/>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B507943"/>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D4E7C90"/>
    <w:multiLevelType w:val="hybridMultilevel"/>
    <w:tmpl w:val="58B447D4"/>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2" w15:restartNumberingAfterBreak="0">
    <w:nsid w:val="1DC251E8"/>
    <w:multiLevelType w:val="hybridMultilevel"/>
    <w:tmpl w:val="CEEA787C"/>
    <w:lvl w:ilvl="0" w:tplc="E3469C80">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1DD645A6"/>
    <w:multiLevelType w:val="hybridMultilevel"/>
    <w:tmpl w:val="B286496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1FC864DC"/>
    <w:multiLevelType w:val="hybridMultilevel"/>
    <w:tmpl w:val="8066289C"/>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04F317C"/>
    <w:multiLevelType w:val="hybridMultilevel"/>
    <w:tmpl w:val="51466EAC"/>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6" w15:restartNumberingAfterBreak="0">
    <w:nsid w:val="20E932B4"/>
    <w:multiLevelType w:val="hybridMultilevel"/>
    <w:tmpl w:val="9A54ED40"/>
    <w:lvl w:ilvl="0" w:tplc="0C0A0001">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7" w15:restartNumberingAfterBreak="0">
    <w:nsid w:val="2386037D"/>
    <w:multiLevelType w:val="hybridMultilevel"/>
    <w:tmpl w:val="19D0C24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8"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39" w15:restartNumberingAfterBreak="0">
    <w:nsid w:val="24F45739"/>
    <w:multiLevelType w:val="hybridMultilevel"/>
    <w:tmpl w:val="521C89FC"/>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253D4FDF"/>
    <w:multiLevelType w:val="hybridMultilevel"/>
    <w:tmpl w:val="8E12D6C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28947928"/>
    <w:multiLevelType w:val="hybridMultilevel"/>
    <w:tmpl w:val="515A393E"/>
    <w:lvl w:ilvl="0" w:tplc="6B22631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3" w15:restartNumberingAfterBreak="0">
    <w:nsid w:val="289E743B"/>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9A37D38"/>
    <w:multiLevelType w:val="hybridMultilevel"/>
    <w:tmpl w:val="F5A44DE2"/>
    <w:lvl w:ilvl="0" w:tplc="0C0A0001">
      <w:start w:val="1"/>
      <w:numFmt w:val="decimal"/>
      <w:lvlText w:val="%1."/>
      <w:lvlJc w:val="left"/>
      <w:pPr>
        <w:tabs>
          <w:tab w:val="num" w:pos="790"/>
        </w:tabs>
        <w:ind w:left="79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5" w15:restartNumberingAfterBreak="0">
    <w:nsid w:val="2A3870D9"/>
    <w:multiLevelType w:val="hybridMultilevel"/>
    <w:tmpl w:val="6C44F788"/>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2A47200C"/>
    <w:multiLevelType w:val="hybridMultilevel"/>
    <w:tmpl w:val="28EE8B7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B675C0B"/>
    <w:multiLevelType w:val="hybridMultilevel"/>
    <w:tmpl w:val="C528382C"/>
    <w:lvl w:ilvl="0" w:tplc="0C0A000F">
      <w:start w:val="1"/>
      <w:numFmt w:val="bullet"/>
      <w:lvlText w:val=""/>
      <w:lvlJc w:val="left"/>
      <w:pPr>
        <w:tabs>
          <w:tab w:val="num" w:pos="720"/>
        </w:tabs>
        <w:ind w:left="720" w:hanging="360"/>
      </w:pPr>
      <w:rPr>
        <w:rFonts w:ascii="Symbol" w:hAnsi="Symbol" w:hint="default"/>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8" w15:restartNumberingAfterBreak="0">
    <w:nsid w:val="2DB41070"/>
    <w:multiLevelType w:val="hybridMultilevel"/>
    <w:tmpl w:val="E4BEC7D2"/>
    <w:lvl w:ilvl="0" w:tplc="B3544DF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E286D86"/>
    <w:multiLevelType w:val="hybridMultilevel"/>
    <w:tmpl w:val="E954FC54"/>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33C010FD"/>
    <w:multiLevelType w:val="hybridMultilevel"/>
    <w:tmpl w:val="D5B8755A"/>
    <w:lvl w:ilvl="0" w:tplc="140A000F">
      <w:start w:val="5"/>
      <w:numFmt w:val="decimal"/>
      <w:lvlText w:val="%1."/>
      <w:lvlJc w:val="left"/>
      <w:pPr>
        <w:tabs>
          <w:tab w:val="num" w:pos="720"/>
        </w:tabs>
        <w:ind w:left="720" w:hanging="360"/>
      </w:pPr>
      <w:rPr>
        <w:rFonts w:hint="default"/>
      </w:rPr>
    </w:lvl>
    <w:lvl w:ilvl="1" w:tplc="140A0019" w:tentative="1">
      <w:start w:val="1"/>
      <w:numFmt w:val="lowerLetter"/>
      <w:lvlText w:val="%2."/>
      <w:lvlJc w:val="left"/>
      <w:pPr>
        <w:tabs>
          <w:tab w:val="num" w:pos="1440"/>
        </w:tabs>
        <w:ind w:left="1440" w:hanging="360"/>
      </w:pPr>
    </w:lvl>
    <w:lvl w:ilvl="2" w:tplc="140A001B" w:tentative="1">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abstractNum w:abstractNumId="51" w15:restartNumberingAfterBreak="0">
    <w:nsid w:val="37125B8F"/>
    <w:multiLevelType w:val="hybridMultilevel"/>
    <w:tmpl w:val="C5422314"/>
    <w:lvl w:ilvl="0" w:tplc="F238F1F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380D7BB3"/>
    <w:multiLevelType w:val="hybridMultilevel"/>
    <w:tmpl w:val="B0F89B4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9745ACD"/>
    <w:multiLevelType w:val="hybridMultilevel"/>
    <w:tmpl w:val="3A08D230"/>
    <w:lvl w:ilvl="0" w:tplc="267A8BD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3A3A730C"/>
    <w:multiLevelType w:val="hybridMultilevel"/>
    <w:tmpl w:val="0F5E1008"/>
    <w:lvl w:ilvl="0" w:tplc="66AAF970">
      <w:start w:val="1"/>
      <w:numFmt w:val="decimal"/>
      <w:lvlText w:val="%1)"/>
      <w:lvlJc w:val="left"/>
      <w:pPr>
        <w:tabs>
          <w:tab w:val="num" w:pos="1588"/>
        </w:tabs>
        <w:ind w:left="1588" w:hanging="435"/>
      </w:pPr>
      <w:rPr>
        <w:rFonts w:hint="default"/>
        <w:b/>
      </w:rPr>
    </w:lvl>
    <w:lvl w:ilvl="1" w:tplc="0C0A0019" w:tentative="1">
      <w:start w:val="1"/>
      <w:numFmt w:val="lowerLetter"/>
      <w:lvlText w:val="%2."/>
      <w:lvlJc w:val="left"/>
      <w:pPr>
        <w:tabs>
          <w:tab w:val="num" w:pos="2233"/>
        </w:tabs>
        <w:ind w:left="2233" w:hanging="360"/>
      </w:pPr>
    </w:lvl>
    <w:lvl w:ilvl="2" w:tplc="0C0A001B" w:tentative="1">
      <w:start w:val="1"/>
      <w:numFmt w:val="lowerRoman"/>
      <w:lvlText w:val="%3."/>
      <w:lvlJc w:val="right"/>
      <w:pPr>
        <w:tabs>
          <w:tab w:val="num" w:pos="2953"/>
        </w:tabs>
        <w:ind w:left="2953" w:hanging="180"/>
      </w:pPr>
    </w:lvl>
    <w:lvl w:ilvl="3" w:tplc="0C0A000F" w:tentative="1">
      <w:start w:val="1"/>
      <w:numFmt w:val="decimal"/>
      <w:lvlText w:val="%4."/>
      <w:lvlJc w:val="left"/>
      <w:pPr>
        <w:tabs>
          <w:tab w:val="num" w:pos="3673"/>
        </w:tabs>
        <w:ind w:left="3673" w:hanging="360"/>
      </w:pPr>
    </w:lvl>
    <w:lvl w:ilvl="4" w:tplc="0C0A0019" w:tentative="1">
      <w:start w:val="1"/>
      <w:numFmt w:val="lowerLetter"/>
      <w:lvlText w:val="%5."/>
      <w:lvlJc w:val="left"/>
      <w:pPr>
        <w:tabs>
          <w:tab w:val="num" w:pos="4393"/>
        </w:tabs>
        <w:ind w:left="4393" w:hanging="360"/>
      </w:pPr>
    </w:lvl>
    <w:lvl w:ilvl="5" w:tplc="0C0A001B" w:tentative="1">
      <w:start w:val="1"/>
      <w:numFmt w:val="lowerRoman"/>
      <w:lvlText w:val="%6."/>
      <w:lvlJc w:val="right"/>
      <w:pPr>
        <w:tabs>
          <w:tab w:val="num" w:pos="5113"/>
        </w:tabs>
        <w:ind w:left="5113" w:hanging="180"/>
      </w:pPr>
    </w:lvl>
    <w:lvl w:ilvl="6" w:tplc="0C0A000F" w:tentative="1">
      <w:start w:val="1"/>
      <w:numFmt w:val="decimal"/>
      <w:lvlText w:val="%7."/>
      <w:lvlJc w:val="left"/>
      <w:pPr>
        <w:tabs>
          <w:tab w:val="num" w:pos="5833"/>
        </w:tabs>
        <w:ind w:left="5833" w:hanging="360"/>
      </w:pPr>
    </w:lvl>
    <w:lvl w:ilvl="7" w:tplc="0C0A0019" w:tentative="1">
      <w:start w:val="1"/>
      <w:numFmt w:val="lowerLetter"/>
      <w:lvlText w:val="%8."/>
      <w:lvlJc w:val="left"/>
      <w:pPr>
        <w:tabs>
          <w:tab w:val="num" w:pos="6553"/>
        </w:tabs>
        <w:ind w:left="6553" w:hanging="360"/>
      </w:pPr>
    </w:lvl>
    <w:lvl w:ilvl="8" w:tplc="0C0A001B" w:tentative="1">
      <w:start w:val="1"/>
      <w:numFmt w:val="lowerRoman"/>
      <w:lvlText w:val="%9."/>
      <w:lvlJc w:val="right"/>
      <w:pPr>
        <w:tabs>
          <w:tab w:val="num" w:pos="7273"/>
        </w:tabs>
        <w:ind w:left="7273" w:hanging="180"/>
      </w:pPr>
    </w:lvl>
  </w:abstractNum>
  <w:abstractNum w:abstractNumId="55" w15:restartNumberingAfterBreak="0">
    <w:nsid w:val="3AA62CEB"/>
    <w:multiLevelType w:val="hybridMultilevel"/>
    <w:tmpl w:val="D390CCE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15:restartNumberingAfterBreak="0">
    <w:nsid w:val="3B31078F"/>
    <w:multiLevelType w:val="hybridMultilevel"/>
    <w:tmpl w:val="4EACADBA"/>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D39027C"/>
    <w:multiLevelType w:val="hybridMultilevel"/>
    <w:tmpl w:val="53B4BA02"/>
    <w:lvl w:ilvl="0" w:tplc="90C8BFA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59" w15:restartNumberingAfterBreak="0">
    <w:nsid w:val="3EA862FF"/>
    <w:multiLevelType w:val="hybridMultilevel"/>
    <w:tmpl w:val="6D68860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1621F77"/>
    <w:multiLevelType w:val="hybridMultilevel"/>
    <w:tmpl w:val="E04AFE98"/>
    <w:lvl w:ilvl="0" w:tplc="140A000F">
      <w:start w:val="1"/>
      <w:numFmt w:val="decimal"/>
      <w:lvlText w:val="%1."/>
      <w:lvlJc w:val="left"/>
      <w:pPr>
        <w:ind w:left="418"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1" w15:restartNumberingAfterBreak="0">
    <w:nsid w:val="41645A6A"/>
    <w:multiLevelType w:val="hybridMultilevel"/>
    <w:tmpl w:val="716007CE"/>
    <w:lvl w:ilvl="0" w:tplc="140A000F">
      <w:start w:val="9"/>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2" w15:restartNumberingAfterBreak="0">
    <w:nsid w:val="41AF215F"/>
    <w:multiLevelType w:val="hybridMultilevel"/>
    <w:tmpl w:val="EDEE47B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1B218FC"/>
    <w:multiLevelType w:val="hybridMultilevel"/>
    <w:tmpl w:val="0D1E990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1FD43EC"/>
    <w:multiLevelType w:val="hybridMultilevel"/>
    <w:tmpl w:val="E80A6FF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2CC4163"/>
    <w:multiLevelType w:val="hybridMultilevel"/>
    <w:tmpl w:val="DDD61920"/>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68" w15:restartNumberingAfterBreak="0">
    <w:nsid w:val="44DD14D2"/>
    <w:multiLevelType w:val="hybridMultilevel"/>
    <w:tmpl w:val="0C5A4B80"/>
    <w:lvl w:ilvl="0" w:tplc="AC8289A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5DA0AE0"/>
    <w:multiLevelType w:val="hybridMultilevel"/>
    <w:tmpl w:val="4FF6271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49E63B3C"/>
    <w:multiLevelType w:val="hybridMultilevel"/>
    <w:tmpl w:val="8A22B2AA"/>
    <w:lvl w:ilvl="0" w:tplc="D4DCBDF6">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4A4B584E"/>
    <w:multiLevelType w:val="hybridMultilevel"/>
    <w:tmpl w:val="D722E9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4C313C78"/>
    <w:multiLevelType w:val="hybridMultilevel"/>
    <w:tmpl w:val="EC180A56"/>
    <w:lvl w:ilvl="0" w:tplc="91C4ABB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4CC9705B"/>
    <w:multiLevelType w:val="hybridMultilevel"/>
    <w:tmpl w:val="8F8C8254"/>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74" w15:restartNumberingAfterBreak="0">
    <w:nsid w:val="4CFD5DB9"/>
    <w:multiLevelType w:val="hybridMultilevel"/>
    <w:tmpl w:val="6080897E"/>
    <w:lvl w:ilvl="0" w:tplc="4810EE40">
      <w:start w:val="1"/>
      <w:numFmt w:val="decimal"/>
      <w:lvlText w:val="%1."/>
      <w:lvlJc w:val="left"/>
      <w:pPr>
        <w:ind w:left="418" w:hanging="360"/>
      </w:pPr>
      <w:rPr>
        <w:rFonts w:hint="default"/>
      </w:rPr>
    </w:lvl>
    <w:lvl w:ilvl="1" w:tplc="0C0A0019" w:tentative="1">
      <w:start w:val="1"/>
      <w:numFmt w:val="lowerLetter"/>
      <w:lvlText w:val="%2."/>
      <w:lvlJc w:val="left"/>
      <w:pPr>
        <w:ind w:left="1138" w:hanging="360"/>
      </w:pPr>
    </w:lvl>
    <w:lvl w:ilvl="2" w:tplc="0C0A001B" w:tentative="1">
      <w:start w:val="1"/>
      <w:numFmt w:val="lowerRoman"/>
      <w:lvlText w:val="%3."/>
      <w:lvlJc w:val="right"/>
      <w:pPr>
        <w:ind w:left="1858" w:hanging="180"/>
      </w:pPr>
    </w:lvl>
    <w:lvl w:ilvl="3" w:tplc="0C0A000F" w:tentative="1">
      <w:start w:val="1"/>
      <w:numFmt w:val="decimal"/>
      <w:lvlText w:val="%4."/>
      <w:lvlJc w:val="left"/>
      <w:pPr>
        <w:ind w:left="2578" w:hanging="360"/>
      </w:pPr>
    </w:lvl>
    <w:lvl w:ilvl="4" w:tplc="0C0A0019" w:tentative="1">
      <w:start w:val="1"/>
      <w:numFmt w:val="lowerLetter"/>
      <w:lvlText w:val="%5."/>
      <w:lvlJc w:val="left"/>
      <w:pPr>
        <w:ind w:left="3298" w:hanging="360"/>
      </w:pPr>
    </w:lvl>
    <w:lvl w:ilvl="5" w:tplc="0C0A001B" w:tentative="1">
      <w:start w:val="1"/>
      <w:numFmt w:val="lowerRoman"/>
      <w:lvlText w:val="%6."/>
      <w:lvlJc w:val="right"/>
      <w:pPr>
        <w:ind w:left="4018" w:hanging="180"/>
      </w:pPr>
    </w:lvl>
    <w:lvl w:ilvl="6" w:tplc="0C0A000F" w:tentative="1">
      <w:start w:val="1"/>
      <w:numFmt w:val="decimal"/>
      <w:lvlText w:val="%7."/>
      <w:lvlJc w:val="left"/>
      <w:pPr>
        <w:ind w:left="4738" w:hanging="360"/>
      </w:pPr>
    </w:lvl>
    <w:lvl w:ilvl="7" w:tplc="0C0A0019" w:tentative="1">
      <w:start w:val="1"/>
      <w:numFmt w:val="lowerLetter"/>
      <w:lvlText w:val="%8."/>
      <w:lvlJc w:val="left"/>
      <w:pPr>
        <w:ind w:left="5458" w:hanging="360"/>
      </w:pPr>
    </w:lvl>
    <w:lvl w:ilvl="8" w:tplc="0C0A001B" w:tentative="1">
      <w:start w:val="1"/>
      <w:numFmt w:val="lowerRoman"/>
      <w:lvlText w:val="%9."/>
      <w:lvlJc w:val="right"/>
      <w:pPr>
        <w:ind w:left="6178" w:hanging="180"/>
      </w:pPr>
    </w:lvl>
  </w:abstractNum>
  <w:abstractNum w:abstractNumId="75" w15:restartNumberingAfterBreak="0">
    <w:nsid w:val="4D7413BE"/>
    <w:multiLevelType w:val="hybridMultilevel"/>
    <w:tmpl w:val="E04AFE98"/>
    <w:lvl w:ilvl="0" w:tplc="ABE4E6F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4D894387"/>
    <w:multiLevelType w:val="hybridMultilevel"/>
    <w:tmpl w:val="3612A75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EB254CF"/>
    <w:multiLevelType w:val="hybridMultilevel"/>
    <w:tmpl w:val="CEEA787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EF266DA"/>
    <w:multiLevelType w:val="hybridMultilevel"/>
    <w:tmpl w:val="15C2FA58"/>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9" w15:restartNumberingAfterBreak="0">
    <w:nsid w:val="4F786E42"/>
    <w:multiLevelType w:val="hybridMultilevel"/>
    <w:tmpl w:val="D826BA26"/>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510C00C3"/>
    <w:multiLevelType w:val="multilevel"/>
    <w:tmpl w:val="7318DC7C"/>
    <w:lvl w:ilvl="0">
      <w:start w:val="8"/>
      <w:numFmt w:val="decimal"/>
      <w:lvlText w:val="%1."/>
      <w:lvlJc w:val="left"/>
      <w:pPr>
        <w:ind w:left="376" w:hanging="376"/>
      </w:pPr>
      <w:rPr>
        <w:rFonts w:hint="default"/>
      </w:rPr>
    </w:lvl>
    <w:lvl w:ilvl="1">
      <w:start w:val="1"/>
      <w:numFmt w:val="decimal"/>
      <w:lvlText w:val="9.%2."/>
      <w:lvlJc w:val="left"/>
      <w:pPr>
        <w:ind w:left="720" w:hanging="7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1"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3"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84"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5" w15:restartNumberingAfterBreak="0">
    <w:nsid w:val="55850A7D"/>
    <w:multiLevelType w:val="hybridMultilevel"/>
    <w:tmpl w:val="E954FC54"/>
    <w:lvl w:ilvl="0" w:tplc="2078EB6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15:restartNumberingAfterBreak="0">
    <w:nsid w:val="56182F52"/>
    <w:multiLevelType w:val="hybridMultilevel"/>
    <w:tmpl w:val="EC180A5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81909BC"/>
    <w:multiLevelType w:val="hybridMultilevel"/>
    <w:tmpl w:val="E034B0AE"/>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90A17AF"/>
    <w:multiLevelType w:val="hybridMultilevel"/>
    <w:tmpl w:val="237E074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9" w15:restartNumberingAfterBreak="0">
    <w:nsid w:val="5A50011B"/>
    <w:multiLevelType w:val="hybridMultilevel"/>
    <w:tmpl w:val="B1047C2C"/>
    <w:lvl w:ilvl="0" w:tplc="0C0A0009">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90" w15:restartNumberingAfterBreak="0">
    <w:nsid w:val="5AE43796"/>
    <w:multiLevelType w:val="hybridMultilevel"/>
    <w:tmpl w:val="6590B46C"/>
    <w:lvl w:ilvl="0" w:tplc="BB846630">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15:restartNumberingAfterBreak="0">
    <w:nsid w:val="5B2B4BA5"/>
    <w:multiLevelType w:val="hybridMultilevel"/>
    <w:tmpl w:val="060C669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2" w15:restartNumberingAfterBreak="0">
    <w:nsid w:val="5C864359"/>
    <w:multiLevelType w:val="hybridMultilevel"/>
    <w:tmpl w:val="5CF00132"/>
    <w:lvl w:ilvl="0" w:tplc="4986139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 w15:restartNumberingAfterBreak="0">
    <w:nsid w:val="5CC427DD"/>
    <w:multiLevelType w:val="hybridMultilevel"/>
    <w:tmpl w:val="57387A5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4" w15:restartNumberingAfterBreak="0">
    <w:nsid w:val="5E8D7F7A"/>
    <w:multiLevelType w:val="hybridMultilevel"/>
    <w:tmpl w:val="91FCDC4E"/>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5FE47988"/>
    <w:multiLevelType w:val="hybridMultilevel"/>
    <w:tmpl w:val="A2E2358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96" w15:restartNumberingAfterBreak="0">
    <w:nsid w:val="60253C5A"/>
    <w:multiLevelType w:val="hybridMultilevel"/>
    <w:tmpl w:val="B0F89B48"/>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61E26A50"/>
    <w:multiLevelType w:val="hybridMultilevel"/>
    <w:tmpl w:val="EDEE47BC"/>
    <w:lvl w:ilvl="0" w:tplc="12B4D71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621507F8"/>
    <w:multiLevelType w:val="hybridMultilevel"/>
    <w:tmpl w:val="5874E9A2"/>
    <w:lvl w:ilvl="0" w:tplc="080A000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32832EF"/>
    <w:multiLevelType w:val="hybridMultilevel"/>
    <w:tmpl w:val="965A6F16"/>
    <w:lvl w:ilvl="0" w:tplc="080A000F">
      <w:start w:val="1"/>
      <w:numFmt w:val="decimal"/>
      <w:lvlText w:val="%1."/>
      <w:lvlJc w:val="left"/>
      <w:pPr>
        <w:ind w:left="418" w:hanging="360"/>
      </w:pPr>
    </w:lvl>
    <w:lvl w:ilvl="1" w:tplc="080A0019" w:tentative="1">
      <w:start w:val="1"/>
      <w:numFmt w:val="lowerLetter"/>
      <w:lvlText w:val="%2."/>
      <w:lvlJc w:val="left"/>
      <w:pPr>
        <w:tabs>
          <w:tab w:val="num" w:pos="1498"/>
        </w:tabs>
        <w:ind w:left="1498" w:hanging="360"/>
      </w:pPr>
    </w:lvl>
    <w:lvl w:ilvl="2" w:tplc="080A001B" w:tentative="1">
      <w:start w:val="1"/>
      <w:numFmt w:val="lowerRoman"/>
      <w:lvlText w:val="%3."/>
      <w:lvlJc w:val="right"/>
      <w:pPr>
        <w:tabs>
          <w:tab w:val="num" w:pos="2218"/>
        </w:tabs>
        <w:ind w:left="2218" w:hanging="180"/>
      </w:pPr>
    </w:lvl>
    <w:lvl w:ilvl="3" w:tplc="080A000F" w:tentative="1">
      <w:start w:val="1"/>
      <w:numFmt w:val="decimal"/>
      <w:lvlText w:val="%4."/>
      <w:lvlJc w:val="left"/>
      <w:pPr>
        <w:tabs>
          <w:tab w:val="num" w:pos="2938"/>
        </w:tabs>
        <w:ind w:left="2938" w:hanging="360"/>
      </w:pPr>
    </w:lvl>
    <w:lvl w:ilvl="4" w:tplc="080A0019" w:tentative="1">
      <w:start w:val="1"/>
      <w:numFmt w:val="lowerLetter"/>
      <w:lvlText w:val="%5."/>
      <w:lvlJc w:val="left"/>
      <w:pPr>
        <w:tabs>
          <w:tab w:val="num" w:pos="3658"/>
        </w:tabs>
        <w:ind w:left="3658" w:hanging="360"/>
      </w:pPr>
    </w:lvl>
    <w:lvl w:ilvl="5" w:tplc="080A001B" w:tentative="1">
      <w:start w:val="1"/>
      <w:numFmt w:val="lowerRoman"/>
      <w:lvlText w:val="%6."/>
      <w:lvlJc w:val="right"/>
      <w:pPr>
        <w:tabs>
          <w:tab w:val="num" w:pos="4378"/>
        </w:tabs>
        <w:ind w:left="4378" w:hanging="180"/>
      </w:pPr>
    </w:lvl>
    <w:lvl w:ilvl="6" w:tplc="080A000F" w:tentative="1">
      <w:start w:val="1"/>
      <w:numFmt w:val="decimal"/>
      <w:lvlText w:val="%7."/>
      <w:lvlJc w:val="left"/>
      <w:pPr>
        <w:tabs>
          <w:tab w:val="num" w:pos="5098"/>
        </w:tabs>
        <w:ind w:left="5098" w:hanging="360"/>
      </w:pPr>
    </w:lvl>
    <w:lvl w:ilvl="7" w:tplc="080A0019" w:tentative="1">
      <w:start w:val="1"/>
      <w:numFmt w:val="lowerLetter"/>
      <w:lvlText w:val="%8."/>
      <w:lvlJc w:val="left"/>
      <w:pPr>
        <w:tabs>
          <w:tab w:val="num" w:pos="5818"/>
        </w:tabs>
        <w:ind w:left="5818" w:hanging="360"/>
      </w:pPr>
    </w:lvl>
    <w:lvl w:ilvl="8" w:tplc="080A001B" w:tentative="1">
      <w:start w:val="1"/>
      <w:numFmt w:val="lowerRoman"/>
      <w:lvlText w:val="%9."/>
      <w:lvlJc w:val="right"/>
      <w:pPr>
        <w:tabs>
          <w:tab w:val="num" w:pos="6538"/>
        </w:tabs>
        <w:ind w:left="6538" w:hanging="180"/>
      </w:pPr>
    </w:lvl>
  </w:abstractNum>
  <w:abstractNum w:abstractNumId="100" w15:restartNumberingAfterBreak="0">
    <w:nsid w:val="63AF0B62"/>
    <w:multiLevelType w:val="hybridMultilevel"/>
    <w:tmpl w:val="CB0E933C"/>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15:restartNumberingAfterBreak="0">
    <w:nsid w:val="643A59E0"/>
    <w:multiLevelType w:val="hybridMultilevel"/>
    <w:tmpl w:val="2376BEF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646A7546"/>
    <w:multiLevelType w:val="hybridMultilevel"/>
    <w:tmpl w:val="53B4BA0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66D40D8E"/>
    <w:multiLevelType w:val="hybridMultilevel"/>
    <w:tmpl w:val="B6BE205C"/>
    <w:lvl w:ilvl="0" w:tplc="C98ED8AA">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15:restartNumberingAfterBreak="0">
    <w:nsid w:val="67033106"/>
    <w:multiLevelType w:val="hybridMultilevel"/>
    <w:tmpl w:val="C4CECE84"/>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6" w15:restartNumberingAfterBreak="0">
    <w:nsid w:val="673B7ECA"/>
    <w:multiLevelType w:val="hybridMultilevel"/>
    <w:tmpl w:val="0BC62E80"/>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7" w15:restartNumberingAfterBreak="0">
    <w:nsid w:val="673E1559"/>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677C433E"/>
    <w:multiLevelType w:val="hybridMultilevel"/>
    <w:tmpl w:val="20E68B64"/>
    <w:lvl w:ilvl="0" w:tplc="4D10C6F4">
      <w:start w:val="1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7DD50F8"/>
    <w:multiLevelType w:val="hybridMultilevel"/>
    <w:tmpl w:val="EFC61FB6"/>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15:restartNumberingAfterBreak="0">
    <w:nsid w:val="68DC1F5D"/>
    <w:multiLevelType w:val="hybridMultilevel"/>
    <w:tmpl w:val="288E41A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69DD0FB7"/>
    <w:multiLevelType w:val="hybridMultilevel"/>
    <w:tmpl w:val="E4CE40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A2F4ED1"/>
    <w:multiLevelType w:val="hybridMultilevel"/>
    <w:tmpl w:val="62FA839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6C2D4AEE"/>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6D726DE6"/>
    <w:multiLevelType w:val="hybridMultilevel"/>
    <w:tmpl w:val="04FC9E2C"/>
    <w:lvl w:ilvl="0" w:tplc="CA886BE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D883EF2"/>
    <w:multiLevelType w:val="hybridMultilevel"/>
    <w:tmpl w:val="01C4221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6F6368E2"/>
    <w:multiLevelType w:val="multilevel"/>
    <w:tmpl w:val="26D65C68"/>
    <w:lvl w:ilvl="0">
      <w:start w:val="7"/>
      <w:numFmt w:val="decimal"/>
      <w:lvlText w:val="%1."/>
      <w:lvlJc w:val="left"/>
      <w:pPr>
        <w:ind w:left="376" w:hanging="376"/>
      </w:pPr>
      <w:rPr>
        <w:rFonts w:hint="default"/>
      </w:rPr>
    </w:lvl>
    <w:lvl w:ilvl="1">
      <w:start w:val="1"/>
      <w:numFmt w:val="decimal"/>
      <w:lvlText w:val="8.%2."/>
      <w:lvlJc w:val="left"/>
      <w:pPr>
        <w:ind w:left="1287" w:hanging="720"/>
      </w:pPr>
      <w:rPr>
        <w:rFonts w:ascii="Times New Roman" w:hAnsi="Times New Roman" w:cs="Times New Roman" w:hint="default"/>
        <w:b/>
        <w:bCs/>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8" w15:restartNumberingAfterBreak="0">
    <w:nsid w:val="71813697"/>
    <w:multiLevelType w:val="hybridMultilevel"/>
    <w:tmpl w:val="8066289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1AF1108"/>
    <w:multiLevelType w:val="hybridMultilevel"/>
    <w:tmpl w:val="5776A29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1E51D98"/>
    <w:multiLevelType w:val="hybridMultilevel"/>
    <w:tmpl w:val="128E3B7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725444EC"/>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73462597"/>
    <w:multiLevelType w:val="hybridMultilevel"/>
    <w:tmpl w:val="096CE98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744710F8"/>
    <w:multiLevelType w:val="hybridMultilevel"/>
    <w:tmpl w:val="1D0A794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5" w15:restartNumberingAfterBreak="0">
    <w:nsid w:val="79371416"/>
    <w:multiLevelType w:val="hybridMultilevel"/>
    <w:tmpl w:val="39C00A36"/>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6" w15:restartNumberingAfterBreak="0">
    <w:nsid w:val="79A50866"/>
    <w:multiLevelType w:val="hybridMultilevel"/>
    <w:tmpl w:val="1EA26F12"/>
    <w:lvl w:ilvl="0" w:tplc="7CBCD64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7" w15:restartNumberingAfterBreak="0">
    <w:nsid w:val="7D271F49"/>
    <w:multiLevelType w:val="hybridMultilevel"/>
    <w:tmpl w:val="E1308512"/>
    <w:lvl w:ilvl="0" w:tplc="FFFFFFFF">
      <w:start w:val="1"/>
      <w:numFmt w:val="decimal"/>
      <w:lvlText w:val="%1."/>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8" w15:restartNumberingAfterBreak="0">
    <w:nsid w:val="7D626372"/>
    <w:multiLevelType w:val="hybridMultilevel"/>
    <w:tmpl w:val="A2E235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15:restartNumberingAfterBreak="0">
    <w:nsid w:val="7DAB5003"/>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7FD73A50"/>
    <w:multiLevelType w:val="hybridMultilevel"/>
    <w:tmpl w:val="2A30BF7C"/>
    <w:lvl w:ilvl="0" w:tplc="BD0E71A4">
      <w:start w:val="19"/>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16cid:durableId="1677613884">
    <w:abstractNumId w:val="2"/>
  </w:num>
  <w:num w:numId="2" w16cid:durableId="951286897">
    <w:abstractNumId w:val="66"/>
  </w:num>
  <w:num w:numId="3" w16cid:durableId="714043819">
    <w:abstractNumId w:val="15"/>
  </w:num>
  <w:num w:numId="4" w16cid:durableId="1344088191">
    <w:abstractNumId w:val="103"/>
  </w:num>
  <w:num w:numId="5" w16cid:durableId="114369807">
    <w:abstractNumId w:val="1"/>
  </w:num>
  <w:num w:numId="6" w16cid:durableId="2123457084">
    <w:abstractNumId w:val="67"/>
  </w:num>
  <w:num w:numId="7" w16cid:durableId="1623539273">
    <w:abstractNumId w:val="0"/>
  </w:num>
  <w:num w:numId="8" w16cid:durableId="15008064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5284199">
    <w:abstractNumId w:val="57"/>
  </w:num>
  <w:num w:numId="10" w16cid:durableId="1885411503">
    <w:abstractNumId w:val="48"/>
  </w:num>
  <w:num w:numId="11" w16cid:durableId="237520786">
    <w:abstractNumId w:val="47"/>
  </w:num>
  <w:num w:numId="12" w16cid:durableId="854228022">
    <w:abstractNumId w:val="106"/>
  </w:num>
  <w:num w:numId="13" w16cid:durableId="645859142">
    <w:abstractNumId w:val="111"/>
  </w:num>
  <w:num w:numId="14" w16cid:durableId="247157266">
    <w:abstractNumId w:val="33"/>
  </w:num>
  <w:num w:numId="15" w16cid:durableId="1001200805">
    <w:abstractNumId w:val="125"/>
  </w:num>
  <w:num w:numId="16" w16cid:durableId="939996178">
    <w:abstractNumId w:val="98"/>
  </w:num>
  <w:num w:numId="17" w16cid:durableId="1880388821">
    <w:abstractNumId w:val="87"/>
  </w:num>
  <w:num w:numId="18" w16cid:durableId="1438791309">
    <w:abstractNumId w:val="90"/>
  </w:num>
  <w:num w:numId="19" w16cid:durableId="492140947">
    <w:abstractNumId w:val="24"/>
  </w:num>
  <w:num w:numId="20" w16cid:durableId="142164929">
    <w:abstractNumId w:val="46"/>
  </w:num>
  <w:num w:numId="21" w16cid:durableId="46728673">
    <w:abstractNumId w:val="63"/>
  </w:num>
  <w:num w:numId="22" w16cid:durableId="1080252928">
    <w:abstractNumId w:val="22"/>
  </w:num>
  <w:num w:numId="23" w16cid:durableId="516238087">
    <w:abstractNumId w:val="123"/>
  </w:num>
  <w:num w:numId="24" w16cid:durableId="915165654">
    <w:abstractNumId w:val="56"/>
  </w:num>
  <w:num w:numId="25" w16cid:durableId="2057048646">
    <w:abstractNumId w:val="45"/>
  </w:num>
  <w:num w:numId="26" w16cid:durableId="1031536920">
    <w:abstractNumId w:val="79"/>
  </w:num>
  <w:num w:numId="27" w16cid:durableId="104083788">
    <w:abstractNumId w:val="12"/>
  </w:num>
  <w:num w:numId="28" w16cid:durableId="123544757">
    <w:abstractNumId w:val="40"/>
  </w:num>
  <w:num w:numId="29" w16cid:durableId="1608736237">
    <w:abstractNumId w:val="76"/>
  </w:num>
  <w:num w:numId="30" w16cid:durableId="1457021939">
    <w:abstractNumId w:val="59"/>
  </w:num>
  <w:num w:numId="31" w16cid:durableId="72628517">
    <w:abstractNumId w:val="49"/>
  </w:num>
  <w:num w:numId="32" w16cid:durableId="779295781">
    <w:abstractNumId w:val="85"/>
  </w:num>
  <w:num w:numId="33" w16cid:durableId="1639842749">
    <w:abstractNumId w:val="9"/>
  </w:num>
  <w:num w:numId="34" w16cid:durableId="812018783">
    <w:abstractNumId w:val="69"/>
  </w:num>
  <w:num w:numId="35" w16cid:durableId="2130657461">
    <w:abstractNumId w:val="39"/>
  </w:num>
  <w:num w:numId="36" w16cid:durableId="1779061174">
    <w:abstractNumId w:val="17"/>
  </w:num>
  <w:num w:numId="37" w16cid:durableId="2017078196">
    <w:abstractNumId w:val="42"/>
  </w:num>
  <w:num w:numId="38" w16cid:durableId="1360355001">
    <w:abstractNumId w:val="118"/>
  </w:num>
  <w:num w:numId="39" w16cid:durableId="1093473261">
    <w:abstractNumId w:val="34"/>
  </w:num>
  <w:num w:numId="40" w16cid:durableId="1822306688">
    <w:abstractNumId w:val="7"/>
  </w:num>
  <w:num w:numId="41" w16cid:durableId="363135609">
    <w:abstractNumId w:val="120"/>
  </w:num>
  <w:num w:numId="42" w16cid:durableId="899094038">
    <w:abstractNumId w:val="25"/>
  </w:num>
  <w:num w:numId="43" w16cid:durableId="932323381">
    <w:abstractNumId w:val="8"/>
  </w:num>
  <w:num w:numId="44" w16cid:durableId="1689715232">
    <w:abstractNumId w:val="52"/>
  </w:num>
  <w:num w:numId="45" w16cid:durableId="1480923147">
    <w:abstractNumId w:val="96"/>
  </w:num>
  <w:num w:numId="46" w16cid:durableId="203254782">
    <w:abstractNumId w:val="115"/>
  </w:num>
  <w:num w:numId="47" w16cid:durableId="1621449190">
    <w:abstractNumId w:val="116"/>
  </w:num>
  <w:num w:numId="48" w16cid:durableId="2019886435">
    <w:abstractNumId w:val="112"/>
  </w:num>
  <w:num w:numId="49" w16cid:durableId="1116367002">
    <w:abstractNumId w:val="37"/>
  </w:num>
  <w:num w:numId="50" w16cid:durableId="1340962079">
    <w:abstractNumId w:val="92"/>
  </w:num>
  <w:num w:numId="51" w16cid:durableId="1964968606">
    <w:abstractNumId w:val="21"/>
  </w:num>
  <w:num w:numId="52" w16cid:durableId="840390223">
    <w:abstractNumId w:val="97"/>
  </w:num>
  <w:num w:numId="53" w16cid:durableId="621771402">
    <w:abstractNumId w:val="110"/>
  </w:num>
  <w:num w:numId="54" w16cid:durableId="178665668">
    <w:abstractNumId w:val="60"/>
  </w:num>
  <w:num w:numId="55" w16cid:durableId="1795246231">
    <w:abstractNumId w:val="75"/>
  </w:num>
  <w:num w:numId="56" w16cid:durableId="3752519">
    <w:abstractNumId w:val="51"/>
  </w:num>
  <w:num w:numId="57" w16cid:durableId="1609191294">
    <w:abstractNumId w:val="16"/>
  </w:num>
  <w:num w:numId="58" w16cid:durableId="1018385350">
    <w:abstractNumId w:val="113"/>
  </w:num>
  <w:num w:numId="59" w16cid:durableId="210269706">
    <w:abstractNumId w:val="13"/>
  </w:num>
  <w:num w:numId="60" w16cid:durableId="90246460">
    <w:abstractNumId w:val="100"/>
  </w:num>
  <w:num w:numId="61" w16cid:durableId="1616869750">
    <w:abstractNumId w:val="65"/>
  </w:num>
  <w:num w:numId="62" w16cid:durableId="1097873828">
    <w:abstractNumId w:val="28"/>
  </w:num>
  <w:num w:numId="63" w16cid:durableId="498232420">
    <w:abstractNumId w:val="32"/>
  </w:num>
  <w:num w:numId="64" w16cid:durableId="96751015">
    <w:abstractNumId w:val="77"/>
  </w:num>
  <w:num w:numId="65" w16cid:durableId="2136483607">
    <w:abstractNumId w:val="130"/>
  </w:num>
  <w:num w:numId="66" w16cid:durableId="549537259">
    <w:abstractNumId w:val="64"/>
  </w:num>
  <w:num w:numId="67" w16cid:durableId="1241019967">
    <w:abstractNumId w:val="94"/>
  </w:num>
  <w:num w:numId="68" w16cid:durableId="1306200500">
    <w:abstractNumId w:val="30"/>
  </w:num>
  <w:num w:numId="69" w16cid:durableId="562907886">
    <w:abstractNumId w:val="29"/>
  </w:num>
  <w:num w:numId="70" w16cid:durableId="1203518260">
    <w:abstractNumId w:val="95"/>
  </w:num>
  <w:num w:numId="71" w16cid:durableId="769281778">
    <w:abstractNumId w:val="128"/>
  </w:num>
  <w:num w:numId="72" w16cid:durableId="1762215577">
    <w:abstractNumId w:val="53"/>
  </w:num>
  <w:num w:numId="73" w16cid:durableId="1836412643">
    <w:abstractNumId w:val="126"/>
  </w:num>
  <w:num w:numId="74" w16cid:durableId="355469295">
    <w:abstractNumId w:val="18"/>
  </w:num>
  <w:num w:numId="75" w16cid:durableId="1222667504">
    <w:abstractNumId w:val="26"/>
  </w:num>
  <w:num w:numId="76" w16cid:durableId="1731266229">
    <w:abstractNumId w:val="107"/>
  </w:num>
  <w:num w:numId="77" w16cid:durableId="2061708907">
    <w:abstractNumId w:val="119"/>
  </w:num>
  <w:num w:numId="78" w16cid:durableId="535847463">
    <w:abstractNumId w:val="129"/>
  </w:num>
  <w:num w:numId="79" w16cid:durableId="751851628">
    <w:abstractNumId w:val="104"/>
  </w:num>
  <w:num w:numId="80" w16cid:durableId="1287814350">
    <w:abstractNumId w:val="81"/>
  </w:num>
  <w:num w:numId="81" w16cid:durableId="504125603">
    <w:abstractNumId w:val="101"/>
  </w:num>
  <w:num w:numId="82" w16cid:durableId="1848790340">
    <w:abstractNumId w:val="109"/>
  </w:num>
  <w:num w:numId="83" w16cid:durableId="572354575">
    <w:abstractNumId w:val="131"/>
  </w:num>
  <w:num w:numId="84" w16cid:durableId="208929316">
    <w:abstractNumId w:val="86"/>
  </w:num>
  <w:num w:numId="85" w16cid:durableId="595789657">
    <w:abstractNumId w:val="35"/>
  </w:num>
  <w:num w:numId="86" w16cid:durableId="213666076">
    <w:abstractNumId w:val="70"/>
  </w:num>
  <w:num w:numId="87" w16cid:durableId="1887642740">
    <w:abstractNumId w:val="102"/>
  </w:num>
  <w:num w:numId="88" w16cid:durableId="92943050">
    <w:abstractNumId w:val="58"/>
  </w:num>
  <w:num w:numId="89" w16cid:durableId="832454594">
    <w:abstractNumId w:val="127"/>
  </w:num>
  <w:num w:numId="90" w16cid:durableId="174074547">
    <w:abstractNumId w:val="62"/>
  </w:num>
  <w:num w:numId="91" w16cid:durableId="729840228">
    <w:abstractNumId w:val="38"/>
  </w:num>
  <w:num w:numId="92" w16cid:durableId="1101880603">
    <w:abstractNumId w:val="23"/>
  </w:num>
  <w:num w:numId="93" w16cid:durableId="1127426870">
    <w:abstractNumId w:val="36"/>
  </w:num>
  <w:num w:numId="94" w16cid:durableId="1092624881">
    <w:abstractNumId w:val="27"/>
  </w:num>
  <w:num w:numId="95" w16cid:durableId="1022781084">
    <w:abstractNumId w:val="14"/>
  </w:num>
  <w:num w:numId="96" w16cid:durableId="2146198723">
    <w:abstractNumId w:val="82"/>
  </w:num>
  <w:num w:numId="97" w16cid:durableId="1071582641">
    <w:abstractNumId w:val="74"/>
  </w:num>
  <w:num w:numId="98" w16cid:durableId="1234393216">
    <w:abstractNumId w:val="41"/>
  </w:num>
  <w:num w:numId="99" w16cid:durableId="1247113919">
    <w:abstractNumId w:val="91"/>
  </w:num>
  <w:num w:numId="100" w16cid:durableId="651299888">
    <w:abstractNumId w:val="73"/>
  </w:num>
  <w:num w:numId="101" w16cid:durableId="1557932838">
    <w:abstractNumId w:val="89"/>
  </w:num>
  <w:num w:numId="102" w16cid:durableId="1709528288">
    <w:abstractNumId w:val="31"/>
  </w:num>
  <w:num w:numId="103" w16cid:durableId="1417092471">
    <w:abstractNumId w:val="20"/>
  </w:num>
  <w:num w:numId="104" w16cid:durableId="526335826">
    <w:abstractNumId w:val="71"/>
  </w:num>
  <w:num w:numId="105" w16cid:durableId="605583368">
    <w:abstractNumId w:val="10"/>
  </w:num>
  <w:num w:numId="106" w16cid:durableId="400062465">
    <w:abstractNumId w:val="84"/>
  </w:num>
  <w:num w:numId="107" w16cid:durableId="2085443693">
    <w:abstractNumId w:val="55"/>
  </w:num>
  <w:num w:numId="108" w16cid:durableId="1914386276">
    <w:abstractNumId w:val="88"/>
  </w:num>
  <w:num w:numId="109" w16cid:durableId="216088838">
    <w:abstractNumId w:val="121"/>
  </w:num>
  <w:num w:numId="110" w16cid:durableId="30420987">
    <w:abstractNumId w:val="6"/>
  </w:num>
  <w:num w:numId="111" w16cid:durableId="883440657">
    <w:abstractNumId w:val="72"/>
  </w:num>
  <w:num w:numId="112" w16cid:durableId="1907377688">
    <w:abstractNumId w:val="122"/>
  </w:num>
  <w:num w:numId="113" w16cid:durableId="1493108773">
    <w:abstractNumId w:val="5"/>
  </w:num>
  <w:num w:numId="114" w16cid:durableId="356272956">
    <w:abstractNumId w:val="43"/>
  </w:num>
  <w:num w:numId="115" w16cid:durableId="373042052">
    <w:abstractNumId w:val="78"/>
  </w:num>
  <w:num w:numId="116" w16cid:durableId="404380197">
    <w:abstractNumId w:val="99"/>
  </w:num>
  <w:num w:numId="117" w16cid:durableId="906845754">
    <w:abstractNumId w:val="50"/>
  </w:num>
  <w:num w:numId="118" w16cid:durableId="2092115506">
    <w:abstractNumId w:val="11"/>
  </w:num>
  <w:num w:numId="119" w16cid:durableId="142364746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60464945">
    <w:abstractNumId w:val="54"/>
  </w:num>
  <w:num w:numId="121" w16cid:durableId="88935715">
    <w:abstractNumId w:val="114"/>
  </w:num>
  <w:num w:numId="122" w16cid:durableId="209654238">
    <w:abstractNumId w:val="68"/>
  </w:num>
  <w:num w:numId="123" w16cid:durableId="793251649">
    <w:abstractNumId w:val="132"/>
  </w:num>
  <w:num w:numId="124" w16cid:durableId="1959531583">
    <w:abstractNumId w:val="93"/>
  </w:num>
  <w:num w:numId="125" w16cid:durableId="1619218396">
    <w:abstractNumId w:val="108"/>
  </w:num>
  <w:num w:numId="126" w16cid:durableId="190261284">
    <w:abstractNumId w:val="19"/>
  </w:num>
  <w:num w:numId="127" w16cid:durableId="1232541237">
    <w:abstractNumId w:val="117"/>
  </w:num>
  <w:num w:numId="128" w16cid:durableId="1628313267">
    <w:abstractNumId w:val="80"/>
  </w:num>
  <w:num w:numId="129" w16cid:durableId="994914288">
    <w:abstractNumId w:val="6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42E"/>
    <w:rsid w:val="00000547"/>
    <w:rsid w:val="00000657"/>
    <w:rsid w:val="0000096C"/>
    <w:rsid w:val="000062F8"/>
    <w:rsid w:val="000070A3"/>
    <w:rsid w:val="000071F8"/>
    <w:rsid w:val="000074A7"/>
    <w:rsid w:val="00007773"/>
    <w:rsid w:val="00007D52"/>
    <w:rsid w:val="00010A10"/>
    <w:rsid w:val="00010FF3"/>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313FD"/>
    <w:rsid w:val="000324DA"/>
    <w:rsid w:val="00033191"/>
    <w:rsid w:val="00035408"/>
    <w:rsid w:val="000414BA"/>
    <w:rsid w:val="00041C7B"/>
    <w:rsid w:val="00042B83"/>
    <w:rsid w:val="00043251"/>
    <w:rsid w:val="00044C29"/>
    <w:rsid w:val="00045504"/>
    <w:rsid w:val="000472F0"/>
    <w:rsid w:val="00051CBC"/>
    <w:rsid w:val="000550D7"/>
    <w:rsid w:val="000559A1"/>
    <w:rsid w:val="00055D86"/>
    <w:rsid w:val="000564C7"/>
    <w:rsid w:val="0005673C"/>
    <w:rsid w:val="0005727A"/>
    <w:rsid w:val="00057AE3"/>
    <w:rsid w:val="00060E6F"/>
    <w:rsid w:val="00060F8D"/>
    <w:rsid w:val="000625B4"/>
    <w:rsid w:val="00063144"/>
    <w:rsid w:val="00065108"/>
    <w:rsid w:val="00066A0E"/>
    <w:rsid w:val="00070A7A"/>
    <w:rsid w:val="000741D7"/>
    <w:rsid w:val="000800D5"/>
    <w:rsid w:val="0008095F"/>
    <w:rsid w:val="00081C5C"/>
    <w:rsid w:val="00082CBA"/>
    <w:rsid w:val="00085E1A"/>
    <w:rsid w:val="00086270"/>
    <w:rsid w:val="00090AB3"/>
    <w:rsid w:val="00091019"/>
    <w:rsid w:val="00091CEE"/>
    <w:rsid w:val="00092282"/>
    <w:rsid w:val="00094AC3"/>
    <w:rsid w:val="00094BB1"/>
    <w:rsid w:val="00095D5F"/>
    <w:rsid w:val="00095F91"/>
    <w:rsid w:val="000964B6"/>
    <w:rsid w:val="00097D80"/>
    <w:rsid w:val="00097E7C"/>
    <w:rsid w:val="00097F1E"/>
    <w:rsid w:val="000A16C0"/>
    <w:rsid w:val="000A1B5C"/>
    <w:rsid w:val="000A330B"/>
    <w:rsid w:val="000A6438"/>
    <w:rsid w:val="000A6815"/>
    <w:rsid w:val="000A6845"/>
    <w:rsid w:val="000A7900"/>
    <w:rsid w:val="000B20DB"/>
    <w:rsid w:val="000B2C0A"/>
    <w:rsid w:val="000B32F9"/>
    <w:rsid w:val="000B439D"/>
    <w:rsid w:val="000B63DE"/>
    <w:rsid w:val="000B674F"/>
    <w:rsid w:val="000C1A12"/>
    <w:rsid w:val="000C1AF3"/>
    <w:rsid w:val="000C3FA1"/>
    <w:rsid w:val="000C41FA"/>
    <w:rsid w:val="000C6E78"/>
    <w:rsid w:val="000D1963"/>
    <w:rsid w:val="000D212B"/>
    <w:rsid w:val="000D21EF"/>
    <w:rsid w:val="000D3427"/>
    <w:rsid w:val="000D3EBD"/>
    <w:rsid w:val="000D41D7"/>
    <w:rsid w:val="000D5744"/>
    <w:rsid w:val="000D6FFD"/>
    <w:rsid w:val="000E0AC6"/>
    <w:rsid w:val="000E21F0"/>
    <w:rsid w:val="000E296A"/>
    <w:rsid w:val="000E3307"/>
    <w:rsid w:val="000E3584"/>
    <w:rsid w:val="000E3E12"/>
    <w:rsid w:val="000E4B24"/>
    <w:rsid w:val="000E525D"/>
    <w:rsid w:val="000E5915"/>
    <w:rsid w:val="000E71C5"/>
    <w:rsid w:val="000E7298"/>
    <w:rsid w:val="000F2B0B"/>
    <w:rsid w:val="000F3332"/>
    <w:rsid w:val="000F533D"/>
    <w:rsid w:val="000F5F15"/>
    <w:rsid w:val="000F64A2"/>
    <w:rsid w:val="0010072B"/>
    <w:rsid w:val="001009D6"/>
    <w:rsid w:val="001019B6"/>
    <w:rsid w:val="00102490"/>
    <w:rsid w:val="001032FE"/>
    <w:rsid w:val="001035B8"/>
    <w:rsid w:val="0010591B"/>
    <w:rsid w:val="00110896"/>
    <w:rsid w:val="0011398B"/>
    <w:rsid w:val="0011737B"/>
    <w:rsid w:val="001211BA"/>
    <w:rsid w:val="0012123C"/>
    <w:rsid w:val="00121DE3"/>
    <w:rsid w:val="00122371"/>
    <w:rsid w:val="00127480"/>
    <w:rsid w:val="00130249"/>
    <w:rsid w:val="00136432"/>
    <w:rsid w:val="00136BD4"/>
    <w:rsid w:val="00141EF8"/>
    <w:rsid w:val="00143A3F"/>
    <w:rsid w:val="001506AD"/>
    <w:rsid w:val="0015357E"/>
    <w:rsid w:val="001540CA"/>
    <w:rsid w:val="001542B1"/>
    <w:rsid w:val="0015687D"/>
    <w:rsid w:val="00157D8D"/>
    <w:rsid w:val="00157EED"/>
    <w:rsid w:val="001613B4"/>
    <w:rsid w:val="00161FFC"/>
    <w:rsid w:val="00162F82"/>
    <w:rsid w:val="001634A9"/>
    <w:rsid w:val="001640C5"/>
    <w:rsid w:val="001647C1"/>
    <w:rsid w:val="00165925"/>
    <w:rsid w:val="00171860"/>
    <w:rsid w:val="00173191"/>
    <w:rsid w:val="00174F69"/>
    <w:rsid w:val="001750B0"/>
    <w:rsid w:val="001766CF"/>
    <w:rsid w:val="0017715E"/>
    <w:rsid w:val="00177E74"/>
    <w:rsid w:val="00180422"/>
    <w:rsid w:val="00181591"/>
    <w:rsid w:val="00181C47"/>
    <w:rsid w:val="00182336"/>
    <w:rsid w:val="00186ADE"/>
    <w:rsid w:val="0019247F"/>
    <w:rsid w:val="00193466"/>
    <w:rsid w:val="001A174B"/>
    <w:rsid w:val="001A43FE"/>
    <w:rsid w:val="001A63E0"/>
    <w:rsid w:val="001A6DCB"/>
    <w:rsid w:val="001B577D"/>
    <w:rsid w:val="001B7697"/>
    <w:rsid w:val="001C0C6E"/>
    <w:rsid w:val="001C25C1"/>
    <w:rsid w:val="001C2813"/>
    <w:rsid w:val="001C2F5B"/>
    <w:rsid w:val="001C3300"/>
    <w:rsid w:val="001C348B"/>
    <w:rsid w:val="001C3D6F"/>
    <w:rsid w:val="001D53D3"/>
    <w:rsid w:val="001E4C4F"/>
    <w:rsid w:val="001E4D6B"/>
    <w:rsid w:val="001E4E04"/>
    <w:rsid w:val="001E5171"/>
    <w:rsid w:val="001E53B9"/>
    <w:rsid w:val="001E5E1A"/>
    <w:rsid w:val="001E68CC"/>
    <w:rsid w:val="001F224B"/>
    <w:rsid w:val="001F66BE"/>
    <w:rsid w:val="002000CE"/>
    <w:rsid w:val="00203245"/>
    <w:rsid w:val="00203836"/>
    <w:rsid w:val="002059C1"/>
    <w:rsid w:val="00206130"/>
    <w:rsid w:val="00212ED2"/>
    <w:rsid w:val="00213F67"/>
    <w:rsid w:val="00215F69"/>
    <w:rsid w:val="002202F0"/>
    <w:rsid w:val="00221033"/>
    <w:rsid w:val="002239B1"/>
    <w:rsid w:val="00223D57"/>
    <w:rsid w:val="00223DA9"/>
    <w:rsid w:val="002265C2"/>
    <w:rsid w:val="00226FC6"/>
    <w:rsid w:val="0022798C"/>
    <w:rsid w:val="0023001B"/>
    <w:rsid w:val="00230498"/>
    <w:rsid w:val="002342E3"/>
    <w:rsid w:val="00234DD9"/>
    <w:rsid w:val="00235BB2"/>
    <w:rsid w:val="00242E5F"/>
    <w:rsid w:val="00245A35"/>
    <w:rsid w:val="00245D74"/>
    <w:rsid w:val="002474DF"/>
    <w:rsid w:val="0025018C"/>
    <w:rsid w:val="00254A9E"/>
    <w:rsid w:val="00255680"/>
    <w:rsid w:val="00255C02"/>
    <w:rsid w:val="00255C68"/>
    <w:rsid w:val="002571E8"/>
    <w:rsid w:val="00261397"/>
    <w:rsid w:val="002630F8"/>
    <w:rsid w:val="002640A5"/>
    <w:rsid w:val="00271B36"/>
    <w:rsid w:val="002735AD"/>
    <w:rsid w:val="002736BF"/>
    <w:rsid w:val="00277457"/>
    <w:rsid w:val="00277850"/>
    <w:rsid w:val="00280947"/>
    <w:rsid w:val="002832D4"/>
    <w:rsid w:val="00283611"/>
    <w:rsid w:val="00284F8A"/>
    <w:rsid w:val="00286F08"/>
    <w:rsid w:val="00290267"/>
    <w:rsid w:val="0029216A"/>
    <w:rsid w:val="0029305E"/>
    <w:rsid w:val="00294863"/>
    <w:rsid w:val="00295759"/>
    <w:rsid w:val="002A24CA"/>
    <w:rsid w:val="002A6286"/>
    <w:rsid w:val="002A72A4"/>
    <w:rsid w:val="002B0089"/>
    <w:rsid w:val="002B2482"/>
    <w:rsid w:val="002B25DE"/>
    <w:rsid w:val="002B4078"/>
    <w:rsid w:val="002B4FAC"/>
    <w:rsid w:val="002B5738"/>
    <w:rsid w:val="002C2AB8"/>
    <w:rsid w:val="002C34E5"/>
    <w:rsid w:val="002D02B8"/>
    <w:rsid w:val="002D04D5"/>
    <w:rsid w:val="002D3D71"/>
    <w:rsid w:val="002D7BED"/>
    <w:rsid w:val="002E0EC3"/>
    <w:rsid w:val="002E5433"/>
    <w:rsid w:val="002E6C1A"/>
    <w:rsid w:val="002E7CB8"/>
    <w:rsid w:val="002F0FC1"/>
    <w:rsid w:val="002F5A60"/>
    <w:rsid w:val="002F7286"/>
    <w:rsid w:val="002F7F5B"/>
    <w:rsid w:val="00300195"/>
    <w:rsid w:val="003011FF"/>
    <w:rsid w:val="0030278D"/>
    <w:rsid w:val="00302FF5"/>
    <w:rsid w:val="003031F3"/>
    <w:rsid w:val="003032E0"/>
    <w:rsid w:val="00303342"/>
    <w:rsid w:val="00304B27"/>
    <w:rsid w:val="0030761A"/>
    <w:rsid w:val="00312F5D"/>
    <w:rsid w:val="00313956"/>
    <w:rsid w:val="00315E14"/>
    <w:rsid w:val="00316EAA"/>
    <w:rsid w:val="00317980"/>
    <w:rsid w:val="00320860"/>
    <w:rsid w:val="00323782"/>
    <w:rsid w:val="00324E8D"/>
    <w:rsid w:val="00325E9D"/>
    <w:rsid w:val="0032634B"/>
    <w:rsid w:val="00327CE2"/>
    <w:rsid w:val="00330900"/>
    <w:rsid w:val="003318B5"/>
    <w:rsid w:val="00331C62"/>
    <w:rsid w:val="00331CFC"/>
    <w:rsid w:val="00335E22"/>
    <w:rsid w:val="00342756"/>
    <w:rsid w:val="003438E5"/>
    <w:rsid w:val="00345200"/>
    <w:rsid w:val="0034587C"/>
    <w:rsid w:val="00347438"/>
    <w:rsid w:val="00347A60"/>
    <w:rsid w:val="003547C3"/>
    <w:rsid w:val="00357197"/>
    <w:rsid w:val="0036170B"/>
    <w:rsid w:val="00364E01"/>
    <w:rsid w:val="00366149"/>
    <w:rsid w:val="00370CF7"/>
    <w:rsid w:val="003715EF"/>
    <w:rsid w:val="003717D6"/>
    <w:rsid w:val="003809AA"/>
    <w:rsid w:val="003811C0"/>
    <w:rsid w:val="00381A26"/>
    <w:rsid w:val="00383FB1"/>
    <w:rsid w:val="00384DB7"/>
    <w:rsid w:val="00384E86"/>
    <w:rsid w:val="00384F7D"/>
    <w:rsid w:val="00385C26"/>
    <w:rsid w:val="003876FA"/>
    <w:rsid w:val="003909F9"/>
    <w:rsid w:val="003945E5"/>
    <w:rsid w:val="0039529E"/>
    <w:rsid w:val="003A2112"/>
    <w:rsid w:val="003A2752"/>
    <w:rsid w:val="003A305D"/>
    <w:rsid w:val="003A59C1"/>
    <w:rsid w:val="003B017E"/>
    <w:rsid w:val="003B023D"/>
    <w:rsid w:val="003B0A5B"/>
    <w:rsid w:val="003B1773"/>
    <w:rsid w:val="003B24FE"/>
    <w:rsid w:val="003B2689"/>
    <w:rsid w:val="003B2983"/>
    <w:rsid w:val="003B7827"/>
    <w:rsid w:val="003C1B14"/>
    <w:rsid w:val="003C1D06"/>
    <w:rsid w:val="003C1F66"/>
    <w:rsid w:val="003C2151"/>
    <w:rsid w:val="003C6FE1"/>
    <w:rsid w:val="003D46DA"/>
    <w:rsid w:val="003D4A18"/>
    <w:rsid w:val="003D4C7A"/>
    <w:rsid w:val="003D5B44"/>
    <w:rsid w:val="003D6337"/>
    <w:rsid w:val="003D6C86"/>
    <w:rsid w:val="003E2507"/>
    <w:rsid w:val="003E2D68"/>
    <w:rsid w:val="003E3EED"/>
    <w:rsid w:val="003E5F4D"/>
    <w:rsid w:val="003E6E93"/>
    <w:rsid w:val="003E71C0"/>
    <w:rsid w:val="003F12A9"/>
    <w:rsid w:val="003F12D3"/>
    <w:rsid w:val="003F1F3D"/>
    <w:rsid w:val="003F4783"/>
    <w:rsid w:val="003F692C"/>
    <w:rsid w:val="003F7EDE"/>
    <w:rsid w:val="00404533"/>
    <w:rsid w:val="004065DF"/>
    <w:rsid w:val="00412BB4"/>
    <w:rsid w:val="00413808"/>
    <w:rsid w:val="00413877"/>
    <w:rsid w:val="00413D20"/>
    <w:rsid w:val="004158AD"/>
    <w:rsid w:val="0041639D"/>
    <w:rsid w:val="00420020"/>
    <w:rsid w:val="00420CF7"/>
    <w:rsid w:val="0042598D"/>
    <w:rsid w:val="004260F1"/>
    <w:rsid w:val="00426E79"/>
    <w:rsid w:val="004329E2"/>
    <w:rsid w:val="004342DB"/>
    <w:rsid w:val="004346F6"/>
    <w:rsid w:val="00434712"/>
    <w:rsid w:val="004367BD"/>
    <w:rsid w:val="0044336E"/>
    <w:rsid w:val="004455D3"/>
    <w:rsid w:val="00447B5E"/>
    <w:rsid w:val="00452B12"/>
    <w:rsid w:val="004537C7"/>
    <w:rsid w:val="0045506E"/>
    <w:rsid w:val="004554B8"/>
    <w:rsid w:val="00455672"/>
    <w:rsid w:val="00456410"/>
    <w:rsid w:val="00463333"/>
    <w:rsid w:val="00463881"/>
    <w:rsid w:val="004661EE"/>
    <w:rsid w:val="00470B0D"/>
    <w:rsid w:val="00470D47"/>
    <w:rsid w:val="0047332E"/>
    <w:rsid w:val="004752F4"/>
    <w:rsid w:val="004776AF"/>
    <w:rsid w:val="00477DCD"/>
    <w:rsid w:val="00481BE0"/>
    <w:rsid w:val="004826D1"/>
    <w:rsid w:val="00483465"/>
    <w:rsid w:val="0048635C"/>
    <w:rsid w:val="0048715B"/>
    <w:rsid w:val="00487C30"/>
    <w:rsid w:val="004A0C44"/>
    <w:rsid w:val="004A1312"/>
    <w:rsid w:val="004A3A74"/>
    <w:rsid w:val="004A42B8"/>
    <w:rsid w:val="004A4ABE"/>
    <w:rsid w:val="004A53EA"/>
    <w:rsid w:val="004B0C5C"/>
    <w:rsid w:val="004B5CB2"/>
    <w:rsid w:val="004B7C24"/>
    <w:rsid w:val="004C1D1B"/>
    <w:rsid w:val="004C2194"/>
    <w:rsid w:val="004C2684"/>
    <w:rsid w:val="004C38B2"/>
    <w:rsid w:val="004C48D1"/>
    <w:rsid w:val="004C58DD"/>
    <w:rsid w:val="004C5950"/>
    <w:rsid w:val="004C65F3"/>
    <w:rsid w:val="004D2236"/>
    <w:rsid w:val="004D2E19"/>
    <w:rsid w:val="004D3A51"/>
    <w:rsid w:val="004D5A9B"/>
    <w:rsid w:val="004D6743"/>
    <w:rsid w:val="004E0F9F"/>
    <w:rsid w:val="004E1825"/>
    <w:rsid w:val="004F5989"/>
    <w:rsid w:val="005008D6"/>
    <w:rsid w:val="00500C8B"/>
    <w:rsid w:val="00500FE2"/>
    <w:rsid w:val="0050238D"/>
    <w:rsid w:val="00505576"/>
    <w:rsid w:val="00506924"/>
    <w:rsid w:val="005164B8"/>
    <w:rsid w:val="0052204B"/>
    <w:rsid w:val="00526690"/>
    <w:rsid w:val="00530912"/>
    <w:rsid w:val="00531F4D"/>
    <w:rsid w:val="00532569"/>
    <w:rsid w:val="00543EFD"/>
    <w:rsid w:val="00546120"/>
    <w:rsid w:val="005475CC"/>
    <w:rsid w:val="005534FD"/>
    <w:rsid w:val="00554CBD"/>
    <w:rsid w:val="0055533A"/>
    <w:rsid w:val="00555B9F"/>
    <w:rsid w:val="00561024"/>
    <w:rsid w:val="005647D9"/>
    <w:rsid w:val="00564ABE"/>
    <w:rsid w:val="00564E8F"/>
    <w:rsid w:val="00565A22"/>
    <w:rsid w:val="0057194E"/>
    <w:rsid w:val="005750BD"/>
    <w:rsid w:val="0057579F"/>
    <w:rsid w:val="00575DC8"/>
    <w:rsid w:val="005826E2"/>
    <w:rsid w:val="00582DEA"/>
    <w:rsid w:val="005850CB"/>
    <w:rsid w:val="005854FE"/>
    <w:rsid w:val="005858DF"/>
    <w:rsid w:val="0059249B"/>
    <w:rsid w:val="005969C6"/>
    <w:rsid w:val="00597480"/>
    <w:rsid w:val="005A0EFF"/>
    <w:rsid w:val="005A70CB"/>
    <w:rsid w:val="005B0A34"/>
    <w:rsid w:val="005B20CC"/>
    <w:rsid w:val="005B2EF0"/>
    <w:rsid w:val="005B4256"/>
    <w:rsid w:val="005B4433"/>
    <w:rsid w:val="005B4BE5"/>
    <w:rsid w:val="005B4C2B"/>
    <w:rsid w:val="005B5825"/>
    <w:rsid w:val="005B773F"/>
    <w:rsid w:val="005B7E88"/>
    <w:rsid w:val="005C2A23"/>
    <w:rsid w:val="005C2E66"/>
    <w:rsid w:val="005C7BBC"/>
    <w:rsid w:val="005D04F5"/>
    <w:rsid w:val="005D2042"/>
    <w:rsid w:val="005D270B"/>
    <w:rsid w:val="005D34D0"/>
    <w:rsid w:val="005D4EB3"/>
    <w:rsid w:val="005D65E0"/>
    <w:rsid w:val="005D6E2E"/>
    <w:rsid w:val="005D6F70"/>
    <w:rsid w:val="005E01F2"/>
    <w:rsid w:val="005E0CBA"/>
    <w:rsid w:val="005E2FAC"/>
    <w:rsid w:val="005F404D"/>
    <w:rsid w:val="006001FF"/>
    <w:rsid w:val="006034DF"/>
    <w:rsid w:val="006042AB"/>
    <w:rsid w:val="00606FAD"/>
    <w:rsid w:val="0061455B"/>
    <w:rsid w:val="006145E5"/>
    <w:rsid w:val="00614F8E"/>
    <w:rsid w:val="00615BFC"/>
    <w:rsid w:val="00620C0B"/>
    <w:rsid w:val="006210A4"/>
    <w:rsid w:val="00621217"/>
    <w:rsid w:val="00621CAF"/>
    <w:rsid w:val="00624E48"/>
    <w:rsid w:val="0062557E"/>
    <w:rsid w:val="00626457"/>
    <w:rsid w:val="00630E31"/>
    <w:rsid w:val="006312AE"/>
    <w:rsid w:val="00631C8F"/>
    <w:rsid w:val="00633D59"/>
    <w:rsid w:val="00636B1C"/>
    <w:rsid w:val="006402B0"/>
    <w:rsid w:val="00640BEB"/>
    <w:rsid w:val="00642C5F"/>
    <w:rsid w:val="0064326B"/>
    <w:rsid w:val="00643DD9"/>
    <w:rsid w:val="00644E88"/>
    <w:rsid w:val="00646537"/>
    <w:rsid w:val="00646BF4"/>
    <w:rsid w:val="00650749"/>
    <w:rsid w:val="00652BC7"/>
    <w:rsid w:val="00653E57"/>
    <w:rsid w:val="00655E99"/>
    <w:rsid w:val="006561E6"/>
    <w:rsid w:val="0065644F"/>
    <w:rsid w:val="006578E0"/>
    <w:rsid w:val="00662200"/>
    <w:rsid w:val="0066356A"/>
    <w:rsid w:val="0066595E"/>
    <w:rsid w:val="00667F65"/>
    <w:rsid w:val="00673642"/>
    <w:rsid w:val="00675D90"/>
    <w:rsid w:val="00677782"/>
    <w:rsid w:val="00680056"/>
    <w:rsid w:val="00680D5A"/>
    <w:rsid w:val="00683897"/>
    <w:rsid w:val="006868D6"/>
    <w:rsid w:val="00692485"/>
    <w:rsid w:val="006938BD"/>
    <w:rsid w:val="00694993"/>
    <w:rsid w:val="00694CD1"/>
    <w:rsid w:val="0069543D"/>
    <w:rsid w:val="006A1517"/>
    <w:rsid w:val="006A280C"/>
    <w:rsid w:val="006A3390"/>
    <w:rsid w:val="006A48F1"/>
    <w:rsid w:val="006A49E9"/>
    <w:rsid w:val="006A4A14"/>
    <w:rsid w:val="006A694A"/>
    <w:rsid w:val="006B21DC"/>
    <w:rsid w:val="006B338C"/>
    <w:rsid w:val="006B4924"/>
    <w:rsid w:val="006C0E9C"/>
    <w:rsid w:val="006C1B14"/>
    <w:rsid w:val="006C1B74"/>
    <w:rsid w:val="006C2D46"/>
    <w:rsid w:val="006C5C16"/>
    <w:rsid w:val="006D034B"/>
    <w:rsid w:val="006D2394"/>
    <w:rsid w:val="006D591E"/>
    <w:rsid w:val="006D59A2"/>
    <w:rsid w:val="006D7B38"/>
    <w:rsid w:val="006E05DA"/>
    <w:rsid w:val="006E3055"/>
    <w:rsid w:val="006E3AC8"/>
    <w:rsid w:val="006F1102"/>
    <w:rsid w:val="006F1C5C"/>
    <w:rsid w:val="006F5931"/>
    <w:rsid w:val="006F5DA1"/>
    <w:rsid w:val="006F65D3"/>
    <w:rsid w:val="00700A14"/>
    <w:rsid w:val="00700DF8"/>
    <w:rsid w:val="007127E5"/>
    <w:rsid w:val="00716C8F"/>
    <w:rsid w:val="00723545"/>
    <w:rsid w:val="00725E31"/>
    <w:rsid w:val="00732F11"/>
    <w:rsid w:val="007331DC"/>
    <w:rsid w:val="00735606"/>
    <w:rsid w:val="00735891"/>
    <w:rsid w:val="007410C4"/>
    <w:rsid w:val="00741726"/>
    <w:rsid w:val="00746B73"/>
    <w:rsid w:val="00746FCB"/>
    <w:rsid w:val="00751CA6"/>
    <w:rsid w:val="00760DC3"/>
    <w:rsid w:val="00760DD1"/>
    <w:rsid w:val="0076119D"/>
    <w:rsid w:val="00764265"/>
    <w:rsid w:val="0076485E"/>
    <w:rsid w:val="00766183"/>
    <w:rsid w:val="00766A8E"/>
    <w:rsid w:val="00772C5F"/>
    <w:rsid w:val="007734FA"/>
    <w:rsid w:val="007743E2"/>
    <w:rsid w:val="00776581"/>
    <w:rsid w:val="007813E4"/>
    <w:rsid w:val="00781728"/>
    <w:rsid w:val="00782941"/>
    <w:rsid w:val="0078296F"/>
    <w:rsid w:val="00783386"/>
    <w:rsid w:val="00783AD1"/>
    <w:rsid w:val="00784111"/>
    <w:rsid w:val="00784471"/>
    <w:rsid w:val="00790C15"/>
    <w:rsid w:val="00792BA3"/>
    <w:rsid w:val="00792DA2"/>
    <w:rsid w:val="00792E37"/>
    <w:rsid w:val="007A19CA"/>
    <w:rsid w:val="007A228E"/>
    <w:rsid w:val="007A43A1"/>
    <w:rsid w:val="007A675C"/>
    <w:rsid w:val="007B0144"/>
    <w:rsid w:val="007B1410"/>
    <w:rsid w:val="007B6A5F"/>
    <w:rsid w:val="007C23B8"/>
    <w:rsid w:val="007C293D"/>
    <w:rsid w:val="007D1719"/>
    <w:rsid w:val="007D2788"/>
    <w:rsid w:val="007D3904"/>
    <w:rsid w:val="007D50EF"/>
    <w:rsid w:val="007E31EA"/>
    <w:rsid w:val="007E41B8"/>
    <w:rsid w:val="007E6B83"/>
    <w:rsid w:val="007E7719"/>
    <w:rsid w:val="007E7C11"/>
    <w:rsid w:val="007F063B"/>
    <w:rsid w:val="007F3E4C"/>
    <w:rsid w:val="008013B3"/>
    <w:rsid w:val="00805019"/>
    <w:rsid w:val="0080759F"/>
    <w:rsid w:val="00812BB1"/>
    <w:rsid w:val="00813867"/>
    <w:rsid w:val="008143AB"/>
    <w:rsid w:val="00816AE2"/>
    <w:rsid w:val="008172AE"/>
    <w:rsid w:val="00824D7A"/>
    <w:rsid w:val="00826B64"/>
    <w:rsid w:val="008331D5"/>
    <w:rsid w:val="008341B8"/>
    <w:rsid w:val="00840A6F"/>
    <w:rsid w:val="00840BF5"/>
    <w:rsid w:val="008453B2"/>
    <w:rsid w:val="00847617"/>
    <w:rsid w:val="00850C88"/>
    <w:rsid w:val="00854F22"/>
    <w:rsid w:val="00855F00"/>
    <w:rsid w:val="00856AE7"/>
    <w:rsid w:val="00860FA5"/>
    <w:rsid w:val="00861DDF"/>
    <w:rsid w:val="0086212B"/>
    <w:rsid w:val="0086369A"/>
    <w:rsid w:val="00865ECB"/>
    <w:rsid w:val="008666B1"/>
    <w:rsid w:val="00866A52"/>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626"/>
    <w:rsid w:val="0089474A"/>
    <w:rsid w:val="008958DD"/>
    <w:rsid w:val="00895C3B"/>
    <w:rsid w:val="00895F92"/>
    <w:rsid w:val="008A1FF1"/>
    <w:rsid w:val="008A2B82"/>
    <w:rsid w:val="008A38AD"/>
    <w:rsid w:val="008A5BB3"/>
    <w:rsid w:val="008A6CB6"/>
    <w:rsid w:val="008A7019"/>
    <w:rsid w:val="008B1BCA"/>
    <w:rsid w:val="008B274E"/>
    <w:rsid w:val="008B2DB2"/>
    <w:rsid w:val="008B2F83"/>
    <w:rsid w:val="008B35A2"/>
    <w:rsid w:val="008B5773"/>
    <w:rsid w:val="008B5E86"/>
    <w:rsid w:val="008B6FA7"/>
    <w:rsid w:val="008B7A40"/>
    <w:rsid w:val="008C0DA3"/>
    <w:rsid w:val="008C2A1B"/>
    <w:rsid w:val="008C36DB"/>
    <w:rsid w:val="008C3CC6"/>
    <w:rsid w:val="008C6B65"/>
    <w:rsid w:val="008C78B8"/>
    <w:rsid w:val="008C7A4A"/>
    <w:rsid w:val="008C7DD5"/>
    <w:rsid w:val="008D0094"/>
    <w:rsid w:val="008D01DA"/>
    <w:rsid w:val="008D1041"/>
    <w:rsid w:val="008D1492"/>
    <w:rsid w:val="008D1E7A"/>
    <w:rsid w:val="008D2083"/>
    <w:rsid w:val="008D5107"/>
    <w:rsid w:val="008D5C57"/>
    <w:rsid w:val="008D627B"/>
    <w:rsid w:val="008D70A5"/>
    <w:rsid w:val="008D7663"/>
    <w:rsid w:val="008E2EA3"/>
    <w:rsid w:val="008E3561"/>
    <w:rsid w:val="008E54B8"/>
    <w:rsid w:val="008E5561"/>
    <w:rsid w:val="008E6B09"/>
    <w:rsid w:val="008E763A"/>
    <w:rsid w:val="008F1384"/>
    <w:rsid w:val="008F24EB"/>
    <w:rsid w:val="008F2E44"/>
    <w:rsid w:val="008F7BD8"/>
    <w:rsid w:val="00901F61"/>
    <w:rsid w:val="009033DA"/>
    <w:rsid w:val="0091084F"/>
    <w:rsid w:val="00910D0C"/>
    <w:rsid w:val="00911C10"/>
    <w:rsid w:val="00912119"/>
    <w:rsid w:val="009139E6"/>
    <w:rsid w:val="00916994"/>
    <w:rsid w:val="00920158"/>
    <w:rsid w:val="00926F2E"/>
    <w:rsid w:val="0093170F"/>
    <w:rsid w:val="009322A3"/>
    <w:rsid w:val="00932AAE"/>
    <w:rsid w:val="00933DDB"/>
    <w:rsid w:val="00933FB3"/>
    <w:rsid w:val="0093452A"/>
    <w:rsid w:val="009413F0"/>
    <w:rsid w:val="009414E9"/>
    <w:rsid w:val="00941953"/>
    <w:rsid w:val="00942063"/>
    <w:rsid w:val="00942821"/>
    <w:rsid w:val="009447E0"/>
    <w:rsid w:val="00944E19"/>
    <w:rsid w:val="00944EFF"/>
    <w:rsid w:val="0094758F"/>
    <w:rsid w:val="00950671"/>
    <w:rsid w:val="00950F8D"/>
    <w:rsid w:val="00951B93"/>
    <w:rsid w:val="00953964"/>
    <w:rsid w:val="00953C90"/>
    <w:rsid w:val="00954B12"/>
    <w:rsid w:val="009561F5"/>
    <w:rsid w:val="00961CB7"/>
    <w:rsid w:val="0096609A"/>
    <w:rsid w:val="00966AEF"/>
    <w:rsid w:val="00971E77"/>
    <w:rsid w:val="00976111"/>
    <w:rsid w:val="0098148C"/>
    <w:rsid w:val="00982C7B"/>
    <w:rsid w:val="0098398C"/>
    <w:rsid w:val="00986367"/>
    <w:rsid w:val="00987BE4"/>
    <w:rsid w:val="00987E15"/>
    <w:rsid w:val="00990C50"/>
    <w:rsid w:val="009911B0"/>
    <w:rsid w:val="00995028"/>
    <w:rsid w:val="009A0AC8"/>
    <w:rsid w:val="009A3C5E"/>
    <w:rsid w:val="009A3C62"/>
    <w:rsid w:val="009A56DD"/>
    <w:rsid w:val="009B11AE"/>
    <w:rsid w:val="009B2788"/>
    <w:rsid w:val="009B2B00"/>
    <w:rsid w:val="009B2BB7"/>
    <w:rsid w:val="009B41CB"/>
    <w:rsid w:val="009B47D9"/>
    <w:rsid w:val="009B5A71"/>
    <w:rsid w:val="009B5B34"/>
    <w:rsid w:val="009B6311"/>
    <w:rsid w:val="009B7CA2"/>
    <w:rsid w:val="009C01D3"/>
    <w:rsid w:val="009C35B5"/>
    <w:rsid w:val="009C56F7"/>
    <w:rsid w:val="009C666D"/>
    <w:rsid w:val="009C68BE"/>
    <w:rsid w:val="009C6F5C"/>
    <w:rsid w:val="009D6F50"/>
    <w:rsid w:val="009D76B9"/>
    <w:rsid w:val="009D77C4"/>
    <w:rsid w:val="009E4022"/>
    <w:rsid w:val="009E7621"/>
    <w:rsid w:val="009E776B"/>
    <w:rsid w:val="009E7E8C"/>
    <w:rsid w:val="009F1C8E"/>
    <w:rsid w:val="009F2900"/>
    <w:rsid w:val="009F45D2"/>
    <w:rsid w:val="009F5941"/>
    <w:rsid w:val="009F69A3"/>
    <w:rsid w:val="009F69C0"/>
    <w:rsid w:val="009F6CB1"/>
    <w:rsid w:val="009F774B"/>
    <w:rsid w:val="00A00279"/>
    <w:rsid w:val="00A00DCF"/>
    <w:rsid w:val="00A02D73"/>
    <w:rsid w:val="00A04410"/>
    <w:rsid w:val="00A06D6D"/>
    <w:rsid w:val="00A100C2"/>
    <w:rsid w:val="00A10F41"/>
    <w:rsid w:val="00A207A5"/>
    <w:rsid w:val="00A20BEE"/>
    <w:rsid w:val="00A22C29"/>
    <w:rsid w:val="00A31821"/>
    <w:rsid w:val="00A415BA"/>
    <w:rsid w:val="00A44A11"/>
    <w:rsid w:val="00A44A32"/>
    <w:rsid w:val="00A45B9F"/>
    <w:rsid w:val="00A4668C"/>
    <w:rsid w:val="00A474D6"/>
    <w:rsid w:val="00A512C8"/>
    <w:rsid w:val="00A54113"/>
    <w:rsid w:val="00A54638"/>
    <w:rsid w:val="00A54F7D"/>
    <w:rsid w:val="00A5705E"/>
    <w:rsid w:val="00A60354"/>
    <w:rsid w:val="00A61076"/>
    <w:rsid w:val="00A629BB"/>
    <w:rsid w:val="00A629C4"/>
    <w:rsid w:val="00A64692"/>
    <w:rsid w:val="00A64A1F"/>
    <w:rsid w:val="00A656A0"/>
    <w:rsid w:val="00A66A2F"/>
    <w:rsid w:val="00A6753F"/>
    <w:rsid w:val="00A70E73"/>
    <w:rsid w:val="00A71EB3"/>
    <w:rsid w:val="00A74E52"/>
    <w:rsid w:val="00A75478"/>
    <w:rsid w:val="00A778F5"/>
    <w:rsid w:val="00A812E2"/>
    <w:rsid w:val="00A815D2"/>
    <w:rsid w:val="00A81A13"/>
    <w:rsid w:val="00A852CB"/>
    <w:rsid w:val="00A94CF4"/>
    <w:rsid w:val="00A963D1"/>
    <w:rsid w:val="00A9668F"/>
    <w:rsid w:val="00A979FF"/>
    <w:rsid w:val="00AA1E86"/>
    <w:rsid w:val="00AA3202"/>
    <w:rsid w:val="00AA5BE0"/>
    <w:rsid w:val="00AA72EA"/>
    <w:rsid w:val="00AB144B"/>
    <w:rsid w:val="00AB260F"/>
    <w:rsid w:val="00AB2E62"/>
    <w:rsid w:val="00AB66F7"/>
    <w:rsid w:val="00AB73C6"/>
    <w:rsid w:val="00AC2BF6"/>
    <w:rsid w:val="00AC7BEB"/>
    <w:rsid w:val="00AD0601"/>
    <w:rsid w:val="00AD1B4D"/>
    <w:rsid w:val="00AD22D4"/>
    <w:rsid w:val="00AD241A"/>
    <w:rsid w:val="00AD60A3"/>
    <w:rsid w:val="00AD67C6"/>
    <w:rsid w:val="00AD738D"/>
    <w:rsid w:val="00AD7613"/>
    <w:rsid w:val="00AD7CEF"/>
    <w:rsid w:val="00AE2F5C"/>
    <w:rsid w:val="00AE32D4"/>
    <w:rsid w:val="00AE66E1"/>
    <w:rsid w:val="00AE77B6"/>
    <w:rsid w:val="00AF0F90"/>
    <w:rsid w:val="00AF21FD"/>
    <w:rsid w:val="00AF263F"/>
    <w:rsid w:val="00AF2AAE"/>
    <w:rsid w:val="00AF4146"/>
    <w:rsid w:val="00AF61B2"/>
    <w:rsid w:val="00AF6858"/>
    <w:rsid w:val="00B00C4C"/>
    <w:rsid w:val="00B02A20"/>
    <w:rsid w:val="00B05129"/>
    <w:rsid w:val="00B054D8"/>
    <w:rsid w:val="00B059F8"/>
    <w:rsid w:val="00B06B4B"/>
    <w:rsid w:val="00B10347"/>
    <w:rsid w:val="00B126A5"/>
    <w:rsid w:val="00B1391F"/>
    <w:rsid w:val="00B14F39"/>
    <w:rsid w:val="00B15412"/>
    <w:rsid w:val="00B154FE"/>
    <w:rsid w:val="00B252BF"/>
    <w:rsid w:val="00B27955"/>
    <w:rsid w:val="00B30AFE"/>
    <w:rsid w:val="00B31DFC"/>
    <w:rsid w:val="00B32331"/>
    <w:rsid w:val="00B32E43"/>
    <w:rsid w:val="00B32E8E"/>
    <w:rsid w:val="00B33DA5"/>
    <w:rsid w:val="00B34196"/>
    <w:rsid w:val="00B342A0"/>
    <w:rsid w:val="00B3652A"/>
    <w:rsid w:val="00B37FCB"/>
    <w:rsid w:val="00B43F30"/>
    <w:rsid w:val="00B4521D"/>
    <w:rsid w:val="00B45FDB"/>
    <w:rsid w:val="00B46B14"/>
    <w:rsid w:val="00B550DC"/>
    <w:rsid w:val="00B5523E"/>
    <w:rsid w:val="00B56F14"/>
    <w:rsid w:val="00B57FA1"/>
    <w:rsid w:val="00B600D5"/>
    <w:rsid w:val="00B60D55"/>
    <w:rsid w:val="00B64E35"/>
    <w:rsid w:val="00B66120"/>
    <w:rsid w:val="00B70A30"/>
    <w:rsid w:val="00B7162B"/>
    <w:rsid w:val="00B73E56"/>
    <w:rsid w:val="00B74269"/>
    <w:rsid w:val="00B76DE0"/>
    <w:rsid w:val="00B81475"/>
    <w:rsid w:val="00B83125"/>
    <w:rsid w:val="00B87FD7"/>
    <w:rsid w:val="00B91BCC"/>
    <w:rsid w:val="00B91F54"/>
    <w:rsid w:val="00B95614"/>
    <w:rsid w:val="00B95FFA"/>
    <w:rsid w:val="00B960CE"/>
    <w:rsid w:val="00B9678F"/>
    <w:rsid w:val="00B96FA6"/>
    <w:rsid w:val="00B97F3F"/>
    <w:rsid w:val="00BA35D6"/>
    <w:rsid w:val="00BA4C44"/>
    <w:rsid w:val="00BA621F"/>
    <w:rsid w:val="00BA733B"/>
    <w:rsid w:val="00BB2C22"/>
    <w:rsid w:val="00BB7B2D"/>
    <w:rsid w:val="00BC16E1"/>
    <w:rsid w:val="00BC1CB2"/>
    <w:rsid w:val="00BC2424"/>
    <w:rsid w:val="00BC27DF"/>
    <w:rsid w:val="00BC5C58"/>
    <w:rsid w:val="00BD2F49"/>
    <w:rsid w:val="00BD347E"/>
    <w:rsid w:val="00BD481D"/>
    <w:rsid w:val="00BD601E"/>
    <w:rsid w:val="00BE0E9D"/>
    <w:rsid w:val="00BE37C7"/>
    <w:rsid w:val="00BE3EDC"/>
    <w:rsid w:val="00BE3FE8"/>
    <w:rsid w:val="00BE4638"/>
    <w:rsid w:val="00BF0016"/>
    <w:rsid w:val="00BF1FF5"/>
    <w:rsid w:val="00BF285F"/>
    <w:rsid w:val="00BF4AC6"/>
    <w:rsid w:val="00BF786A"/>
    <w:rsid w:val="00C03B29"/>
    <w:rsid w:val="00C04251"/>
    <w:rsid w:val="00C05A4D"/>
    <w:rsid w:val="00C07399"/>
    <w:rsid w:val="00C10D31"/>
    <w:rsid w:val="00C11293"/>
    <w:rsid w:val="00C1300A"/>
    <w:rsid w:val="00C148EA"/>
    <w:rsid w:val="00C155EB"/>
    <w:rsid w:val="00C160C1"/>
    <w:rsid w:val="00C166BD"/>
    <w:rsid w:val="00C17745"/>
    <w:rsid w:val="00C20D85"/>
    <w:rsid w:val="00C227F1"/>
    <w:rsid w:val="00C245EE"/>
    <w:rsid w:val="00C2480C"/>
    <w:rsid w:val="00C25881"/>
    <w:rsid w:val="00C300D1"/>
    <w:rsid w:val="00C30FD3"/>
    <w:rsid w:val="00C31599"/>
    <w:rsid w:val="00C32DA8"/>
    <w:rsid w:val="00C33A95"/>
    <w:rsid w:val="00C33D1B"/>
    <w:rsid w:val="00C34942"/>
    <w:rsid w:val="00C364A6"/>
    <w:rsid w:val="00C3650A"/>
    <w:rsid w:val="00C36BD3"/>
    <w:rsid w:val="00C4166D"/>
    <w:rsid w:val="00C4187C"/>
    <w:rsid w:val="00C44059"/>
    <w:rsid w:val="00C44302"/>
    <w:rsid w:val="00C44FDA"/>
    <w:rsid w:val="00C45045"/>
    <w:rsid w:val="00C46B2C"/>
    <w:rsid w:val="00C4778A"/>
    <w:rsid w:val="00C501FF"/>
    <w:rsid w:val="00C52AEC"/>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77C59"/>
    <w:rsid w:val="00C8068F"/>
    <w:rsid w:val="00C81BD6"/>
    <w:rsid w:val="00C82676"/>
    <w:rsid w:val="00C82B77"/>
    <w:rsid w:val="00C83D93"/>
    <w:rsid w:val="00C85883"/>
    <w:rsid w:val="00C86437"/>
    <w:rsid w:val="00C8738D"/>
    <w:rsid w:val="00C96A3D"/>
    <w:rsid w:val="00CA00C9"/>
    <w:rsid w:val="00CA1818"/>
    <w:rsid w:val="00CA72D8"/>
    <w:rsid w:val="00CB2160"/>
    <w:rsid w:val="00CB255E"/>
    <w:rsid w:val="00CB4A9A"/>
    <w:rsid w:val="00CB6AEB"/>
    <w:rsid w:val="00CB78DE"/>
    <w:rsid w:val="00CC4555"/>
    <w:rsid w:val="00CC49D9"/>
    <w:rsid w:val="00CC61E3"/>
    <w:rsid w:val="00CD128B"/>
    <w:rsid w:val="00CD1D73"/>
    <w:rsid w:val="00CD7E69"/>
    <w:rsid w:val="00CE2FB4"/>
    <w:rsid w:val="00CE5E6E"/>
    <w:rsid w:val="00CE63F0"/>
    <w:rsid w:val="00CE7A74"/>
    <w:rsid w:val="00CE7F7F"/>
    <w:rsid w:val="00CF25F4"/>
    <w:rsid w:val="00CF339B"/>
    <w:rsid w:val="00CF3853"/>
    <w:rsid w:val="00CF7911"/>
    <w:rsid w:val="00D01ABD"/>
    <w:rsid w:val="00D02265"/>
    <w:rsid w:val="00D022C3"/>
    <w:rsid w:val="00D02DF0"/>
    <w:rsid w:val="00D139C4"/>
    <w:rsid w:val="00D13AC3"/>
    <w:rsid w:val="00D15F24"/>
    <w:rsid w:val="00D16A7F"/>
    <w:rsid w:val="00D17D82"/>
    <w:rsid w:val="00D20D73"/>
    <w:rsid w:val="00D22C4F"/>
    <w:rsid w:val="00D253A8"/>
    <w:rsid w:val="00D25FD3"/>
    <w:rsid w:val="00D30D15"/>
    <w:rsid w:val="00D30FE0"/>
    <w:rsid w:val="00D32702"/>
    <w:rsid w:val="00D3342F"/>
    <w:rsid w:val="00D35229"/>
    <w:rsid w:val="00D36F22"/>
    <w:rsid w:val="00D425F0"/>
    <w:rsid w:val="00D43AAC"/>
    <w:rsid w:val="00D51E0F"/>
    <w:rsid w:val="00D53711"/>
    <w:rsid w:val="00D53C91"/>
    <w:rsid w:val="00D563D1"/>
    <w:rsid w:val="00D6078F"/>
    <w:rsid w:val="00D60FA9"/>
    <w:rsid w:val="00D63646"/>
    <w:rsid w:val="00D66836"/>
    <w:rsid w:val="00D67A95"/>
    <w:rsid w:val="00D73744"/>
    <w:rsid w:val="00D77139"/>
    <w:rsid w:val="00D81A34"/>
    <w:rsid w:val="00D81F08"/>
    <w:rsid w:val="00D825E3"/>
    <w:rsid w:val="00D86BE7"/>
    <w:rsid w:val="00D922BB"/>
    <w:rsid w:val="00D930B6"/>
    <w:rsid w:val="00D939E7"/>
    <w:rsid w:val="00D93E61"/>
    <w:rsid w:val="00D969BA"/>
    <w:rsid w:val="00DA2A3B"/>
    <w:rsid w:val="00DA68B3"/>
    <w:rsid w:val="00DA6B0B"/>
    <w:rsid w:val="00DB662B"/>
    <w:rsid w:val="00DB749E"/>
    <w:rsid w:val="00DC4E81"/>
    <w:rsid w:val="00DC5A7F"/>
    <w:rsid w:val="00DC7646"/>
    <w:rsid w:val="00DD22C6"/>
    <w:rsid w:val="00DD5C37"/>
    <w:rsid w:val="00DD66AC"/>
    <w:rsid w:val="00DD7367"/>
    <w:rsid w:val="00DE0F6A"/>
    <w:rsid w:val="00DE4056"/>
    <w:rsid w:val="00DE4505"/>
    <w:rsid w:val="00DE4FA9"/>
    <w:rsid w:val="00DE726B"/>
    <w:rsid w:val="00DE74F4"/>
    <w:rsid w:val="00DF15E5"/>
    <w:rsid w:val="00DF1D18"/>
    <w:rsid w:val="00DF53A2"/>
    <w:rsid w:val="00DF6061"/>
    <w:rsid w:val="00DF6D74"/>
    <w:rsid w:val="00E033D0"/>
    <w:rsid w:val="00E0671C"/>
    <w:rsid w:val="00E12E6E"/>
    <w:rsid w:val="00E138D9"/>
    <w:rsid w:val="00E17F83"/>
    <w:rsid w:val="00E20380"/>
    <w:rsid w:val="00E207EC"/>
    <w:rsid w:val="00E227D9"/>
    <w:rsid w:val="00E23410"/>
    <w:rsid w:val="00E25736"/>
    <w:rsid w:val="00E26327"/>
    <w:rsid w:val="00E302CF"/>
    <w:rsid w:val="00E321B4"/>
    <w:rsid w:val="00E34CFC"/>
    <w:rsid w:val="00E41045"/>
    <w:rsid w:val="00E41F6B"/>
    <w:rsid w:val="00E43DF6"/>
    <w:rsid w:val="00E466FF"/>
    <w:rsid w:val="00E510B5"/>
    <w:rsid w:val="00E51150"/>
    <w:rsid w:val="00E5273B"/>
    <w:rsid w:val="00E52A9A"/>
    <w:rsid w:val="00E53A07"/>
    <w:rsid w:val="00E5595C"/>
    <w:rsid w:val="00E55D81"/>
    <w:rsid w:val="00E57405"/>
    <w:rsid w:val="00E60A06"/>
    <w:rsid w:val="00E6149C"/>
    <w:rsid w:val="00E6394B"/>
    <w:rsid w:val="00E64066"/>
    <w:rsid w:val="00E6682F"/>
    <w:rsid w:val="00E71977"/>
    <w:rsid w:val="00E72155"/>
    <w:rsid w:val="00E7263D"/>
    <w:rsid w:val="00E72B8C"/>
    <w:rsid w:val="00E748D0"/>
    <w:rsid w:val="00E74E41"/>
    <w:rsid w:val="00E761DE"/>
    <w:rsid w:val="00E7681F"/>
    <w:rsid w:val="00E77F5E"/>
    <w:rsid w:val="00E8000F"/>
    <w:rsid w:val="00E815A3"/>
    <w:rsid w:val="00E8254C"/>
    <w:rsid w:val="00E82A69"/>
    <w:rsid w:val="00E83FBA"/>
    <w:rsid w:val="00E845FE"/>
    <w:rsid w:val="00E90F1E"/>
    <w:rsid w:val="00E9326A"/>
    <w:rsid w:val="00E93562"/>
    <w:rsid w:val="00E93C42"/>
    <w:rsid w:val="00E95F4F"/>
    <w:rsid w:val="00E966E1"/>
    <w:rsid w:val="00EA0219"/>
    <w:rsid w:val="00EA12C6"/>
    <w:rsid w:val="00EB04B0"/>
    <w:rsid w:val="00EB185A"/>
    <w:rsid w:val="00EB792F"/>
    <w:rsid w:val="00EC00E0"/>
    <w:rsid w:val="00EC10D9"/>
    <w:rsid w:val="00EC1B30"/>
    <w:rsid w:val="00EC342E"/>
    <w:rsid w:val="00EC373C"/>
    <w:rsid w:val="00EC4327"/>
    <w:rsid w:val="00ED0C24"/>
    <w:rsid w:val="00ED111C"/>
    <w:rsid w:val="00ED1476"/>
    <w:rsid w:val="00ED16C0"/>
    <w:rsid w:val="00EE1805"/>
    <w:rsid w:val="00EE2AC6"/>
    <w:rsid w:val="00EE3E35"/>
    <w:rsid w:val="00EE3F0B"/>
    <w:rsid w:val="00EE610B"/>
    <w:rsid w:val="00EF156F"/>
    <w:rsid w:val="00EF20EE"/>
    <w:rsid w:val="00EF48D2"/>
    <w:rsid w:val="00EF52CC"/>
    <w:rsid w:val="00EF6FF8"/>
    <w:rsid w:val="00EF7506"/>
    <w:rsid w:val="00F02703"/>
    <w:rsid w:val="00F075B3"/>
    <w:rsid w:val="00F11251"/>
    <w:rsid w:val="00F11866"/>
    <w:rsid w:val="00F131F4"/>
    <w:rsid w:val="00F14DFD"/>
    <w:rsid w:val="00F16C95"/>
    <w:rsid w:val="00F20288"/>
    <w:rsid w:val="00F20A8E"/>
    <w:rsid w:val="00F21BB5"/>
    <w:rsid w:val="00F221C3"/>
    <w:rsid w:val="00F24D83"/>
    <w:rsid w:val="00F2536F"/>
    <w:rsid w:val="00F25DA8"/>
    <w:rsid w:val="00F334B4"/>
    <w:rsid w:val="00F34F1C"/>
    <w:rsid w:val="00F359D0"/>
    <w:rsid w:val="00F36699"/>
    <w:rsid w:val="00F36BEC"/>
    <w:rsid w:val="00F378CD"/>
    <w:rsid w:val="00F41077"/>
    <w:rsid w:val="00F43837"/>
    <w:rsid w:val="00F44566"/>
    <w:rsid w:val="00F516A0"/>
    <w:rsid w:val="00F53F85"/>
    <w:rsid w:val="00F54016"/>
    <w:rsid w:val="00F555E7"/>
    <w:rsid w:val="00F565F9"/>
    <w:rsid w:val="00F57CCE"/>
    <w:rsid w:val="00F65165"/>
    <w:rsid w:val="00F66457"/>
    <w:rsid w:val="00F664B9"/>
    <w:rsid w:val="00F67AEA"/>
    <w:rsid w:val="00F70FDC"/>
    <w:rsid w:val="00F718AA"/>
    <w:rsid w:val="00F721FF"/>
    <w:rsid w:val="00F7603A"/>
    <w:rsid w:val="00F8043F"/>
    <w:rsid w:val="00F82331"/>
    <w:rsid w:val="00F833FF"/>
    <w:rsid w:val="00F83A6C"/>
    <w:rsid w:val="00F86B08"/>
    <w:rsid w:val="00F86F59"/>
    <w:rsid w:val="00F90023"/>
    <w:rsid w:val="00F91BFB"/>
    <w:rsid w:val="00F91D55"/>
    <w:rsid w:val="00F92764"/>
    <w:rsid w:val="00F92909"/>
    <w:rsid w:val="00F95C56"/>
    <w:rsid w:val="00F96207"/>
    <w:rsid w:val="00FA2A7F"/>
    <w:rsid w:val="00FA3CD5"/>
    <w:rsid w:val="00FA5667"/>
    <w:rsid w:val="00FA69D6"/>
    <w:rsid w:val="00FA7048"/>
    <w:rsid w:val="00FA77B0"/>
    <w:rsid w:val="00FB056B"/>
    <w:rsid w:val="00FB6C7E"/>
    <w:rsid w:val="00FB7B43"/>
    <w:rsid w:val="00FC1FFB"/>
    <w:rsid w:val="00FC64A9"/>
    <w:rsid w:val="00FD3058"/>
    <w:rsid w:val="00FD32B4"/>
    <w:rsid w:val="00FD6C8D"/>
    <w:rsid w:val="00FD6EC7"/>
    <w:rsid w:val="00FE1908"/>
    <w:rsid w:val="00FE24B0"/>
    <w:rsid w:val="00FF2C38"/>
    <w:rsid w:val="00FF2E96"/>
    <w:rsid w:val="00FF397D"/>
    <w:rsid w:val="00FF4A54"/>
    <w:rsid w:val="00FF6F5D"/>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75AA2"/>
  <w15:docId w15:val="{94F77FEB-BDE4-4554-B5CB-8E532FA5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70B"/>
    <w:pPr>
      <w:suppressAutoHyphens/>
    </w:pPr>
    <w:rPr>
      <w:sz w:val="24"/>
      <w:szCs w:val="24"/>
      <w:lang w:eastAsia="ar-SA"/>
    </w:rPr>
  </w:style>
  <w:style w:type="paragraph" w:styleId="Ttulo1">
    <w:name w:val="heading 1"/>
    <w:aliases w:val="Título Principal"/>
    <w:basedOn w:val="Normal"/>
    <w:next w:val="Normal"/>
    <w:link w:val="Ttulo1Car"/>
    <w:qFormat/>
    <w:rsid w:val="000E3584"/>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basedOn w:val="Normal"/>
    <w:next w:val="Normal"/>
    <w:qFormat/>
    <w:rsid w:val="00A70E73"/>
    <w:pPr>
      <w:keepNext/>
      <w:spacing w:before="240" w:after="60"/>
      <w:outlineLvl w:val="3"/>
    </w:pPr>
    <w:rPr>
      <w:b/>
      <w:bCs/>
      <w:sz w:val="28"/>
      <w:szCs w:val="28"/>
      <w:lang w:val="es-ES_tradnl"/>
    </w:rPr>
  </w:style>
  <w:style w:type="paragraph" w:styleId="Ttulo5">
    <w:name w:val="heading 5"/>
    <w:basedOn w:val="Normal"/>
    <w:next w:val="Normal"/>
    <w:qFormat/>
    <w:rsid w:val="00A70E73"/>
    <w:pPr>
      <w:spacing w:before="360" w:after="240" w:line="480" w:lineRule="auto"/>
      <w:jc w:val="center"/>
      <w:outlineLvl w:val="4"/>
    </w:pPr>
    <w:rPr>
      <w:b/>
      <w:bCs/>
      <w:iCs/>
      <w:sz w:val="44"/>
      <w:szCs w:val="26"/>
      <w:u w:val="single"/>
      <w:lang w:val="es-ES_tradnl"/>
    </w:rPr>
  </w:style>
  <w:style w:type="paragraph" w:styleId="Ttulo6">
    <w:name w:val="heading 6"/>
    <w:basedOn w:val="Normal"/>
    <w:next w:val="Normal"/>
    <w:qFormat/>
    <w:rsid w:val="00A70E73"/>
    <w:pPr>
      <w:spacing w:before="240" w:after="60"/>
      <w:outlineLvl w:val="5"/>
    </w:pPr>
    <w:rPr>
      <w:b/>
      <w:bCs/>
      <w:sz w:val="22"/>
      <w:szCs w:val="22"/>
    </w:rPr>
  </w:style>
  <w:style w:type="paragraph" w:styleId="Ttulo7">
    <w:name w:val="heading 7"/>
    <w:basedOn w:val="Normal"/>
    <w:next w:val="Normal"/>
    <w:link w:val="Ttulo7Car1"/>
    <w:qFormat/>
    <w:rsid w:val="000E3584"/>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link w:val="Ttulo1"/>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semiHidden/>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
    <w:link w:val="Ttulo2"/>
    <w:rsid w:val="00A70E73"/>
    <w:rPr>
      <w:rFonts w:ascii="Arial" w:hAnsi="Arial" w:cs="Arial"/>
      <w:b/>
      <w:bCs/>
      <w:i/>
      <w:iCs/>
      <w:sz w:val="28"/>
      <w:szCs w:val="28"/>
      <w:lang w:val="es-ES" w:eastAsia="ar-SA" w:bidi="ar-SA"/>
    </w:rPr>
  </w:style>
  <w:style w:type="character" w:customStyle="1" w:styleId="Ttulo3Car">
    <w:name w:val="Título 3 Car"/>
    <w:link w:val="Ttulo3"/>
    <w:rsid w:val="00A70E73"/>
    <w:rPr>
      <w:rFonts w:cs="Arial"/>
      <w:b/>
      <w:bCs/>
      <w:sz w:val="28"/>
      <w:szCs w:val="26"/>
      <w:lang w:val="es-ES_tradnl" w:eastAsia="ar-SA" w:bidi="ar-SA"/>
    </w:rPr>
  </w:style>
  <w:style w:type="character" w:customStyle="1" w:styleId="Ttulo7Car1">
    <w:name w:val="Título 7 Car1"/>
    <w:link w:val="Ttulo7"/>
    <w:semiHidden/>
    <w:rsid w:val="00A70E73"/>
    <w:rPr>
      <w:rFonts w:ascii="Arial" w:hAnsi="Arial"/>
      <w:b/>
      <w:bCs/>
      <w:sz w:val="24"/>
      <w:szCs w:val="24"/>
      <w:u w:val="single"/>
      <w:shd w:val="clear" w:color="auto" w:fill="FFFFFF"/>
      <w:lang w:val="es-ES" w:eastAsia="ar-SA" w:bidi="ar-SA"/>
    </w:rPr>
  </w:style>
  <w:style w:type="character" w:customStyle="1" w:styleId="Ttulo8Car">
    <w:name w:val="Título 8 Car"/>
    <w:link w:val="Ttulo8"/>
    <w:rsid w:val="00A70E73"/>
    <w:rPr>
      <w:rFonts w:ascii="Calibri" w:hAnsi="Calibri"/>
      <w:i/>
      <w:iCs/>
      <w:sz w:val="24"/>
      <w:szCs w:val="24"/>
      <w:lang w:val="es-ES" w:eastAsia="ar-SA" w:bidi="ar-SA"/>
    </w:rPr>
  </w:style>
  <w:style w:type="character" w:customStyle="1" w:styleId="Absatz-Standardschriftart">
    <w:name w:val="Absatz-Standardschriftart"/>
    <w:rsid w:val="000E3584"/>
  </w:style>
  <w:style w:type="character" w:customStyle="1" w:styleId="WW-Absatz-Standardschriftart">
    <w:name w:val="WW-Absatz-Standardschriftart"/>
    <w:rsid w:val="000E3584"/>
  </w:style>
  <w:style w:type="character" w:customStyle="1" w:styleId="WW-Absatz-Standardschriftart1">
    <w:name w:val="WW-Absatz-Standardschriftart1"/>
    <w:rsid w:val="000E3584"/>
  </w:style>
  <w:style w:type="character" w:customStyle="1" w:styleId="WW-Absatz-Standardschriftart11">
    <w:name w:val="WW-Absatz-Standardschriftart11"/>
    <w:rsid w:val="000E3584"/>
  </w:style>
  <w:style w:type="character" w:customStyle="1" w:styleId="WW-Absatz-Standardschriftart111">
    <w:name w:val="WW-Absatz-Standardschriftart111"/>
    <w:rsid w:val="000E3584"/>
  </w:style>
  <w:style w:type="character" w:customStyle="1" w:styleId="WW-Absatz-Standardschriftart1111">
    <w:name w:val="WW-Absatz-Standardschriftart1111"/>
    <w:rsid w:val="000E3584"/>
  </w:style>
  <w:style w:type="character" w:customStyle="1" w:styleId="WW-Absatz-Standardschriftart11111">
    <w:name w:val="WW-Absatz-Standardschriftart11111"/>
    <w:rsid w:val="000E3584"/>
  </w:style>
  <w:style w:type="character" w:customStyle="1" w:styleId="WW-Absatz-Standardschriftart111111">
    <w:name w:val="WW-Absatz-Standardschriftart111111"/>
    <w:rsid w:val="000E3584"/>
  </w:style>
  <w:style w:type="character" w:customStyle="1" w:styleId="WW-Absatz-Standardschriftart1111111">
    <w:name w:val="WW-Absatz-Standardschriftart1111111"/>
    <w:rsid w:val="000E3584"/>
  </w:style>
  <w:style w:type="character" w:customStyle="1" w:styleId="WW-Absatz-Standardschriftart11111111">
    <w:name w:val="WW-Absatz-Standardschriftart11111111"/>
    <w:rsid w:val="000E3584"/>
  </w:style>
  <w:style w:type="character" w:customStyle="1" w:styleId="WW-Absatz-Standardschriftart111111111">
    <w:name w:val="WW-Absatz-Standardschriftart111111111"/>
    <w:rsid w:val="000E3584"/>
  </w:style>
  <w:style w:type="character" w:customStyle="1" w:styleId="WW-Absatz-Standardschriftart1111111111">
    <w:name w:val="WW-Absatz-Standardschriftart1111111111"/>
    <w:rsid w:val="000E3584"/>
  </w:style>
  <w:style w:type="character" w:customStyle="1" w:styleId="WW-Absatz-Standardschriftart11111111111">
    <w:name w:val="WW-Absatz-Standardschriftart11111111111"/>
    <w:rsid w:val="000E3584"/>
  </w:style>
  <w:style w:type="character" w:customStyle="1" w:styleId="WW-Absatz-Standardschriftart111111111111">
    <w:name w:val="WW-Absatz-Standardschriftart111111111111"/>
    <w:rsid w:val="000E3584"/>
  </w:style>
  <w:style w:type="character" w:customStyle="1" w:styleId="WW-Absatz-Standardschriftart1111111111111">
    <w:name w:val="WW-Absatz-Standardschriftart1111111111111"/>
    <w:rsid w:val="000E3584"/>
  </w:style>
  <w:style w:type="character" w:customStyle="1" w:styleId="WW-Absatz-Standardschriftart11111111111111">
    <w:name w:val="WW-Absatz-Standardschriftart11111111111111"/>
    <w:rsid w:val="000E3584"/>
  </w:style>
  <w:style w:type="character" w:customStyle="1" w:styleId="WW-Absatz-Standardschriftart111111111111111">
    <w:name w:val="WW-Absatz-Standardschriftart111111111111111"/>
    <w:rsid w:val="000E3584"/>
  </w:style>
  <w:style w:type="character" w:customStyle="1" w:styleId="WW-Absatz-Standardschriftart1111111111111111">
    <w:name w:val="WW-Absatz-Standardschriftart1111111111111111"/>
    <w:rsid w:val="000E3584"/>
  </w:style>
  <w:style w:type="character" w:customStyle="1" w:styleId="WW-Absatz-Standardschriftart11111111111111111">
    <w:name w:val="WW-Absatz-Standardschriftart11111111111111111"/>
    <w:rsid w:val="000E3584"/>
  </w:style>
  <w:style w:type="character" w:customStyle="1" w:styleId="WW-Absatz-Standardschriftart111111111111111111">
    <w:name w:val="WW-Absatz-Standardschriftart111111111111111111"/>
    <w:rsid w:val="000E3584"/>
  </w:style>
  <w:style w:type="character" w:customStyle="1" w:styleId="WW-Absatz-Standardschriftart1111111111111111111">
    <w:name w:val="WW-Absatz-Standardschriftart1111111111111111111"/>
    <w:rsid w:val="000E3584"/>
  </w:style>
  <w:style w:type="character" w:customStyle="1" w:styleId="WW-Absatz-Standardschriftart11111111111111111111">
    <w:name w:val="WW-Absatz-Standardschriftart11111111111111111111"/>
    <w:rsid w:val="000E3584"/>
  </w:style>
  <w:style w:type="character" w:customStyle="1" w:styleId="WW-Absatz-Standardschriftart111111111111111111111">
    <w:name w:val="WW-Absatz-Standardschriftart111111111111111111111"/>
    <w:rsid w:val="000E3584"/>
  </w:style>
  <w:style w:type="character" w:customStyle="1" w:styleId="WW-Absatz-Standardschriftart1111111111111111111111">
    <w:name w:val="WW-Absatz-Standardschriftart1111111111111111111111"/>
    <w:rsid w:val="000E3584"/>
  </w:style>
  <w:style w:type="character" w:customStyle="1" w:styleId="WW-Absatz-Standardschriftart11111111111111111111111">
    <w:name w:val="WW-Absatz-Standardschriftart11111111111111111111111"/>
    <w:rsid w:val="000E3584"/>
  </w:style>
  <w:style w:type="character" w:customStyle="1" w:styleId="WW-Absatz-Standardschriftart111111111111111111111111">
    <w:name w:val="WW-Absatz-Standardschriftart111111111111111111111111"/>
    <w:rsid w:val="000E3584"/>
  </w:style>
  <w:style w:type="character" w:customStyle="1" w:styleId="WW-Absatz-Standardschriftart1111111111111111111111111">
    <w:name w:val="WW-Absatz-Standardschriftart1111111111111111111111111"/>
    <w:rsid w:val="000E3584"/>
  </w:style>
  <w:style w:type="character" w:customStyle="1" w:styleId="WW-Absatz-Standardschriftart11111111111111111111111111">
    <w:name w:val="WW-Absatz-Standardschriftart11111111111111111111111111"/>
    <w:rsid w:val="000E3584"/>
  </w:style>
  <w:style w:type="character" w:customStyle="1" w:styleId="WW-Absatz-Standardschriftart111111111111111111111111111">
    <w:name w:val="WW-Absatz-Standardschriftart111111111111111111111111111"/>
    <w:rsid w:val="000E3584"/>
  </w:style>
  <w:style w:type="character" w:customStyle="1" w:styleId="WW-Absatz-Standardschriftart1111111111111111111111111111">
    <w:name w:val="WW-Absatz-Standardschriftart1111111111111111111111111111"/>
    <w:rsid w:val="000E3584"/>
  </w:style>
  <w:style w:type="character" w:customStyle="1" w:styleId="WW-Absatz-Standardschriftart11111111111111111111111111111">
    <w:name w:val="WW-Absatz-Standardschriftart11111111111111111111111111111"/>
    <w:rsid w:val="000E3584"/>
  </w:style>
  <w:style w:type="character" w:customStyle="1" w:styleId="WW-Absatz-Standardschriftart111111111111111111111111111111">
    <w:name w:val="WW-Absatz-Standardschriftart111111111111111111111111111111"/>
    <w:rsid w:val="000E3584"/>
  </w:style>
  <w:style w:type="character" w:customStyle="1" w:styleId="WW-Absatz-Standardschriftart1111111111111111111111111111111">
    <w:name w:val="WW-Absatz-Standardschriftart1111111111111111111111111111111"/>
    <w:rsid w:val="000E3584"/>
  </w:style>
  <w:style w:type="character" w:customStyle="1" w:styleId="WW-Absatz-Standardschriftart11111111111111111111111111111111">
    <w:name w:val="WW-Absatz-Standardschriftart11111111111111111111111111111111"/>
    <w:rsid w:val="000E3584"/>
  </w:style>
  <w:style w:type="character" w:customStyle="1" w:styleId="WW-Absatz-Standardschriftart111111111111111111111111111111111">
    <w:name w:val="WW-Absatz-Standardschriftart111111111111111111111111111111111"/>
    <w:rsid w:val="000E3584"/>
  </w:style>
  <w:style w:type="character" w:customStyle="1" w:styleId="WW-Absatz-Standardschriftart1111111111111111111111111111111111">
    <w:name w:val="WW-Absatz-Standardschriftart1111111111111111111111111111111111"/>
    <w:rsid w:val="000E3584"/>
  </w:style>
  <w:style w:type="character" w:customStyle="1" w:styleId="WW-Absatz-Standardschriftart11111111111111111111111111111111111">
    <w:name w:val="WW-Absatz-Standardschriftart11111111111111111111111111111111111"/>
    <w:rsid w:val="000E3584"/>
  </w:style>
  <w:style w:type="character" w:customStyle="1" w:styleId="WW-Absatz-Standardschriftart111111111111111111111111111111111111">
    <w:name w:val="WW-Absatz-Standardschriftart111111111111111111111111111111111111"/>
    <w:rsid w:val="000E3584"/>
  </w:style>
  <w:style w:type="character" w:customStyle="1" w:styleId="WW-Absatz-Standardschriftart1111111111111111111111111111111111111">
    <w:name w:val="WW-Absatz-Standardschriftart1111111111111111111111111111111111111"/>
    <w:rsid w:val="000E3584"/>
  </w:style>
  <w:style w:type="character" w:customStyle="1" w:styleId="WW-Absatz-Standardschriftart11111111111111111111111111111111111111">
    <w:name w:val="WW-Absatz-Standardschriftart11111111111111111111111111111111111111"/>
    <w:rsid w:val="000E3584"/>
  </w:style>
  <w:style w:type="character" w:customStyle="1" w:styleId="WW-Absatz-Standardschriftart111111111111111111111111111111111111111">
    <w:name w:val="WW-Absatz-Standardschriftart111111111111111111111111111111111111111"/>
    <w:rsid w:val="000E3584"/>
  </w:style>
  <w:style w:type="character" w:customStyle="1" w:styleId="WW-Absatz-Standardschriftart1111111111111111111111111111111111111111">
    <w:name w:val="WW-Absatz-Standardschriftart1111111111111111111111111111111111111111"/>
    <w:rsid w:val="000E3584"/>
  </w:style>
  <w:style w:type="character" w:customStyle="1" w:styleId="WW-Absatz-Standardschriftart11111111111111111111111111111111111111111">
    <w:name w:val="WW-Absatz-Standardschriftart11111111111111111111111111111111111111111"/>
    <w:rsid w:val="000E3584"/>
  </w:style>
  <w:style w:type="character" w:customStyle="1" w:styleId="WW-Absatz-Standardschriftart111111111111111111111111111111111111111111">
    <w:name w:val="WW-Absatz-Standardschriftart111111111111111111111111111111111111111111"/>
    <w:rsid w:val="000E3584"/>
  </w:style>
  <w:style w:type="character" w:customStyle="1" w:styleId="WW-Absatz-Standardschriftart1111111111111111111111111111111111111111111">
    <w:name w:val="WW-Absatz-Standardschriftart1111111111111111111111111111111111111111111"/>
    <w:rsid w:val="000E3584"/>
  </w:style>
  <w:style w:type="character" w:customStyle="1" w:styleId="WW-Absatz-Standardschriftart11111111111111111111111111111111111111111111">
    <w:name w:val="WW-Absatz-Standardschriftart11111111111111111111111111111111111111111111"/>
    <w:rsid w:val="000E3584"/>
  </w:style>
  <w:style w:type="character" w:customStyle="1" w:styleId="WW-Absatz-Standardschriftart111111111111111111111111111111111111111111111">
    <w:name w:val="WW-Absatz-Standardschriftart111111111111111111111111111111111111111111111"/>
    <w:rsid w:val="000E3584"/>
  </w:style>
  <w:style w:type="character" w:customStyle="1" w:styleId="WW-Absatz-Standardschriftart1111111111111111111111111111111111111111111111">
    <w:name w:val="WW-Absatz-Standardschriftart1111111111111111111111111111111111111111111111"/>
    <w:rsid w:val="000E3584"/>
  </w:style>
  <w:style w:type="character" w:customStyle="1" w:styleId="WW-Absatz-Standardschriftart11111111111111111111111111111111111111111111111">
    <w:name w:val="WW-Absatz-Standardschriftart11111111111111111111111111111111111111111111111"/>
    <w:rsid w:val="000E3584"/>
  </w:style>
  <w:style w:type="character" w:customStyle="1" w:styleId="WW-Absatz-Standardschriftart111111111111111111111111111111111111111111111111">
    <w:name w:val="WW-Absatz-Standardschriftart111111111111111111111111111111111111111111111111"/>
    <w:rsid w:val="000E3584"/>
  </w:style>
  <w:style w:type="character" w:customStyle="1" w:styleId="WW-Absatz-Standardschriftart1111111111111111111111111111111111111111111111111">
    <w:name w:val="WW-Absatz-Standardschriftart1111111111111111111111111111111111111111111111111"/>
    <w:rsid w:val="000E3584"/>
  </w:style>
  <w:style w:type="character" w:customStyle="1" w:styleId="WW-Absatz-Standardschriftart11111111111111111111111111111111111111111111111111">
    <w:name w:val="WW-Absatz-Standardschriftart11111111111111111111111111111111111111111111111111"/>
    <w:rsid w:val="000E3584"/>
  </w:style>
  <w:style w:type="character" w:customStyle="1" w:styleId="WW-Absatz-Standardschriftart111111111111111111111111111111111111111111111111111">
    <w:name w:val="WW-Absatz-Standardschriftart111111111111111111111111111111111111111111111111111"/>
    <w:rsid w:val="000E3584"/>
  </w:style>
  <w:style w:type="character" w:customStyle="1" w:styleId="WW-Absatz-Standardschriftart1111111111111111111111111111111111111111111111111111">
    <w:name w:val="WW-Absatz-Standardschriftart1111111111111111111111111111111111111111111111111111"/>
    <w:rsid w:val="000E3584"/>
  </w:style>
  <w:style w:type="character" w:customStyle="1" w:styleId="WW-Absatz-Standardschriftart11111111111111111111111111111111111111111111111111111">
    <w:name w:val="WW-Absatz-Standardschriftart11111111111111111111111111111111111111111111111111111"/>
    <w:rsid w:val="000E3584"/>
  </w:style>
  <w:style w:type="character" w:customStyle="1" w:styleId="WW-Absatz-Standardschriftart111111111111111111111111111111111111111111111111111111">
    <w:name w:val="WW-Absatz-Standardschriftart111111111111111111111111111111111111111111111111111111"/>
    <w:rsid w:val="000E3584"/>
  </w:style>
  <w:style w:type="character" w:customStyle="1" w:styleId="WW-Absatz-Standardschriftart1111111111111111111111111111111111111111111111111111111">
    <w:name w:val="WW-Absatz-Standardschriftart1111111111111111111111111111111111111111111111111111111"/>
    <w:rsid w:val="000E3584"/>
  </w:style>
  <w:style w:type="character" w:customStyle="1" w:styleId="WW-Absatz-Standardschriftart11111111111111111111111111111111111111111111111111111111">
    <w:name w:val="WW-Absatz-Standardschriftart11111111111111111111111111111111111111111111111111111111"/>
    <w:rsid w:val="000E3584"/>
  </w:style>
  <w:style w:type="character" w:customStyle="1" w:styleId="WW-Absatz-Standardschriftart111111111111111111111111111111111111111111111111111111111">
    <w:name w:val="WW-Absatz-Standardschriftart111111111111111111111111111111111111111111111111111111111"/>
    <w:rsid w:val="000E3584"/>
  </w:style>
  <w:style w:type="character" w:customStyle="1" w:styleId="WW-Absatz-Standardschriftart1111111111111111111111111111111111111111111111111111111111">
    <w:name w:val="WW-Absatz-Standardschriftart1111111111111111111111111111111111111111111111111111111111"/>
    <w:rsid w:val="000E3584"/>
  </w:style>
  <w:style w:type="character" w:customStyle="1" w:styleId="WW-Absatz-Standardschriftart11111111111111111111111111111111111111111111111111111111111">
    <w:name w:val="WW-Absatz-Standardschriftart11111111111111111111111111111111111111111111111111111111111"/>
    <w:rsid w:val="000E3584"/>
  </w:style>
  <w:style w:type="character" w:customStyle="1" w:styleId="WW-Absatz-Standardschriftart111111111111111111111111111111111111111111111111111111111111">
    <w:name w:val="WW-Absatz-Standardschriftart111111111111111111111111111111111111111111111111111111111111"/>
    <w:rsid w:val="000E3584"/>
  </w:style>
  <w:style w:type="character" w:customStyle="1" w:styleId="WW-Absatz-Standardschriftart1111111111111111111111111111111111111111111111111111111111111">
    <w:name w:val="WW-Absatz-Standardschriftart1111111111111111111111111111111111111111111111111111111111111"/>
    <w:rsid w:val="000E3584"/>
  </w:style>
  <w:style w:type="character" w:customStyle="1" w:styleId="WW-Absatz-Standardschriftart11111111111111111111111111111111111111111111111111111111111111">
    <w:name w:val="WW-Absatz-Standardschriftart11111111111111111111111111111111111111111111111111111111111111"/>
    <w:rsid w:val="000E3584"/>
  </w:style>
  <w:style w:type="character" w:customStyle="1" w:styleId="WW-Absatz-Standardschriftart111111111111111111111111111111111111111111111111111111111111111">
    <w:name w:val="WW-Absatz-Standardschriftart111111111111111111111111111111111111111111111111111111111111111"/>
    <w:rsid w:val="000E3584"/>
  </w:style>
  <w:style w:type="character" w:customStyle="1" w:styleId="WW-Absatz-Standardschriftart1111111111111111111111111111111111111111111111111111111111111111">
    <w:name w:val="WW-Absatz-Standardschriftart1111111111111111111111111111111111111111111111111111111111111111"/>
    <w:rsid w:val="000E3584"/>
  </w:style>
  <w:style w:type="character" w:customStyle="1" w:styleId="WW-Absatz-Standardschriftart11111111111111111111111111111111111111111111111111111111111111111">
    <w:name w:val="WW-Absatz-Standardschriftart11111111111111111111111111111111111111111111111111111111111111111"/>
    <w:rsid w:val="000E3584"/>
  </w:style>
  <w:style w:type="character" w:customStyle="1" w:styleId="WW-Absatz-Standardschriftart111111111111111111111111111111111111111111111111111111111111111111">
    <w:name w:val="WW-Absatz-Standardschriftart111111111111111111111111111111111111111111111111111111111111111111"/>
    <w:rsid w:val="000E3584"/>
  </w:style>
  <w:style w:type="character" w:customStyle="1" w:styleId="WW-Absatz-Standardschriftart1111111111111111111111111111111111111111111111111111111111111111111">
    <w:name w:val="WW-Absatz-Standardschriftart1111111111111111111111111111111111111111111111111111111111111111111"/>
    <w:rsid w:val="000E3584"/>
  </w:style>
  <w:style w:type="character" w:customStyle="1" w:styleId="WW-Absatz-Standardschriftart11111111111111111111111111111111111111111111111111111111111111111111">
    <w:name w:val="WW-Absatz-Standardschriftart11111111111111111111111111111111111111111111111111111111111111111111"/>
    <w:rsid w:val="000E3584"/>
  </w:style>
  <w:style w:type="character" w:customStyle="1" w:styleId="WW-Absatz-Standardschriftart111111111111111111111111111111111111111111111111111111111111111111111">
    <w:name w:val="WW-Absatz-Standardschriftart111111111111111111111111111111111111111111111111111111111111111111111"/>
    <w:rsid w:val="000E3584"/>
  </w:style>
  <w:style w:type="character" w:customStyle="1" w:styleId="WW-Absatz-Standardschriftart1111111111111111111111111111111111111111111111111111111111111111111111">
    <w:name w:val="WW-Absatz-Standardschriftart1111111111111111111111111111111111111111111111111111111111111111111111"/>
    <w:rsid w:val="000E3584"/>
  </w:style>
  <w:style w:type="character" w:customStyle="1" w:styleId="WW-Absatz-Standardschriftart11111111111111111111111111111111111111111111111111111111111111111111111">
    <w:name w:val="WW-Absatz-Standardschriftart11111111111111111111111111111111111111111111111111111111111111111111111"/>
    <w:rsid w:val="000E3584"/>
  </w:style>
  <w:style w:type="character" w:customStyle="1" w:styleId="WW-Absatz-Standardschriftart111111111111111111111111111111111111111111111111111111111111111111111111">
    <w:name w:val="WW-Absatz-Standardschriftart111111111111111111111111111111111111111111111111111111111111111111111111"/>
    <w:rsid w:val="000E3584"/>
  </w:style>
  <w:style w:type="character" w:customStyle="1" w:styleId="WW-Absatz-Standardschriftart1111111111111111111111111111111111111111111111111111111111111111111111111">
    <w:name w:val="WW-Absatz-Standardschriftart1111111111111111111111111111111111111111111111111111111111111111111111111"/>
    <w:rsid w:val="000E3584"/>
  </w:style>
  <w:style w:type="character" w:customStyle="1" w:styleId="WW-Absatz-Standardschriftart11111111111111111111111111111111111111111111111111111111111111111111111111">
    <w:name w:val="WW-Absatz-Standardschriftart11111111111111111111111111111111111111111111111111111111111111111111111111"/>
    <w:rsid w:val="000E3584"/>
  </w:style>
  <w:style w:type="character" w:customStyle="1" w:styleId="WW-Absatz-Standardschriftart111111111111111111111111111111111111111111111111111111111111111111111111111">
    <w:name w:val="WW-Absatz-Standardschriftart111111111111111111111111111111111111111111111111111111111111111111111111111"/>
    <w:rsid w:val="000E3584"/>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E3584"/>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E3584"/>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E3584"/>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E3584"/>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E358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E358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E358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E358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E358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E358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E358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E3584"/>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E3584"/>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E3584"/>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E3584"/>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Fuentedeprrafopredeter2">
    <w:name w:val="Fuente de párrafo predeter.2"/>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Fuentedeprrafopredeter1">
    <w:name w:val="Fuente de párrafo predeter.1"/>
    <w:rsid w:val="000E3584"/>
  </w:style>
  <w:style w:type="character" w:styleId="Hipervnculo">
    <w:name w:val="Hyperlink"/>
    <w:rsid w:val="000E3584"/>
    <w:rPr>
      <w:color w:val="000080"/>
      <w:u w:val="single"/>
    </w:rPr>
  </w:style>
  <w:style w:type="character" w:customStyle="1" w:styleId="Carcterdenumeracin">
    <w:name w:val="Carácter de numeración"/>
    <w:rsid w:val="000E3584"/>
  </w:style>
  <w:style w:type="character" w:customStyle="1" w:styleId="Vietas">
    <w:name w:val="Viñetas"/>
    <w:rsid w:val="000E3584"/>
    <w:rPr>
      <w:rFonts w:ascii="StarSymbol" w:eastAsia="StarSymbol" w:hAnsi="StarSymbol" w:cs="StarSymbol"/>
      <w:sz w:val="18"/>
      <w:szCs w:val="18"/>
    </w:rPr>
  </w:style>
  <w:style w:type="paragraph" w:customStyle="1" w:styleId="Encabezado2">
    <w:name w:val="Encabezado2"/>
    <w:basedOn w:val="Normal"/>
    <w:next w:val="Textoindependiente"/>
    <w:rsid w:val="000E3584"/>
    <w:pPr>
      <w:keepNext/>
      <w:spacing w:before="240" w:after="120"/>
    </w:pPr>
    <w:rPr>
      <w:rFonts w:ascii="Arial" w:eastAsia="Arial Unicode MS" w:hAnsi="Arial" w:cs="Tahoma"/>
      <w:sz w:val="28"/>
      <w:szCs w:val="28"/>
    </w:rPr>
  </w:style>
  <w:style w:type="paragraph" w:styleId="Textoindependiente">
    <w:name w:val="Body Text"/>
    <w:basedOn w:val="Normal"/>
    <w:rsid w:val="000E3584"/>
    <w:pPr>
      <w:spacing w:after="120"/>
    </w:pPr>
  </w:style>
  <w:style w:type="paragraph" w:styleId="Lista">
    <w:name w:val="List"/>
    <w:basedOn w:val="Textoindependiente"/>
    <w:rsid w:val="000E3584"/>
    <w:rPr>
      <w:rFonts w:cs="Tahoma"/>
    </w:rPr>
  </w:style>
  <w:style w:type="paragraph" w:customStyle="1" w:styleId="Etiqueta">
    <w:name w:val="Etiqueta"/>
    <w:basedOn w:val="Normal"/>
    <w:rsid w:val="000E3584"/>
    <w:pPr>
      <w:suppressLineNumbers/>
      <w:spacing w:before="120" w:after="120"/>
    </w:pPr>
    <w:rPr>
      <w:rFonts w:cs="Tahoma"/>
      <w:i/>
      <w:iCs/>
    </w:rPr>
  </w:style>
  <w:style w:type="paragraph" w:customStyle="1" w:styleId="ndice">
    <w:name w:val="Índice"/>
    <w:basedOn w:val="Normal"/>
    <w:rsid w:val="000E3584"/>
    <w:pPr>
      <w:suppressLineNumbers/>
    </w:pPr>
    <w:rPr>
      <w:rFonts w:cs="Tahoma"/>
    </w:rPr>
  </w:style>
  <w:style w:type="paragraph" w:customStyle="1" w:styleId="Encabezado1">
    <w:name w:val="Encabezado1"/>
    <w:basedOn w:val="Normal"/>
    <w:next w:val="Textoindependiente"/>
    <w:rsid w:val="000E3584"/>
    <w:pPr>
      <w:keepNext/>
      <w:spacing w:before="240" w:after="120"/>
    </w:pPr>
    <w:rPr>
      <w:rFonts w:ascii="Arial" w:eastAsia="Arial Unicode MS" w:hAnsi="Arial" w:cs="Tahoma"/>
      <w:sz w:val="28"/>
      <w:szCs w:val="28"/>
    </w:rPr>
  </w:style>
  <w:style w:type="paragraph" w:styleId="Encabezado">
    <w:name w:val="header"/>
    <w:aliases w:val="encabezado"/>
    <w:basedOn w:val="Normal"/>
    <w:link w:val="EncabezadoCar1"/>
    <w:rsid w:val="000E3584"/>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rsid w:val="000E3584"/>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rsid w:val="000E3584"/>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rsid w:val="000E3584"/>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rsid w:val="000E3584"/>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rsid w:val="000E3584"/>
    <w:pPr>
      <w:widowControl w:val="0"/>
      <w:suppressAutoHyphens/>
    </w:pPr>
    <w:rPr>
      <w:rFonts w:eastAsia="Arial Unicode MS"/>
      <w:sz w:val="28"/>
      <w:szCs w:val="28"/>
      <w:lang w:val="es-ES_tradnl" w:eastAsia="ar-SA"/>
    </w:rPr>
  </w:style>
  <w:style w:type="paragraph" w:customStyle="1" w:styleId="Ttulo51">
    <w:name w:val="Título 51"/>
    <w:next w:val="Normal"/>
    <w:rsid w:val="000E3584"/>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rsid w:val="000E3584"/>
  </w:style>
  <w:style w:type="paragraph" w:customStyle="1" w:styleId="Contenidodelatabla">
    <w:name w:val="Contenido de la tabla"/>
    <w:basedOn w:val="Normal"/>
    <w:rsid w:val="000E3584"/>
    <w:pPr>
      <w:suppressLineNumbers/>
    </w:pPr>
  </w:style>
  <w:style w:type="paragraph" w:customStyle="1" w:styleId="Encabezadodelatabla">
    <w:name w:val="Encabezado de la tabla"/>
    <w:basedOn w:val="Contenidodelatabla"/>
    <w:rsid w:val="000E3584"/>
    <w:pPr>
      <w:jc w:val="center"/>
    </w:pPr>
    <w:rPr>
      <w:b/>
      <w:bCs/>
    </w:rPr>
  </w:style>
  <w:style w:type="paragraph" w:customStyle="1" w:styleId="style3">
    <w:name w:val="style3"/>
    <w:basedOn w:val="Normal"/>
    <w:rsid w:val="000E3584"/>
    <w:pPr>
      <w:spacing w:before="280" w:after="280"/>
    </w:pPr>
    <w:rPr>
      <w:b/>
      <w:bCs/>
      <w:color w:val="000000"/>
    </w:rPr>
  </w:style>
  <w:style w:type="paragraph" w:styleId="NormalWeb">
    <w:name w:val="Normal (Web)"/>
    <w:basedOn w:val="Normal"/>
    <w:link w:val="NormalWebCar"/>
    <w:qFormat/>
    <w:rsid w:val="000E3584"/>
    <w:pPr>
      <w:spacing w:before="280" w:after="280"/>
    </w:pPr>
  </w:style>
  <w:style w:type="paragraph" w:customStyle="1" w:styleId="Ttulo31">
    <w:name w:val="Título 31"/>
    <w:next w:val="Normal"/>
    <w:rsid w:val="000E3584"/>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
    <w:basedOn w:val="Normal"/>
    <w:link w:val="TextonotapieCar"/>
    <w:semiHidden/>
    <w:rsid w:val="000E3584"/>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semiHidden/>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semiHidden/>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rsid w:val="00455672"/>
    <w:pPr>
      <w:spacing w:after="120"/>
      <w:ind w:left="283"/>
    </w:pPr>
    <w:rPr>
      <w:sz w:val="20"/>
      <w:szCs w:val="20"/>
      <w:lang w:val="es-ES_tradnl"/>
    </w:rPr>
  </w:style>
  <w:style w:type="character" w:customStyle="1" w:styleId="SangradetextonormalCar">
    <w:name w:val="Sangría de texto normal Car"/>
    <w:link w:val="Sangradetextonormal"/>
    <w:locked/>
    <w:rsid w:val="00455672"/>
    <w:rPr>
      <w:lang w:val="es-ES_tradnl" w:eastAsia="ar-SA" w:bidi="ar-SA"/>
    </w:rPr>
  </w:style>
  <w:style w:type="paragraph" w:customStyle="1" w:styleId="Normalprueba1">
    <w:name w:val="Normal.prueba1"/>
    <w:rsid w:val="00455672"/>
    <w:pPr>
      <w:widowControl w:val="0"/>
    </w:pPr>
    <w:rPr>
      <w:sz w:val="28"/>
      <w:szCs w:val="28"/>
      <w:lang w:val="es-ES_tradnl"/>
    </w:rPr>
  </w:style>
  <w:style w:type="paragraph" w:styleId="Textodeglobo">
    <w:name w:val="Balloon Text"/>
    <w:basedOn w:val="Normal"/>
    <w:semiHidden/>
    <w:rsid w:val="007D50EF"/>
    <w:rPr>
      <w:rFonts w:ascii="Tahoma" w:hAnsi="Tahoma" w:cs="Tahoma"/>
      <w:sz w:val="16"/>
      <w:szCs w:val="16"/>
    </w:rPr>
  </w:style>
  <w:style w:type="character" w:customStyle="1" w:styleId="Fuentedeprrafopredeter3">
    <w:name w:val="Fuente de párrafo predeter.3"/>
    <w:rsid w:val="00A70E73"/>
  </w:style>
  <w:style w:type="character" w:customStyle="1" w:styleId="WW8Num1z0">
    <w:name w:val="WW8Num1z0"/>
    <w:rsid w:val="00A70E73"/>
    <w:rPr>
      <w:rFonts w:ascii="Symbol" w:hAnsi="Symbol"/>
    </w:rPr>
  </w:style>
  <w:style w:type="paragraph" w:customStyle="1" w:styleId="Encabezado3">
    <w:name w:val="Encabezado3"/>
    <w:basedOn w:val="Normal"/>
    <w:next w:val="Textoindependiente"/>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basedOn w:val="Normal"/>
    <w:uiPriority w:val="34"/>
    <w:qFormat/>
    <w:rsid w:val="00A70E73"/>
    <w:pPr>
      <w:ind w:left="708"/>
    </w:pPr>
  </w:style>
  <w:style w:type="paragraph" w:styleId="Sangra2detindependiente">
    <w:name w:val="Body Text Indent 2"/>
    <w:basedOn w:val="Normal"/>
    <w:rsid w:val="00A70E73"/>
    <w:pPr>
      <w:spacing w:after="120" w:line="480" w:lineRule="auto"/>
      <w:ind w:left="283"/>
    </w:pPr>
    <w:rPr>
      <w:sz w:val="20"/>
      <w:szCs w:val="20"/>
      <w:lang w:val="es-ES_tradnl"/>
    </w:rPr>
  </w:style>
  <w:style w:type="character" w:styleId="Refdenotaalpie">
    <w:name w:val="footnote reference"/>
    <w:rsid w:val="00A70E73"/>
    <w:rPr>
      <w:vertAlign w:val="superscript"/>
    </w:rPr>
  </w:style>
  <w:style w:type="paragraph" w:styleId="Listaconvietas">
    <w:name w:val="List Bullet"/>
    <w:basedOn w:val="Normal"/>
    <w:rsid w:val="00A70E73"/>
    <w:pPr>
      <w:tabs>
        <w:tab w:val="num" w:pos="1080"/>
      </w:tabs>
      <w:suppressAutoHyphens w:val="0"/>
      <w:ind w:left="1080" w:hanging="360"/>
    </w:pPr>
    <w:rPr>
      <w:rFonts w:ascii="Arial" w:hAnsi="Arial" w:cs="Arial"/>
      <w:lang w:val="es-CR" w:eastAsia="es-ES"/>
    </w:rPr>
  </w:style>
  <w:style w:type="character" w:styleId="Textoennegrita">
    <w:name w:val="Strong"/>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rsid w:val="00A70E73"/>
    <w:rPr>
      <w:vertAlign w:val="superscript"/>
    </w:rPr>
  </w:style>
  <w:style w:type="paragraph" w:styleId="Textocomentario">
    <w:name w:val="annotation text"/>
    <w:basedOn w:val="Normal"/>
    <w:link w:val="TextocomentarioCar"/>
    <w:semiHidden/>
    <w:rsid w:val="00A70E73"/>
    <w:rPr>
      <w:sz w:val="20"/>
      <w:szCs w:val="20"/>
    </w:rPr>
  </w:style>
  <w:style w:type="character" w:customStyle="1" w:styleId="TextocomentarioCar">
    <w:name w:val="Texto comentario Car"/>
    <w:link w:val="Textocomentario"/>
    <w:semiHidden/>
    <w:rsid w:val="00A70E73"/>
    <w:rPr>
      <w:lang w:val="es-ES" w:eastAsia="ar-SA" w:bidi="ar-SA"/>
    </w:rPr>
  </w:style>
  <w:style w:type="paragraph" w:styleId="Sinespaciado">
    <w:name w:val="No Spacing"/>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rsid w:val="00A70E73"/>
    <w:rPr>
      <w:rFonts w:ascii="Calibri" w:eastAsia="Calibri" w:hAnsi="Calibri" w:cs="Calibri"/>
      <w:sz w:val="22"/>
      <w:szCs w:val="22"/>
      <w:lang w:val="es-ES" w:eastAsia="ar-SA" w:bidi="ar-SA"/>
    </w:rPr>
  </w:style>
  <w:style w:type="paragraph" w:customStyle="1" w:styleId="BodyText22">
    <w:name w:val="Body Text 22"/>
    <w:basedOn w:val="Normal"/>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rsid w:val="00A70E73"/>
    <w:pPr>
      <w:suppressAutoHyphens w:val="0"/>
      <w:spacing w:before="100" w:beforeAutospacing="1" w:after="100" w:afterAutospacing="1"/>
    </w:pPr>
    <w:rPr>
      <w:lang w:eastAsia="es-ES"/>
    </w:rPr>
  </w:style>
  <w:style w:type="paragraph" w:styleId="Textodebloque">
    <w:name w:val="Block Text"/>
    <w:basedOn w:val="Normal"/>
    <w:rsid w:val="00A70E73"/>
    <w:pPr>
      <w:widowControl w:val="0"/>
      <w:suppressAutoHyphens w:val="0"/>
      <w:ind w:left="851" w:right="851" w:firstLine="709"/>
      <w:jc w:val="both"/>
    </w:pPr>
    <w:rPr>
      <w:lang w:eastAsia="es-ES"/>
    </w:rPr>
  </w:style>
  <w:style w:type="paragraph" w:customStyle="1" w:styleId="Predeterminado0">
    <w:name w:val="Predeterminado"/>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rsid w:val="00A70E73"/>
    <w:pPr>
      <w:jc w:val="both"/>
    </w:pPr>
    <w:rPr>
      <w:rFonts w:ascii="Verdana" w:hAnsi="Verdana"/>
      <w:i/>
      <w:szCs w:val="20"/>
      <w:lang w:val="es-ES_tradnl"/>
    </w:rPr>
  </w:style>
  <w:style w:type="paragraph" w:customStyle="1" w:styleId="Titulo6">
    <w:name w:val="Titulo 6"/>
    <w:basedOn w:val="TDC1"/>
    <w:rsid w:val="00A70E73"/>
    <w:pPr>
      <w:tabs>
        <w:tab w:val="right" w:leader="dot" w:pos="8828"/>
      </w:tabs>
    </w:pPr>
    <w:rPr>
      <w:b w:val="0"/>
      <w:bCs/>
      <w:caps/>
      <w:noProof/>
    </w:rPr>
  </w:style>
  <w:style w:type="paragraph" w:customStyle="1" w:styleId="Estilo18ptNegritaSubrayadoCentrado">
    <w:name w:val="Estilo 18 pt Negrita Subrayado Centrado"/>
    <w:basedOn w:val="Normal"/>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rsid w:val="00A70E73"/>
    <w:pPr>
      <w:spacing w:line="480" w:lineRule="auto"/>
      <w:ind w:firstLine="708"/>
      <w:jc w:val="both"/>
    </w:pPr>
    <w:rPr>
      <w:sz w:val="28"/>
      <w:szCs w:val="20"/>
      <w:lang w:val="es-ES_tradnl"/>
    </w:rPr>
  </w:style>
  <w:style w:type="character" w:styleId="Nmerodepgina">
    <w:name w:val="page number"/>
    <w:basedOn w:val="Fuentedeprrafopredeter"/>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rsid w:val="00A70E73"/>
    <w:pPr>
      <w:spacing w:after="120" w:line="480" w:lineRule="auto"/>
    </w:pPr>
    <w:rPr>
      <w:sz w:val="20"/>
      <w:szCs w:val="20"/>
    </w:rPr>
  </w:style>
  <w:style w:type="paragraph" w:customStyle="1" w:styleId="western">
    <w:name w:val="western"/>
    <w:basedOn w:val="Normal"/>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rsid w:val="00A70E73"/>
    <w:pPr>
      <w:suppressAutoHyphens w:val="0"/>
    </w:pPr>
    <w:rPr>
      <w:rFonts w:ascii="Bookman Old Style" w:hAnsi="Bookman Old Style"/>
      <w:i/>
      <w:iCs/>
      <w:lang w:eastAsia="es-ES"/>
    </w:rPr>
  </w:style>
  <w:style w:type="paragraph" w:customStyle="1" w:styleId="Normal2">
    <w:name w:val="Normal2"/>
    <w:rsid w:val="00A70E73"/>
    <w:pPr>
      <w:suppressAutoHyphens/>
    </w:pPr>
    <w:rPr>
      <w:sz w:val="24"/>
      <w:lang w:val="es-CR" w:eastAsia="ar-SA"/>
    </w:rPr>
  </w:style>
  <w:style w:type="paragraph" w:customStyle="1" w:styleId="Sangra3detindependiente1">
    <w:name w:val="Sangría 3 de t. independiente1"/>
    <w:basedOn w:val="Normal"/>
    <w:rsid w:val="00A70E73"/>
    <w:pPr>
      <w:spacing w:after="120"/>
      <w:ind w:left="283"/>
    </w:pPr>
    <w:rPr>
      <w:sz w:val="16"/>
      <w:szCs w:val="16"/>
    </w:rPr>
  </w:style>
  <w:style w:type="paragraph" w:styleId="Remitedesobre">
    <w:name w:val="envelope return"/>
    <w:basedOn w:val="Normal"/>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rsid w:val="00A70E73"/>
    <w:pPr>
      <w:suppressAutoHyphens w:val="0"/>
      <w:jc w:val="both"/>
    </w:pPr>
    <w:rPr>
      <w:rFonts w:ascii="Arial" w:hAnsi="Arial" w:cs="Arial"/>
      <w:lang w:val="pl-PL" w:eastAsia="pl-PL"/>
    </w:rPr>
  </w:style>
  <w:style w:type="paragraph" w:customStyle="1" w:styleId="H5">
    <w:name w:val="H5"/>
    <w:next w:val="Normal"/>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rsid w:val="00A70E73"/>
    <w:pPr>
      <w:autoSpaceDE w:val="0"/>
      <w:autoSpaceDN w:val="0"/>
      <w:adjustRightInd w:val="0"/>
    </w:pPr>
    <w:rPr>
      <w:sz w:val="24"/>
      <w:szCs w:val="24"/>
      <w:lang w:val="en-US"/>
    </w:rPr>
  </w:style>
  <w:style w:type="paragraph" w:styleId="Textoindependiente3">
    <w:name w:val="Body Text 3"/>
    <w:basedOn w:val="Normal"/>
    <w:link w:val="Textoindependiente3Car"/>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rsid w:val="00A70E73"/>
    <w:pPr>
      <w:suppressAutoHyphens w:val="0"/>
      <w:spacing w:after="120"/>
      <w:ind w:left="283"/>
    </w:pPr>
    <w:rPr>
      <w:sz w:val="16"/>
      <w:szCs w:val="16"/>
      <w:lang w:val="es-CR" w:eastAsia="es-ES"/>
    </w:rPr>
  </w:style>
  <w:style w:type="paragraph" w:customStyle="1" w:styleId="Style1">
    <w:name w:val="Style 1"/>
    <w:basedOn w:val="Normal"/>
    <w:rsid w:val="00A70E73"/>
    <w:pPr>
      <w:widowControl w:val="0"/>
      <w:suppressAutoHyphens w:val="0"/>
      <w:autoSpaceDE w:val="0"/>
      <w:autoSpaceDN w:val="0"/>
      <w:adjustRightInd w:val="0"/>
    </w:pPr>
    <w:rPr>
      <w:lang w:val="en-US" w:eastAsia="es-ES"/>
    </w:rPr>
  </w:style>
  <w:style w:type="paragraph" w:customStyle="1" w:styleId="bodytext2">
    <w:name w:val="bodytext2"/>
    <w:basedOn w:val="Normal"/>
    <w:rsid w:val="00A70E73"/>
    <w:pPr>
      <w:suppressAutoHyphens w:val="0"/>
      <w:ind w:right="334" w:hanging="283"/>
      <w:jc w:val="both"/>
    </w:pPr>
    <w:rPr>
      <w:rFonts w:ascii="Arial" w:hAnsi="Arial" w:cs="Arial"/>
      <w:lang w:eastAsia="es-ES"/>
    </w:rPr>
  </w:style>
  <w:style w:type="paragraph" w:styleId="Ttulo">
    <w:name w:val="Title"/>
    <w:basedOn w:val="Normal"/>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link w:val="Prrafodelista2"/>
    <w:rsid w:val="00A70E73"/>
    <w:rPr>
      <w:rFonts w:ascii="Calibri" w:hAnsi="Calibri"/>
      <w:sz w:val="24"/>
      <w:szCs w:val="24"/>
      <w:lang w:val="es-CR" w:eastAsia="es-ES" w:bidi="ar-SA"/>
    </w:rPr>
  </w:style>
  <w:style w:type="paragraph" w:customStyle="1" w:styleId="prrafodelista0">
    <w:name w:val="prrafodelista"/>
    <w:basedOn w:val="Normal"/>
    <w:rsid w:val="00A70E73"/>
    <w:pPr>
      <w:suppressAutoHyphens w:val="0"/>
      <w:spacing w:before="100" w:beforeAutospacing="1" w:after="100" w:afterAutospacing="1"/>
    </w:pPr>
    <w:rPr>
      <w:lang w:eastAsia="es-ES"/>
    </w:rPr>
  </w:style>
  <w:style w:type="paragraph" w:customStyle="1" w:styleId="normalprueba10">
    <w:name w:val="normalprueba1"/>
    <w:basedOn w:val="Normal"/>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rsid w:val="00A70E73"/>
    <w:rPr>
      <w:rFonts w:ascii="Helvetica" w:eastAsia="Arial Unicode MS" w:hAnsi="Helvetica"/>
      <w:color w:val="000000"/>
      <w:sz w:val="24"/>
      <w:lang w:val="es-CR" w:eastAsia="es-CR"/>
    </w:rPr>
  </w:style>
  <w:style w:type="character" w:customStyle="1" w:styleId="Destacado">
    <w:name w:val="Destacado"/>
    <w:rsid w:val="00A70E73"/>
    <w:rPr>
      <w:i/>
      <w:iCs/>
    </w:rPr>
  </w:style>
  <w:style w:type="character" w:customStyle="1" w:styleId="CarCar2">
    <w:name w:val="Car Car2"/>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rsid w:val="00A70E73"/>
    <w:rPr>
      <w:rFonts w:ascii="Courier New" w:hAnsi="Courier New" w:cs="Courier New"/>
    </w:rPr>
  </w:style>
  <w:style w:type="character" w:customStyle="1" w:styleId="WW8Num1z2">
    <w:name w:val="WW8Num1z2"/>
    <w:rsid w:val="00A70E73"/>
    <w:rPr>
      <w:rFonts w:ascii="Wingdings" w:hAnsi="Wingdings" w:cs="Wingdings"/>
    </w:rPr>
  </w:style>
  <w:style w:type="character" w:customStyle="1" w:styleId="WW8Num1z3">
    <w:name w:val="WW8Num1z3"/>
    <w:rsid w:val="00A70E73"/>
    <w:rPr>
      <w:rFonts w:ascii="Symbol" w:hAnsi="Symbol" w:cs="Symbol"/>
    </w:rPr>
  </w:style>
  <w:style w:type="paragraph" w:customStyle="1" w:styleId="DefinitionTerm">
    <w:name w:val="Definition Term"/>
    <w:next w:val="DefinitionLis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rsid w:val="00A70E73"/>
    <w:pPr>
      <w:keepNext/>
      <w:widowControl w:val="0"/>
      <w:autoSpaceDE w:val="0"/>
      <w:autoSpaceDN w:val="0"/>
      <w:adjustRightInd w:val="0"/>
      <w:jc w:val="center"/>
    </w:pPr>
    <w:rPr>
      <w:rFonts w:ascii="Arial" w:hAnsi="Arial" w:cs="Arial"/>
      <w:b/>
      <w:bCs/>
    </w:rPr>
  </w:style>
  <w:style w:type="paragraph" w:customStyle="1" w:styleId="membrete">
    <w:name w:val="membrete"/>
    <w:rsid w:val="00A70E73"/>
    <w:pPr>
      <w:widowControl w:val="0"/>
      <w:autoSpaceDE w:val="0"/>
      <w:autoSpaceDN w:val="0"/>
      <w:adjustRightInd w:val="0"/>
      <w:jc w:val="center"/>
    </w:pPr>
    <w:rPr>
      <w:rFonts w:ascii="Arial" w:hAnsi="Arial" w:cs="Arial"/>
      <w:sz w:val="18"/>
      <w:szCs w:val="18"/>
    </w:rPr>
  </w:style>
  <w:style w:type="paragraph" w:customStyle="1" w:styleId="fomulas">
    <w:name w:val="fomulas"/>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rsid w:val="00A70E73"/>
    <w:pPr>
      <w:suppressAutoHyphens w:val="0"/>
      <w:autoSpaceDN w:val="0"/>
    </w:pPr>
    <w:rPr>
      <w:lang w:eastAsia="es-ES"/>
    </w:rPr>
  </w:style>
  <w:style w:type="paragraph" w:customStyle="1" w:styleId="heading11">
    <w:name w:val="heading11"/>
    <w:basedOn w:val="Normal"/>
    <w:rsid w:val="00A70E73"/>
    <w:pPr>
      <w:keepNext/>
      <w:suppressAutoHyphens w:val="0"/>
      <w:autoSpaceDN w:val="0"/>
      <w:jc w:val="right"/>
    </w:pPr>
    <w:rPr>
      <w:b/>
      <w:bCs/>
      <w:sz w:val="21"/>
      <w:szCs w:val="21"/>
      <w:lang w:eastAsia="es-ES"/>
    </w:rPr>
  </w:style>
  <w:style w:type="paragraph" w:styleId="Lista2">
    <w:name w:val="List 2"/>
    <w:basedOn w:val="Normal"/>
    <w:rsid w:val="00A70E73"/>
    <w:pPr>
      <w:ind w:left="566" w:hanging="283"/>
    </w:pPr>
    <w:rPr>
      <w:sz w:val="20"/>
      <w:szCs w:val="20"/>
      <w:lang w:val="es-ES_tradnl"/>
    </w:rPr>
  </w:style>
  <w:style w:type="paragraph" w:styleId="Textoindependienteprimerasangra">
    <w:name w:val="Body Text First Indent"/>
    <w:basedOn w:val="Textoindependiente"/>
    <w:rsid w:val="00A70E73"/>
    <w:pPr>
      <w:ind w:firstLine="210"/>
    </w:pPr>
    <w:rPr>
      <w:sz w:val="20"/>
      <w:szCs w:val="20"/>
      <w:lang w:val="es-ES_tradnl"/>
    </w:rPr>
  </w:style>
  <w:style w:type="paragraph" w:styleId="Textoindependienteprimerasangra2">
    <w:name w:val="Body Text First Indent 2"/>
    <w:basedOn w:val="Sangradetextonormal"/>
    <w:rsid w:val="00A70E73"/>
    <w:pPr>
      <w:ind w:firstLine="210"/>
    </w:pPr>
  </w:style>
  <w:style w:type="paragraph" w:styleId="Lista3">
    <w:name w:val="List 3"/>
    <w:basedOn w:val="Normal"/>
    <w:rsid w:val="00A70E73"/>
    <w:pPr>
      <w:ind w:left="849" w:hanging="283"/>
    </w:pPr>
    <w:rPr>
      <w:sz w:val="20"/>
      <w:szCs w:val="20"/>
      <w:lang w:val="es-ES_tradnl"/>
    </w:rPr>
  </w:style>
  <w:style w:type="character" w:customStyle="1" w:styleId="CarCar6">
    <w:name w:val="Car Car6"/>
    <w:locked/>
    <w:rsid w:val="00A70E73"/>
    <w:rPr>
      <w:rFonts w:cs="Arial"/>
      <w:color w:val="000000"/>
      <w:lang w:val="es-ES_tradnl" w:eastAsia="es-ES" w:bidi="ar-SA"/>
    </w:rPr>
  </w:style>
  <w:style w:type="paragraph" w:customStyle="1" w:styleId="xl63">
    <w:name w:val="xl6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rsid w:val="00A70E73"/>
    <w:pPr>
      <w:widowControl w:val="0"/>
      <w:autoSpaceDE w:val="0"/>
      <w:autoSpaceDN w:val="0"/>
      <w:adjustRightInd w:val="0"/>
      <w:jc w:val="both"/>
    </w:pPr>
    <w:rPr>
      <w:rFonts w:ascii="Arial" w:hAnsi="Arial" w:cs="Arial"/>
      <w:sz w:val="24"/>
      <w:szCs w:val="24"/>
    </w:rPr>
  </w:style>
  <w:style w:type="paragraph" w:customStyle="1" w:styleId="ecxjuris">
    <w:name w:val="ecxjuris"/>
    <w:rsid w:val="00A70E73"/>
    <w:pPr>
      <w:widowControl w:val="0"/>
      <w:autoSpaceDE w:val="0"/>
      <w:autoSpaceDN w:val="0"/>
      <w:adjustRightInd w:val="0"/>
      <w:spacing w:after="324"/>
    </w:pPr>
    <w:rPr>
      <w:rFonts w:ascii="Arial" w:hAnsi="Arial"/>
      <w:sz w:val="24"/>
      <w:szCs w:val="24"/>
    </w:rPr>
  </w:style>
  <w:style w:type="paragraph" w:styleId="Fecha">
    <w:name w:val="Date"/>
    <w:basedOn w:val="Normal"/>
    <w:rsid w:val="00A70E73"/>
    <w:pPr>
      <w:suppressAutoHyphens w:val="0"/>
    </w:pPr>
    <w:rPr>
      <w:rFonts w:ascii="Courier New" w:hAnsi="Courier New"/>
      <w:szCs w:val="20"/>
      <w:lang w:val="es-ES_tradnl" w:eastAsia="es-ES"/>
    </w:rPr>
  </w:style>
  <w:style w:type="paragraph" w:customStyle="1" w:styleId="Textodebloque10">
    <w:name w:val="Texto de bloque1"/>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rsid w:val="00A70E73"/>
    <w:pPr>
      <w:suppressAutoHyphens w:val="0"/>
      <w:ind w:left="708"/>
    </w:pPr>
    <w:rPr>
      <w:rFonts w:ascii="Courier 10cpi" w:hAnsi="Courier 10cpi"/>
      <w:sz w:val="20"/>
      <w:szCs w:val="20"/>
      <w:lang w:eastAsia="es-ES"/>
    </w:rPr>
  </w:style>
  <w:style w:type="paragraph" w:customStyle="1" w:styleId="textosinformato1">
    <w:name w:val="textosinformato1"/>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rsid w:val="00A70E73"/>
    <w:pPr>
      <w:suppressAutoHyphens w:val="0"/>
      <w:ind w:left="720"/>
    </w:pPr>
    <w:rPr>
      <w:lang w:eastAsia="es-ES"/>
    </w:rPr>
  </w:style>
  <w:style w:type="paragraph" w:customStyle="1" w:styleId="Textoindependiente220">
    <w:name w:val="Texto independiente 22"/>
    <w:basedOn w:val="Normal"/>
    <w:rsid w:val="00A70E73"/>
    <w:pPr>
      <w:spacing w:line="360" w:lineRule="auto"/>
      <w:jc w:val="both"/>
    </w:pPr>
    <w:rPr>
      <w:rFonts w:ascii="Arial" w:hAnsi="Arial" w:cs="Arial"/>
      <w:kern w:val="1"/>
      <w:szCs w:val="20"/>
      <w:lang w:val="es-CR"/>
    </w:rPr>
  </w:style>
  <w:style w:type="paragraph" w:customStyle="1" w:styleId="Encabezado10">
    <w:name w:val="Encabezado 1"/>
    <w:next w:val="Normal"/>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rsid w:val="00A70E73"/>
    <w:pPr>
      <w:keepNext/>
      <w:suppressAutoHyphens w:val="0"/>
    </w:pPr>
    <w:rPr>
      <w:b/>
      <w:bCs/>
      <w:sz w:val="18"/>
      <w:szCs w:val="18"/>
      <w:lang w:eastAsia="es-ES"/>
    </w:rPr>
  </w:style>
  <w:style w:type="paragraph" w:customStyle="1" w:styleId="encabezado30">
    <w:name w:val="encabezado3"/>
    <w:basedOn w:val="Normal"/>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rsid w:val="00A70E73"/>
    <w:pPr>
      <w:suppressAutoHyphens w:val="0"/>
      <w:spacing w:before="100" w:beforeAutospacing="1" w:after="100" w:afterAutospacing="1"/>
    </w:pPr>
    <w:rPr>
      <w:lang w:eastAsia="es-ES"/>
    </w:rPr>
  </w:style>
  <w:style w:type="paragraph" w:customStyle="1" w:styleId="contenidodelatabla0">
    <w:name w:val="contenidodelatabla"/>
    <w:basedOn w:val="Normal"/>
    <w:rsid w:val="00A70E73"/>
    <w:rPr>
      <w:rFonts w:eastAsia="Calibri"/>
      <w:lang w:val="es-CR"/>
    </w:rPr>
  </w:style>
  <w:style w:type="paragraph" w:styleId="Listaconnmeros">
    <w:name w:val="List Number"/>
    <w:basedOn w:val="Normal"/>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rsid w:val="00A70E73"/>
    <w:pPr>
      <w:suppressAutoHyphens w:val="0"/>
    </w:pPr>
    <w:rPr>
      <w:lang w:eastAsia="es-ES"/>
    </w:rPr>
  </w:style>
  <w:style w:type="paragraph" w:customStyle="1" w:styleId="ww-encabezado20">
    <w:name w:val="ww-encabezado20"/>
    <w:basedOn w:val="Normal"/>
    <w:rsid w:val="00A70E73"/>
    <w:pPr>
      <w:keepNext/>
      <w:suppressAutoHyphens w:val="0"/>
      <w:autoSpaceDE w:val="0"/>
    </w:pPr>
    <w:rPr>
      <w:b/>
      <w:bCs/>
      <w:sz w:val="18"/>
      <w:szCs w:val="18"/>
      <w:lang w:eastAsia="es-ES"/>
    </w:rPr>
  </w:style>
  <w:style w:type="paragraph" w:customStyle="1" w:styleId="ww-encabezado30">
    <w:name w:val="ww-encabezado30"/>
    <w:basedOn w:val="Normal"/>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rsid w:val="00A70E73"/>
    <w:pPr>
      <w:suppressAutoHyphens w:val="0"/>
      <w:spacing w:before="100" w:beforeAutospacing="1" w:after="100" w:afterAutospacing="1"/>
    </w:pPr>
    <w:rPr>
      <w:lang w:eastAsia="es-ES"/>
    </w:rPr>
  </w:style>
  <w:style w:type="paragraph" w:styleId="TtuloTDC">
    <w:name w:val="TOC Heading"/>
    <w:basedOn w:val="Ttulo1"/>
    <w:next w:val="Normal"/>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rsid w:val="00A70E73"/>
    <w:pPr>
      <w:numPr>
        <w:numId w:val="7"/>
      </w:numPr>
    </w:pPr>
    <w:rPr>
      <w:sz w:val="20"/>
      <w:szCs w:val="20"/>
      <w:lang w:val="es-ES_tradnl"/>
    </w:rPr>
  </w:style>
  <w:style w:type="paragraph" w:customStyle="1" w:styleId="epgrafe">
    <w:name w:val="epígrafe"/>
    <w:basedOn w:val="Normal"/>
    <w:rsid w:val="00A70E73"/>
    <w:pPr>
      <w:widowControl w:val="0"/>
      <w:suppressAutoHyphens w:val="0"/>
    </w:pPr>
    <w:rPr>
      <w:snapToGrid w:val="0"/>
      <w:szCs w:val="20"/>
      <w:lang w:val="es-ES_tradnl" w:eastAsia="es-ES"/>
    </w:rPr>
  </w:style>
  <w:style w:type="paragraph" w:customStyle="1" w:styleId="Textosinformato2">
    <w:name w:val="Texto sin formato2"/>
    <w:basedOn w:val="Normal"/>
    <w:rsid w:val="00A70E73"/>
    <w:rPr>
      <w:rFonts w:ascii="Courier New" w:hAnsi="Courier New" w:cs="Courier New"/>
      <w:sz w:val="20"/>
      <w:szCs w:val="20"/>
    </w:rPr>
  </w:style>
  <w:style w:type="paragraph" w:customStyle="1" w:styleId="CalendarInformation">
    <w:name w:val="Calendar Information"/>
    <w:basedOn w:val="Normal"/>
    <w:link w:val="CalendarInformationChar"/>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rsid w:val="00A70E73"/>
    <w:rPr>
      <w:sz w:val="24"/>
      <w:szCs w:val="24"/>
      <w:lang w:val="es-ES" w:eastAsia="es-ES" w:bidi="ar-SA"/>
    </w:rPr>
  </w:style>
  <w:style w:type="character" w:customStyle="1" w:styleId="EncabezadoCar">
    <w:name w:val="Encabezado Car"/>
    <w:aliases w:val="encabezado Car"/>
    <w:rsid w:val="00A70E73"/>
    <w:rPr>
      <w:rFonts w:ascii="MS Sans Serif" w:hAnsi="MS Sans Serif"/>
      <w:sz w:val="24"/>
      <w:lang w:val="es-ES_tradnl" w:eastAsia="es-ES" w:bidi="ar-SA"/>
    </w:rPr>
  </w:style>
  <w:style w:type="paragraph" w:customStyle="1" w:styleId="Informal1">
    <w:name w:val="Informal1"/>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rsid w:val="00A70E73"/>
    <w:pPr>
      <w:suppressAutoHyphens w:val="0"/>
      <w:spacing w:before="100" w:beforeAutospacing="1" w:after="100" w:afterAutospacing="1"/>
    </w:pPr>
    <w:rPr>
      <w:lang w:eastAsia="es-ES"/>
    </w:rPr>
  </w:style>
  <w:style w:type="paragraph" w:customStyle="1" w:styleId="autocorrecci3f">
    <w:name w:val="autocorrecci3f"/>
    <w:basedOn w:val="Normal"/>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rsid w:val="00A70E73"/>
    <w:pPr>
      <w:numPr>
        <w:numId w:val="9"/>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rsid w:val="00A70E73"/>
    <w:pPr>
      <w:suppressAutoHyphens w:val="0"/>
      <w:spacing w:before="100" w:beforeAutospacing="1" w:after="100" w:afterAutospacing="1"/>
    </w:pPr>
    <w:rPr>
      <w:lang w:eastAsia="es-ES"/>
    </w:rPr>
  </w:style>
  <w:style w:type="paragraph" w:styleId="Asuntodelcomentario">
    <w:name w:val="annotation subject"/>
    <w:basedOn w:val="Normal"/>
    <w:rsid w:val="00A70E73"/>
    <w:pPr>
      <w:suppressAutoHyphens w:val="0"/>
    </w:pPr>
    <w:rPr>
      <w:b/>
      <w:bCs/>
      <w:sz w:val="20"/>
      <w:szCs w:val="20"/>
      <w:lang w:eastAsia="es-ES"/>
    </w:rPr>
  </w:style>
  <w:style w:type="paragraph" w:customStyle="1" w:styleId="car11">
    <w:name w:val="car11"/>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rsid w:val="00A70E73"/>
    <w:pPr>
      <w:suppressAutoHyphens w:val="0"/>
      <w:autoSpaceDE w:val="0"/>
      <w:autoSpaceDN w:val="0"/>
    </w:pPr>
    <w:rPr>
      <w:sz w:val="20"/>
      <w:szCs w:val="20"/>
      <w:lang w:eastAsia="es-ES"/>
    </w:rPr>
  </w:style>
  <w:style w:type="paragraph" w:customStyle="1" w:styleId="car110">
    <w:name w:val="car110"/>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rsid w:val="00A70E73"/>
    <w:pPr>
      <w:suppressAutoHyphens w:val="0"/>
      <w:autoSpaceDE w:val="0"/>
      <w:autoSpaceDN w:val="0"/>
    </w:pPr>
    <w:rPr>
      <w:rFonts w:ascii="Book Antiqua" w:hAnsi="Book Antiqua"/>
      <w:lang w:eastAsia="es-ES"/>
    </w:rPr>
  </w:style>
  <w:style w:type="paragraph" w:customStyle="1" w:styleId="car00">
    <w:name w:val="car0"/>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rsid w:val="00A70E73"/>
    <w:pPr>
      <w:suppressAutoHyphens w:val="0"/>
      <w:autoSpaceDE w:val="0"/>
      <w:autoSpaceDN w:val="0"/>
    </w:pPr>
    <w:rPr>
      <w:sz w:val="20"/>
      <w:szCs w:val="20"/>
      <w:lang w:eastAsia="es-ES"/>
    </w:rPr>
  </w:style>
  <w:style w:type="paragraph" w:customStyle="1" w:styleId="style4">
    <w:name w:val="style4"/>
    <w:basedOn w:val="Normal"/>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rsid w:val="00A70E73"/>
  </w:style>
  <w:style w:type="character" w:customStyle="1" w:styleId="TextosinformatoCar">
    <w:name w:val="Texto sin formato Car"/>
    <w:rsid w:val="00A70E73"/>
    <w:rPr>
      <w:rFonts w:ascii="Palatino Linotype" w:hAnsi="Palatino Linotype"/>
      <w:color w:val="002060"/>
      <w:sz w:val="24"/>
      <w:szCs w:val="24"/>
      <w:lang w:val="es-ES" w:eastAsia="es-ES" w:bidi="ar-SA"/>
    </w:rPr>
  </w:style>
  <w:style w:type="paragraph" w:customStyle="1" w:styleId="style19">
    <w:name w:val="style19"/>
    <w:basedOn w:val="Normal"/>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rsid w:val="00A70E73"/>
    <w:pPr>
      <w:suppressAutoHyphens w:val="0"/>
      <w:autoSpaceDE w:val="0"/>
      <w:autoSpaceDN w:val="0"/>
    </w:pPr>
    <w:rPr>
      <w:lang w:eastAsia="es-ES"/>
    </w:rPr>
  </w:style>
  <w:style w:type="paragraph" w:customStyle="1" w:styleId="charchar10">
    <w:name w:val="charchar1"/>
    <w:basedOn w:val="Normal"/>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rsid w:val="00A70E73"/>
    <w:pPr>
      <w:suppressAutoHyphens w:val="0"/>
    </w:pPr>
    <w:rPr>
      <w:rFonts w:ascii="Courier New" w:hAnsi="Courier New" w:cs="Courier New"/>
      <w:sz w:val="20"/>
      <w:szCs w:val="20"/>
      <w:lang w:eastAsia="es-ES"/>
    </w:rPr>
  </w:style>
  <w:style w:type="paragraph" w:customStyle="1" w:styleId="style9">
    <w:name w:val="style9"/>
    <w:basedOn w:val="Normal"/>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rsid w:val="00A70E73"/>
    <w:pPr>
      <w:suppressAutoHyphens w:val="0"/>
      <w:autoSpaceDE w:val="0"/>
      <w:autoSpaceDN w:val="0"/>
    </w:pPr>
    <w:rPr>
      <w:sz w:val="20"/>
      <w:szCs w:val="20"/>
      <w:lang w:eastAsia="es-ES"/>
    </w:rPr>
  </w:style>
  <w:style w:type="paragraph" w:customStyle="1" w:styleId="heading50">
    <w:name w:val="heading50"/>
    <w:basedOn w:val="Normal"/>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rsid w:val="00A70E73"/>
    <w:pPr>
      <w:suppressAutoHyphens w:val="0"/>
      <w:spacing w:before="100" w:beforeAutospacing="1" w:after="100" w:afterAutospacing="1"/>
    </w:pPr>
    <w:rPr>
      <w:lang w:eastAsia="es-ES"/>
    </w:rPr>
  </w:style>
  <w:style w:type="paragraph" w:customStyle="1" w:styleId="p">
    <w:name w:val="p"/>
    <w:basedOn w:val="Normal"/>
    <w:rsid w:val="00A70E73"/>
    <w:pPr>
      <w:suppressAutoHyphens w:val="0"/>
      <w:spacing w:before="100" w:beforeAutospacing="1" w:after="100" w:afterAutospacing="1"/>
    </w:pPr>
    <w:rPr>
      <w:lang w:eastAsia="es-ES"/>
    </w:rPr>
  </w:style>
  <w:style w:type="paragraph" w:customStyle="1" w:styleId="charchar2">
    <w:name w:val="charchar2"/>
    <w:basedOn w:val="Normal"/>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rsid w:val="00A70E73"/>
    <w:pPr>
      <w:suppressAutoHyphens w:val="0"/>
      <w:autoSpaceDE w:val="0"/>
      <w:autoSpaceDN w:val="0"/>
      <w:spacing w:before="180"/>
      <w:ind w:left="72"/>
    </w:pPr>
    <w:rPr>
      <w:sz w:val="27"/>
      <w:szCs w:val="27"/>
      <w:lang w:eastAsia="es-ES"/>
    </w:rPr>
  </w:style>
  <w:style w:type="paragraph" w:customStyle="1" w:styleId="style5">
    <w:name w:val="style5"/>
    <w:basedOn w:val="Normal"/>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rsid w:val="00A70E73"/>
    <w:pPr>
      <w:spacing w:line="276" w:lineRule="auto"/>
    </w:pPr>
    <w:rPr>
      <w:rFonts w:ascii="Arial" w:hAnsi="Arial" w:cs="Arial"/>
      <w:color w:val="000000"/>
      <w:sz w:val="22"/>
      <w:szCs w:val="22"/>
    </w:rPr>
  </w:style>
  <w:style w:type="table" w:styleId="Tablaconcuadrcula">
    <w:name w:val="Table Grid"/>
    <w:basedOn w:val="Tablanormal"/>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semiHidden/>
    <w:rsid w:val="00643DD9"/>
    <w:rPr>
      <w:rFonts w:ascii="Arial" w:hAnsi="Arial" w:cs="Arial"/>
      <w:color w:val="000080"/>
      <w:sz w:val="20"/>
      <w:szCs w:val="20"/>
    </w:rPr>
  </w:style>
  <w:style w:type="paragraph" w:customStyle="1" w:styleId="Ttulo53">
    <w:name w:val="Título 53"/>
    <w:next w:val="Normal"/>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qFormat/>
    <w:locked/>
    <w:rsid w:val="00063144"/>
    <w:rPr>
      <w:sz w:val="24"/>
      <w:szCs w:val="24"/>
      <w:lang w:val="es-ES" w:eastAsia="ar-SA"/>
    </w:rPr>
  </w:style>
  <w:style w:type="paragraph" w:customStyle="1" w:styleId="Ttulo52">
    <w:name w:val="Título 52"/>
    <w:next w:val="Normal"/>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styleId="Mencinsinresolver">
    <w:name w:val="Unresolved Mention"/>
    <w:basedOn w:val="Fuentedeprrafopredeter"/>
    <w:uiPriority w:val="99"/>
    <w:semiHidden/>
    <w:unhideWhenUsed/>
    <w:rsid w:val="00F83A6C"/>
    <w:rPr>
      <w:color w:val="605E5C"/>
      <w:shd w:val="clear" w:color="auto" w:fill="E1DFDD"/>
    </w:rPr>
  </w:style>
  <w:style w:type="paragraph" w:customStyle="1" w:styleId="paragraph">
    <w:name w:val="paragraph"/>
    <w:basedOn w:val="Normal"/>
    <w:uiPriority w:val="99"/>
    <w:rsid w:val="00772C5F"/>
    <w:pPr>
      <w:suppressAutoHyphens w:val="0"/>
      <w:spacing w:before="100" w:beforeAutospacing="1" w:after="100" w:afterAutospacing="1"/>
    </w:pPr>
    <w:rPr>
      <w:rFonts w:eastAsia="Calibri"/>
      <w:lang w:val="es-CR" w:eastAsia="es-CR"/>
    </w:rPr>
  </w:style>
  <w:style w:type="character" w:customStyle="1" w:styleId="normaltextrun">
    <w:name w:val="normaltextrun"/>
    <w:basedOn w:val="Fuentedeprrafopredeter"/>
    <w:rsid w:val="00772C5F"/>
  </w:style>
  <w:style w:type="character" w:customStyle="1" w:styleId="eop">
    <w:name w:val="eop"/>
    <w:basedOn w:val="Fuentedeprrafopredeter"/>
    <w:rsid w:val="00772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527446">
      <w:bodyDiv w:val="1"/>
      <w:marLeft w:val="0"/>
      <w:marRight w:val="0"/>
      <w:marTop w:val="0"/>
      <w:marBottom w:val="0"/>
      <w:divBdr>
        <w:top w:val="none" w:sz="0" w:space="0" w:color="auto"/>
        <w:left w:val="none" w:sz="0" w:space="0" w:color="auto"/>
        <w:bottom w:val="none" w:sz="0" w:space="0" w:color="auto"/>
        <w:right w:val="none" w:sz="0" w:space="0" w:color="auto"/>
      </w:divBdr>
    </w:div>
    <w:div w:id="17668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ecrecorte@poder-judicial.go.c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16</Pages>
  <Words>4038</Words>
  <Characters>34573</Characters>
  <Application>Microsoft Office Word</Application>
  <DocSecurity>0</DocSecurity>
  <Lines>652</Lines>
  <Paragraphs>402</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38209</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Secretaría General de la Corte - Comunicaciones - Elienai Díaz Obando</cp:lastModifiedBy>
  <cp:revision>16</cp:revision>
  <cp:lastPrinted>2026-01-29T17:50:00Z</cp:lastPrinted>
  <dcterms:created xsi:type="dcterms:W3CDTF">2026-01-29T16:06:00Z</dcterms:created>
  <dcterms:modified xsi:type="dcterms:W3CDTF">2026-01-29T20:06:00Z</dcterms:modified>
</cp:coreProperties>
</file>