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DE9A" w14:textId="77777777" w:rsidR="006A45D8" w:rsidRPr="008526F2" w:rsidRDefault="006A45D8" w:rsidP="00D66C9C">
      <w:pPr>
        <w:autoSpaceDN w:val="0"/>
        <w:jc w:val="both"/>
        <w:rPr>
          <w:rFonts w:ascii="Times New Roman" w:hAnsi="Times New Roman" w:cs="Times New Roman"/>
          <w:b/>
          <w:bCs/>
          <w:i/>
          <w:iCs/>
          <w:sz w:val="24"/>
          <w:szCs w:val="24"/>
        </w:rPr>
      </w:pPr>
    </w:p>
    <w:p w14:paraId="0092C5FE" w14:textId="6321BD67" w:rsidR="006A45D8" w:rsidRPr="008526F2" w:rsidRDefault="006A45D8" w:rsidP="00D66C9C">
      <w:pPr>
        <w:autoSpaceDN w:val="0"/>
        <w:jc w:val="center"/>
        <w:rPr>
          <w:rFonts w:ascii="Times New Roman" w:hAnsi="Times New Roman" w:cs="Times New Roman"/>
          <w:b/>
          <w:bCs/>
          <w:sz w:val="24"/>
          <w:szCs w:val="24"/>
          <w:u w:val="single"/>
          <w:lang w:eastAsia="es-CR"/>
        </w:rPr>
      </w:pPr>
      <w:r w:rsidRPr="008526F2">
        <w:rPr>
          <w:rFonts w:ascii="Times New Roman" w:hAnsi="Times New Roman" w:cs="Times New Roman"/>
          <w:b/>
          <w:bCs/>
          <w:sz w:val="24"/>
          <w:szCs w:val="24"/>
          <w:u w:val="single"/>
          <w:lang w:eastAsia="es-CR"/>
        </w:rPr>
        <w:t xml:space="preserve">CIRCULAR </w:t>
      </w:r>
      <w:proofErr w:type="spellStart"/>
      <w:r w:rsidRPr="008526F2">
        <w:rPr>
          <w:rFonts w:ascii="Times New Roman" w:hAnsi="Times New Roman" w:cs="Times New Roman"/>
          <w:b/>
          <w:bCs/>
          <w:sz w:val="24"/>
          <w:szCs w:val="24"/>
          <w:u w:val="single"/>
          <w:lang w:eastAsia="es-CR"/>
        </w:rPr>
        <w:t>N°</w:t>
      </w:r>
      <w:proofErr w:type="spellEnd"/>
      <w:r w:rsidR="008526F2">
        <w:rPr>
          <w:rFonts w:ascii="Times New Roman" w:hAnsi="Times New Roman" w:cs="Times New Roman"/>
          <w:b/>
          <w:bCs/>
          <w:sz w:val="24"/>
          <w:szCs w:val="24"/>
          <w:u w:val="single"/>
          <w:lang w:eastAsia="es-CR"/>
        </w:rPr>
        <w:t xml:space="preserve"> </w:t>
      </w:r>
      <w:r w:rsidR="00030EF7" w:rsidRPr="008526F2">
        <w:rPr>
          <w:rFonts w:ascii="Times New Roman" w:hAnsi="Times New Roman" w:cs="Times New Roman"/>
          <w:b/>
          <w:bCs/>
          <w:sz w:val="24"/>
          <w:szCs w:val="24"/>
          <w:u w:val="single"/>
          <w:lang w:eastAsia="es-CR"/>
        </w:rPr>
        <w:t>69</w:t>
      </w:r>
      <w:r w:rsidRPr="008526F2">
        <w:rPr>
          <w:rFonts w:ascii="Times New Roman" w:hAnsi="Times New Roman" w:cs="Times New Roman"/>
          <w:b/>
          <w:bCs/>
          <w:sz w:val="24"/>
          <w:szCs w:val="24"/>
          <w:u w:val="single"/>
          <w:lang w:eastAsia="es-CR"/>
        </w:rPr>
        <w:t>-2023</w:t>
      </w:r>
    </w:p>
    <w:p w14:paraId="19C2411F" w14:textId="77777777" w:rsidR="006A45D8" w:rsidRPr="008526F2" w:rsidRDefault="006A45D8" w:rsidP="00D66C9C">
      <w:pPr>
        <w:autoSpaceDN w:val="0"/>
        <w:jc w:val="center"/>
        <w:rPr>
          <w:rFonts w:ascii="Times New Roman" w:hAnsi="Times New Roman" w:cs="Times New Roman"/>
          <w:b/>
          <w:bCs/>
          <w:sz w:val="24"/>
          <w:szCs w:val="24"/>
          <w:lang w:eastAsia="es-CR"/>
        </w:rPr>
      </w:pPr>
    </w:p>
    <w:p w14:paraId="4C48FD4E" w14:textId="5985B66A" w:rsidR="006A45D8" w:rsidRPr="008526F2" w:rsidRDefault="006A45D8" w:rsidP="00D66C9C">
      <w:pPr>
        <w:autoSpaceDN w:val="0"/>
        <w:jc w:val="center"/>
        <w:rPr>
          <w:rFonts w:ascii="Times New Roman" w:hAnsi="Times New Roman" w:cs="Times New Roman"/>
          <w:sz w:val="24"/>
          <w:szCs w:val="24"/>
          <w:lang w:eastAsia="es-CR"/>
        </w:rPr>
      </w:pPr>
      <w:r w:rsidRPr="008526F2">
        <w:rPr>
          <w:rFonts w:ascii="Times New Roman" w:hAnsi="Times New Roman" w:cs="Times New Roman"/>
          <w:b/>
          <w:bCs/>
          <w:sz w:val="24"/>
          <w:szCs w:val="24"/>
          <w:lang w:eastAsia="es-CR"/>
        </w:rPr>
        <w:t>Asunto</w:t>
      </w:r>
      <w:r w:rsidRPr="008526F2">
        <w:rPr>
          <w:rFonts w:ascii="Times New Roman" w:hAnsi="Times New Roman" w:cs="Times New Roman"/>
          <w:sz w:val="24"/>
          <w:szCs w:val="24"/>
          <w:lang w:eastAsia="es-CR"/>
        </w:rPr>
        <w:t xml:space="preserve">: </w:t>
      </w:r>
      <w:r w:rsidR="00030EF7" w:rsidRPr="008526F2">
        <w:rPr>
          <w:rFonts w:ascii="Times New Roman" w:hAnsi="Times New Roman" w:cs="Times New Roman"/>
          <w:sz w:val="24"/>
          <w:szCs w:val="24"/>
        </w:rPr>
        <w:t xml:space="preserve">Protocolo para </w:t>
      </w:r>
      <w:r w:rsidR="00030EF7" w:rsidRPr="008526F2">
        <w:rPr>
          <w:rFonts w:ascii="Times New Roman" w:hAnsi="Times New Roman" w:cs="Times New Roman"/>
          <w:sz w:val="24"/>
          <w:szCs w:val="24"/>
          <w:lang w:eastAsia="es-CR"/>
        </w:rPr>
        <w:t xml:space="preserve">la asignación y pago efectivo de personas Auxiliares de </w:t>
      </w:r>
      <w:proofErr w:type="gramStart"/>
      <w:r w:rsidR="00030EF7" w:rsidRPr="008526F2">
        <w:rPr>
          <w:rFonts w:ascii="Times New Roman" w:hAnsi="Times New Roman" w:cs="Times New Roman"/>
          <w:sz w:val="24"/>
          <w:szCs w:val="24"/>
          <w:lang w:eastAsia="es-CR"/>
        </w:rPr>
        <w:t>Justicia</w:t>
      </w:r>
      <w:r w:rsidRPr="008526F2">
        <w:rPr>
          <w:rFonts w:ascii="Times New Roman" w:hAnsi="Times New Roman" w:cs="Times New Roman"/>
          <w:sz w:val="24"/>
          <w:szCs w:val="24"/>
          <w:lang w:eastAsia="es-CR"/>
        </w:rPr>
        <w:t>.</w:t>
      </w:r>
      <w:r w:rsidR="00030EF7" w:rsidRPr="008526F2">
        <w:rPr>
          <w:rFonts w:ascii="Times New Roman" w:hAnsi="Times New Roman" w:cs="Times New Roman"/>
          <w:sz w:val="24"/>
          <w:szCs w:val="24"/>
          <w:lang w:eastAsia="es-CR"/>
        </w:rPr>
        <w:t>-</w:t>
      </w:r>
      <w:proofErr w:type="gramEnd"/>
    </w:p>
    <w:p w14:paraId="272A83C6" w14:textId="77777777" w:rsidR="006A45D8" w:rsidRPr="008526F2" w:rsidRDefault="006A45D8" w:rsidP="00D66C9C">
      <w:pPr>
        <w:autoSpaceDN w:val="0"/>
        <w:jc w:val="both"/>
        <w:rPr>
          <w:rFonts w:ascii="Times New Roman" w:hAnsi="Times New Roman" w:cs="Times New Roman"/>
          <w:sz w:val="24"/>
          <w:szCs w:val="24"/>
          <w:lang w:eastAsia="es-CR"/>
        </w:rPr>
      </w:pPr>
    </w:p>
    <w:p w14:paraId="250E0A6A" w14:textId="77777777" w:rsidR="006A45D8" w:rsidRPr="008526F2" w:rsidRDefault="006A45D8" w:rsidP="00D66C9C">
      <w:pPr>
        <w:autoSpaceDN w:val="0"/>
        <w:jc w:val="center"/>
        <w:rPr>
          <w:rFonts w:ascii="Times New Roman" w:hAnsi="Times New Roman" w:cs="Times New Roman"/>
          <w:b/>
          <w:bCs/>
          <w:sz w:val="24"/>
          <w:szCs w:val="24"/>
          <w:u w:val="single"/>
          <w:lang w:eastAsia="es-CR"/>
        </w:rPr>
      </w:pPr>
      <w:r w:rsidRPr="008526F2">
        <w:rPr>
          <w:rFonts w:ascii="Times New Roman" w:hAnsi="Times New Roman" w:cs="Times New Roman"/>
          <w:b/>
          <w:bCs/>
          <w:sz w:val="24"/>
          <w:szCs w:val="24"/>
          <w:u w:val="single"/>
          <w:lang w:eastAsia="es-CR"/>
        </w:rPr>
        <w:t xml:space="preserve">A LOS DESPACHOS JUDICIALES, </w:t>
      </w:r>
    </w:p>
    <w:p w14:paraId="26B242ED" w14:textId="77777777" w:rsidR="006A45D8" w:rsidRPr="008526F2" w:rsidRDefault="006A45D8" w:rsidP="00D66C9C">
      <w:pPr>
        <w:autoSpaceDN w:val="0"/>
        <w:jc w:val="center"/>
        <w:rPr>
          <w:rFonts w:ascii="Times New Roman" w:hAnsi="Times New Roman" w:cs="Times New Roman"/>
          <w:b/>
          <w:bCs/>
          <w:sz w:val="24"/>
          <w:szCs w:val="24"/>
          <w:u w:val="single"/>
          <w:lang w:eastAsia="es-CR"/>
        </w:rPr>
      </w:pPr>
      <w:r w:rsidRPr="008526F2">
        <w:rPr>
          <w:rFonts w:ascii="Times New Roman" w:hAnsi="Times New Roman" w:cs="Times New Roman"/>
          <w:b/>
          <w:bCs/>
          <w:sz w:val="24"/>
          <w:szCs w:val="24"/>
          <w:u w:val="single"/>
          <w:lang w:eastAsia="es-CR"/>
        </w:rPr>
        <w:t>UNIDADES Y SUBUNIDADES ADMINISTRATIVAS DEL PAÍS,</w:t>
      </w:r>
    </w:p>
    <w:p w14:paraId="1FBE3D57" w14:textId="77777777" w:rsidR="006A45D8" w:rsidRPr="008526F2" w:rsidRDefault="006A45D8" w:rsidP="00D66C9C">
      <w:pPr>
        <w:autoSpaceDN w:val="0"/>
        <w:jc w:val="center"/>
        <w:rPr>
          <w:rFonts w:ascii="Times New Roman" w:hAnsi="Times New Roman" w:cs="Times New Roman"/>
          <w:b/>
          <w:bCs/>
          <w:sz w:val="24"/>
          <w:szCs w:val="24"/>
          <w:u w:val="single"/>
          <w:lang w:eastAsia="es-CR"/>
        </w:rPr>
      </w:pPr>
      <w:r w:rsidRPr="008526F2">
        <w:rPr>
          <w:rFonts w:ascii="Times New Roman" w:hAnsi="Times New Roman" w:cs="Times New Roman"/>
          <w:b/>
          <w:bCs/>
          <w:sz w:val="24"/>
          <w:szCs w:val="24"/>
          <w:u w:val="single"/>
          <w:lang w:eastAsia="es-CR"/>
        </w:rPr>
        <w:t>DEPARTAMENTO DE TRABAJO SOCIAL Y PSICOLOGÍA, PERSONAS AUXILIARES DE JUSTICIA</w:t>
      </w:r>
    </w:p>
    <w:p w14:paraId="6043F1C5" w14:textId="77777777" w:rsidR="006A45D8" w:rsidRPr="008526F2" w:rsidRDefault="006A45D8" w:rsidP="00D66C9C">
      <w:pPr>
        <w:autoSpaceDN w:val="0"/>
        <w:jc w:val="center"/>
        <w:rPr>
          <w:rFonts w:ascii="Times New Roman" w:hAnsi="Times New Roman" w:cs="Times New Roman"/>
          <w:b/>
          <w:bCs/>
          <w:sz w:val="24"/>
          <w:szCs w:val="24"/>
          <w:u w:val="single"/>
          <w:lang w:eastAsia="es-CR"/>
        </w:rPr>
      </w:pPr>
    </w:p>
    <w:p w14:paraId="299EF121" w14:textId="77777777" w:rsidR="006A45D8" w:rsidRPr="008526F2" w:rsidRDefault="006A45D8" w:rsidP="00D66C9C">
      <w:pPr>
        <w:autoSpaceDN w:val="0"/>
        <w:jc w:val="center"/>
        <w:rPr>
          <w:rFonts w:ascii="Times New Roman" w:hAnsi="Times New Roman" w:cs="Times New Roman"/>
          <w:b/>
          <w:bCs/>
          <w:sz w:val="24"/>
          <w:szCs w:val="24"/>
          <w:u w:val="single"/>
          <w:lang w:eastAsia="es-CR"/>
        </w:rPr>
      </w:pPr>
      <w:r w:rsidRPr="008526F2">
        <w:rPr>
          <w:rFonts w:ascii="Times New Roman" w:hAnsi="Times New Roman" w:cs="Times New Roman"/>
          <w:b/>
          <w:bCs/>
          <w:sz w:val="24"/>
          <w:szCs w:val="24"/>
          <w:u w:val="single"/>
          <w:lang w:eastAsia="es-CR"/>
        </w:rPr>
        <w:t>SE LES HACE SABER QUE:</w:t>
      </w:r>
    </w:p>
    <w:p w14:paraId="51953B4E" w14:textId="77777777" w:rsidR="006A45D8" w:rsidRPr="008526F2" w:rsidRDefault="006A45D8" w:rsidP="00D66C9C">
      <w:pPr>
        <w:autoSpaceDN w:val="0"/>
        <w:jc w:val="center"/>
        <w:rPr>
          <w:rFonts w:ascii="Times New Roman" w:hAnsi="Times New Roman" w:cs="Times New Roman"/>
          <w:b/>
          <w:bCs/>
          <w:sz w:val="24"/>
          <w:szCs w:val="24"/>
          <w:lang w:eastAsia="es-CR"/>
        </w:rPr>
      </w:pPr>
    </w:p>
    <w:p w14:paraId="65E41996" w14:textId="4823A784" w:rsidR="00030EF7" w:rsidRPr="008526F2" w:rsidRDefault="006A45D8" w:rsidP="00030EF7">
      <w:pPr>
        <w:autoSpaceDN w:val="0"/>
        <w:ind w:firstLine="709"/>
        <w:jc w:val="both"/>
        <w:rPr>
          <w:rFonts w:ascii="Times New Roman" w:hAnsi="Times New Roman" w:cs="Times New Roman"/>
          <w:sz w:val="24"/>
          <w:szCs w:val="24"/>
        </w:rPr>
      </w:pPr>
      <w:r w:rsidRPr="008526F2">
        <w:rPr>
          <w:rFonts w:ascii="Times New Roman" w:hAnsi="Times New Roman" w:cs="Times New Roman"/>
          <w:sz w:val="24"/>
          <w:szCs w:val="24"/>
        </w:rPr>
        <w:t xml:space="preserve">El Consejo Superior en sesión N°20-2023 celebrada el 20 de 14 de marzo de 2023, artículo XLVII, aprobó el “Protocolo para </w:t>
      </w:r>
      <w:r w:rsidRPr="008526F2">
        <w:rPr>
          <w:rFonts w:ascii="Times New Roman" w:hAnsi="Times New Roman" w:cs="Times New Roman"/>
          <w:sz w:val="24"/>
          <w:szCs w:val="24"/>
          <w:lang w:eastAsia="es-CR"/>
        </w:rPr>
        <w:t>la asignación y pago efectivo de personas Auxiliares de Justicia</w:t>
      </w:r>
      <w:r w:rsidR="00030EF7" w:rsidRPr="008526F2">
        <w:rPr>
          <w:rFonts w:ascii="Times New Roman" w:hAnsi="Times New Roman" w:cs="Times New Roman"/>
          <w:sz w:val="24"/>
          <w:szCs w:val="24"/>
        </w:rPr>
        <w:t xml:space="preserve">, </w:t>
      </w:r>
      <w:r w:rsidR="008526F2" w:rsidRPr="008526F2">
        <w:rPr>
          <w:rFonts w:ascii="Times New Roman" w:hAnsi="Times New Roman" w:cs="Times New Roman"/>
          <w:sz w:val="24"/>
          <w:szCs w:val="24"/>
        </w:rPr>
        <w:t xml:space="preserve">el cual se encuentra en el siguiente enlace: </w:t>
      </w:r>
      <w:hyperlink r:id="rId5" w:history="1">
        <w:r w:rsidR="008526F2" w:rsidRPr="008526F2">
          <w:rPr>
            <w:rStyle w:val="Hipervnculo"/>
            <w:rFonts w:ascii="Times New Roman" w:hAnsi="Times New Roman" w:cs="Times New Roman"/>
            <w:sz w:val="24"/>
            <w:szCs w:val="24"/>
          </w:rPr>
          <w:t>https://secretariacorte.poder-judicial.go.cr/index.php/documentos?download=5319:protocolo-para-la-asignacion-y-pago-efectivo-de-personas-auxiliares-de-justicia</w:t>
        </w:r>
      </w:hyperlink>
    </w:p>
    <w:p w14:paraId="5878D668" w14:textId="77777777" w:rsidR="006A45D8" w:rsidRPr="008526F2" w:rsidRDefault="006A45D8" w:rsidP="00D66C9C">
      <w:pPr>
        <w:autoSpaceDN w:val="0"/>
        <w:ind w:firstLine="709"/>
        <w:jc w:val="both"/>
        <w:rPr>
          <w:rFonts w:ascii="Times New Roman" w:hAnsi="Times New Roman" w:cs="Times New Roman"/>
          <w:b/>
          <w:bCs/>
          <w:sz w:val="24"/>
          <w:szCs w:val="24"/>
        </w:rPr>
      </w:pPr>
    </w:p>
    <w:p w14:paraId="3EC4F9F0" w14:textId="77777777" w:rsidR="006A45D8" w:rsidRPr="008526F2" w:rsidRDefault="006A45D8" w:rsidP="00D66C9C">
      <w:pPr>
        <w:autoSpaceDN w:val="0"/>
        <w:jc w:val="both"/>
        <w:rPr>
          <w:rFonts w:ascii="Times New Roman" w:hAnsi="Times New Roman" w:cs="Times New Roman"/>
          <w:sz w:val="24"/>
          <w:szCs w:val="24"/>
          <w:lang w:val="es-ES" w:eastAsia="ar-SA"/>
        </w:rPr>
      </w:pPr>
    </w:p>
    <w:p w14:paraId="25B52FDA" w14:textId="77777777" w:rsidR="006A45D8" w:rsidRPr="008526F2" w:rsidRDefault="006A45D8" w:rsidP="00D66C9C">
      <w:pPr>
        <w:autoSpaceDN w:val="0"/>
        <w:jc w:val="both"/>
        <w:rPr>
          <w:rFonts w:ascii="Times New Roman" w:hAnsi="Times New Roman" w:cs="Times New Roman"/>
          <w:sz w:val="24"/>
          <w:szCs w:val="24"/>
        </w:rPr>
      </w:pPr>
    </w:p>
    <w:p w14:paraId="32F9727F" w14:textId="77777777" w:rsidR="006A45D8" w:rsidRPr="008526F2" w:rsidRDefault="006A45D8" w:rsidP="00D66C9C">
      <w:pPr>
        <w:autoSpaceDN w:val="0"/>
        <w:jc w:val="both"/>
        <w:rPr>
          <w:rFonts w:ascii="Times New Roman" w:hAnsi="Times New Roman" w:cs="Times New Roman"/>
          <w:b/>
          <w:bCs/>
          <w:sz w:val="24"/>
          <w:szCs w:val="24"/>
          <w:lang w:eastAsia="zh-CN"/>
        </w:rPr>
      </w:pPr>
      <w:r w:rsidRPr="008526F2">
        <w:rPr>
          <w:rFonts w:ascii="Times New Roman" w:hAnsi="Times New Roman" w:cs="Times New Roman"/>
          <w:b/>
          <w:bCs/>
          <w:sz w:val="24"/>
          <w:szCs w:val="24"/>
          <w:lang w:eastAsia="zh-CN"/>
        </w:rPr>
        <w:t xml:space="preserve">De conformidad con la circular </w:t>
      </w:r>
      <w:proofErr w:type="spellStart"/>
      <w:r w:rsidRPr="008526F2">
        <w:rPr>
          <w:rFonts w:ascii="Times New Roman" w:hAnsi="Times New Roman" w:cs="Times New Roman"/>
          <w:b/>
          <w:bCs/>
          <w:sz w:val="24"/>
          <w:szCs w:val="24"/>
          <w:lang w:eastAsia="zh-CN"/>
        </w:rPr>
        <w:t>N°</w:t>
      </w:r>
      <w:proofErr w:type="spellEnd"/>
      <w:r w:rsidRPr="008526F2">
        <w:rPr>
          <w:rFonts w:ascii="Times New Roman" w:hAnsi="Times New Roman" w:cs="Times New Roman"/>
          <w:b/>
          <w:bCs/>
          <w:sz w:val="24"/>
          <w:szCs w:val="24"/>
          <w:lang w:eastAsia="zh-CN"/>
        </w:rPr>
        <w:t xml:space="preserve"> 67-09 emitida por la Secretaría de la Corte el 22 de junio de 2009, se le comunica que en virtud del principio de gratuidad que rige esta materia, la publicación está exenta de todo pago de derechos. </w:t>
      </w:r>
    </w:p>
    <w:p w14:paraId="26AA43BC" w14:textId="77777777" w:rsidR="006A45D8" w:rsidRPr="008526F2" w:rsidRDefault="006A45D8" w:rsidP="00D66C9C">
      <w:pPr>
        <w:autoSpaceDN w:val="0"/>
        <w:jc w:val="both"/>
        <w:rPr>
          <w:rFonts w:ascii="Times New Roman" w:hAnsi="Times New Roman" w:cs="Times New Roman"/>
          <w:b/>
          <w:bCs/>
          <w:sz w:val="24"/>
          <w:szCs w:val="24"/>
          <w:lang w:eastAsia="ar-SA"/>
        </w:rPr>
      </w:pPr>
    </w:p>
    <w:p w14:paraId="6CF555B7" w14:textId="77777777" w:rsidR="006A45D8" w:rsidRPr="008526F2" w:rsidRDefault="006A45D8" w:rsidP="00D66C9C">
      <w:pPr>
        <w:autoSpaceDN w:val="0"/>
        <w:jc w:val="both"/>
        <w:rPr>
          <w:rFonts w:ascii="Times New Roman" w:hAnsi="Times New Roman" w:cs="Times New Roman"/>
          <w:b/>
          <w:bCs/>
          <w:sz w:val="24"/>
          <w:szCs w:val="24"/>
          <w:lang w:eastAsia="zh-CN"/>
        </w:rPr>
      </w:pPr>
      <w:r w:rsidRPr="008526F2">
        <w:rPr>
          <w:rFonts w:ascii="Times New Roman" w:hAnsi="Times New Roman" w:cs="Times New Roman"/>
          <w:b/>
          <w:bCs/>
          <w:sz w:val="24"/>
          <w:szCs w:val="24"/>
          <w:lang w:eastAsia="zh-CN"/>
        </w:rPr>
        <w:t>Publíquese una sola vez en el Boletín Judicial.</w:t>
      </w:r>
    </w:p>
    <w:p w14:paraId="1AE64631" w14:textId="77777777" w:rsidR="006A45D8" w:rsidRPr="008526F2" w:rsidRDefault="006A45D8" w:rsidP="00D66C9C">
      <w:pPr>
        <w:autoSpaceDN w:val="0"/>
        <w:jc w:val="both"/>
        <w:rPr>
          <w:rFonts w:ascii="Times New Roman" w:hAnsi="Times New Roman" w:cs="Times New Roman"/>
          <w:b/>
          <w:bCs/>
          <w:sz w:val="24"/>
          <w:szCs w:val="24"/>
          <w:lang w:eastAsia="zh-CN"/>
        </w:rPr>
      </w:pPr>
    </w:p>
    <w:p w14:paraId="0F1F9142" w14:textId="21ED6AAC" w:rsidR="006A45D8" w:rsidRPr="008526F2" w:rsidRDefault="006A45D8" w:rsidP="00D66C9C">
      <w:pPr>
        <w:autoSpaceDE w:val="0"/>
        <w:autoSpaceDN w:val="0"/>
        <w:jc w:val="both"/>
        <w:rPr>
          <w:rFonts w:ascii="Times New Roman" w:hAnsi="Times New Roman" w:cs="Times New Roman"/>
          <w:b/>
          <w:bCs/>
          <w:sz w:val="24"/>
          <w:szCs w:val="24"/>
          <w:lang w:eastAsia="zh-CN"/>
        </w:rPr>
      </w:pPr>
      <w:r w:rsidRPr="008526F2">
        <w:rPr>
          <w:rFonts w:ascii="Times New Roman" w:hAnsi="Times New Roman" w:cs="Times New Roman"/>
          <w:b/>
          <w:bCs/>
          <w:sz w:val="24"/>
          <w:szCs w:val="24"/>
          <w:lang w:eastAsia="zh-CN"/>
        </w:rPr>
        <w:t xml:space="preserve">San José, </w:t>
      </w:r>
      <w:r w:rsidR="008526F2">
        <w:rPr>
          <w:rFonts w:ascii="Times New Roman" w:hAnsi="Times New Roman" w:cs="Times New Roman"/>
          <w:b/>
          <w:bCs/>
          <w:sz w:val="24"/>
          <w:szCs w:val="24"/>
          <w:lang w:eastAsia="zh-CN"/>
        </w:rPr>
        <w:t>13</w:t>
      </w:r>
      <w:r w:rsidRPr="008526F2">
        <w:rPr>
          <w:rFonts w:ascii="Times New Roman" w:hAnsi="Times New Roman" w:cs="Times New Roman"/>
          <w:b/>
          <w:bCs/>
          <w:sz w:val="24"/>
          <w:szCs w:val="24"/>
          <w:lang w:eastAsia="zh-CN"/>
        </w:rPr>
        <w:t xml:space="preserve"> de </w:t>
      </w:r>
      <w:r w:rsidR="008526F2">
        <w:rPr>
          <w:rFonts w:ascii="Times New Roman" w:hAnsi="Times New Roman" w:cs="Times New Roman"/>
          <w:b/>
          <w:bCs/>
          <w:sz w:val="24"/>
          <w:szCs w:val="24"/>
          <w:lang w:eastAsia="zh-CN"/>
        </w:rPr>
        <w:t>abril</w:t>
      </w:r>
      <w:r w:rsidRPr="008526F2">
        <w:rPr>
          <w:rFonts w:ascii="Times New Roman" w:hAnsi="Times New Roman" w:cs="Times New Roman"/>
          <w:b/>
          <w:bCs/>
          <w:sz w:val="24"/>
          <w:szCs w:val="24"/>
          <w:lang w:eastAsia="zh-CN"/>
        </w:rPr>
        <w:t xml:space="preserve"> de 2023</w:t>
      </w:r>
    </w:p>
    <w:p w14:paraId="49144115" w14:textId="77777777" w:rsidR="006A45D8" w:rsidRPr="008526F2" w:rsidRDefault="006A45D8" w:rsidP="00D66C9C">
      <w:pPr>
        <w:autoSpaceDE w:val="0"/>
        <w:autoSpaceDN w:val="0"/>
        <w:jc w:val="both"/>
        <w:rPr>
          <w:rFonts w:ascii="Times New Roman" w:hAnsi="Times New Roman" w:cs="Times New Roman"/>
          <w:b/>
          <w:bCs/>
          <w:sz w:val="24"/>
          <w:szCs w:val="24"/>
          <w:lang w:eastAsia="zh-CN"/>
        </w:rPr>
      </w:pPr>
    </w:p>
    <w:p w14:paraId="29118DA2" w14:textId="77777777" w:rsidR="006A45D8" w:rsidRPr="008526F2" w:rsidRDefault="006A45D8" w:rsidP="00D66C9C">
      <w:pPr>
        <w:autoSpaceDE w:val="0"/>
        <w:autoSpaceDN w:val="0"/>
        <w:jc w:val="both"/>
        <w:rPr>
          <w:rFonts w:ascii="Times New Roman" w:hAnsi="Times New Roman" w:cs="Times New Roman"/>
          <w:b/>
          <w:bCs/>
          <w:sz w:val="24"/>
          <w:szCs w:val="24"/>
          <w:lang w:eastAsia="zh-CN"/>
        </w:rPr>
      </w:pPr>
    </w:p>
    <w:p w14:paraId="217352E0" w14:textId="77777777" w:rsidR="006A45D8" w:rsidRPr="008526F2" w:rsidRDefault="006A45D8" w:rsidP="00D66C9C">
      <w:pPr>
        <w:autoSpaceDN w:val="0"/>
        <w:rPr>
          <w:rFonts w:ascii="Times New Roman" w:hAnsi="Times New Roman" w:cs="Times New Roman"/>
          <w:sz w:val="24"/>
          <w:szCs w:val="24"/>
          <w:lang w:eastAsia="zh-CN"/>
        </w:rPr>
      </w:pPr>
    </w:p>
    <w:p w14:paraId="603F18BD" w14:textId="77777777" w:rsidR="006A45D8" w:rsidRPr="008526F2" w:rsidRDefault="006A45D8" w:rsidP="00D66C9C">
      <w:pPr>
        <w:autoSpaceDN w:val="0"/>
        <w:rPr>
          <w:rFonts w:ascii="Times New Roman" w:hAnsi="Times New Roman" w:cs="Times New Roman"/>
          <w:b/>
          <w:bCs/>
          <w:sz w:val="24"/>
          <w:szCs w:val="24"/>
          <w:lang w:eastAsia="zh-CN"/>
        </w:rPr>
      </w:pPr>
      <w:r w:rsidRPr="008526F2">
        <w:rPr>
          <w:rFonts w:ascii="Times New Roman" w:hAnsi="Times New Roman" w:cs="Times New Roman"/>
          <w:b/>
          <w:bCs/>
          <w:sz w:val="24"/>
          <w:szCs w:val="24"/>
          <w:lang w:eastAsia="zh-CN"/>
        </w:rPr>
        <w:t>Lic. Carlos T. Mora Rodríguez</w:t>
      </w:r>
    </w:p>
    <w:p w14:paraId="6FA501CB" w14:textId="77777777" w:rsidR="006A45D8" w:rsidRPr="008526F2" w:rsidRDefault="006A45D8" w:rsidP="00D66C9C">
      <w:pPr>
        <w:autoSpaceDN w:val="0"/>
        <w:rPr>
          <w:rFonts w:ascii="Times New Roman" w:hAnsi="Times New Roman" w:cs="Times New Roman"/>
          <w:b/>
          <w:bCs/>
          <w:sz w:val="24"/>
          <w:szCs w:val="24"/>
          <w:lang w:eastAsia="zh-CN"/>
        </w:rPr>
      </w:pPr>
      <w:r w:rsidRPr="008526F2">
        <w:rPr>
          <w:rFonts w:ascii="Times New Roman" w:hAnsi="Times New Roman" w:cs="Times New Roman"/>
          <w:b/>
          <w:bCs/>
          <w:sz w:val="24"/>
          <w:szCs w:val="24"/>
          <w:lang w:eastAsia="zh-CN"/>
        </w:rPr>
        <w:t>Subsecretario General interino</w:t>
      </w:r>
    </w:p>
    <w:p w14:paraId="2842C19B" w14:textId="77777777" w:rsidR="006A45D8" w:rsidRPr="008526F2" w:rsidRDefault="006A45D8" w:rsidP="00D66C9C">
      <w:pPr>
        <w:autoSpaceDN w:val="0"/>
        <w:rPr>
          <w:rFonts w:ascii="Times New Roman" w:hAnsi="Times New Roman" w:cs="Times New Roman"/>
          <w:b/>
          <w:bCs/>
          <w:sz w:val="24"/>
          <w:szCs w:val="24"/>
          <w:lang w:eastAsia="zh-CN"/>
        </w:rPr>
      </w:pPr>
      <w:r w:rsidRPr="008526F2">
        <w:rPr>
          <w:rFonts w:ascii="Times New Roman" w:hAnsi="Times New Roman" w:cs="Times New Roman"/>
          <w:b/>
          <w:bCs/>
          <w:sz w:val="24"/>
          <w:szCs w:val="24"/>
          <w:lang w:eastAsia="zh-CN"/>
        </w:rPr>
        <w:t>Corte Suprema de Justicia</w:t>
      </w:r>
    </w:p>
    <w:p w14:paraId="240A30B3" w14:textId="77777777" w:rsidR="006A45D8" w:rsidRPr="008526F2" w:rsidRDefault="006A45D8" w:rsidP="00D66C9C">
      <w:pPr>
        <w:autoSpaceDN w:val="0"/>
        <w:rPr>
          <w:rFonts w:ascii="Times New Roman" w:hAnsi="Times New Roman" w:cs="Times New Roman"/>
          <w:b/>
          <w:bCs/>
          <w:sz w:val="24"/>
          <w:szCs w:val="24"/>
          <w:lang w:eastAsia="zh-CN"/>
        </w:rPr>
      </w:pPr>
    </w:p>
    <w:p w14:paraId="35FB1141" w14:textId="77777777" w:rsidR="006A45D8" w:rsidRPr="008526F2" w:rsidRDefault="006A45D8" w:rsidP="00D66C9C">
      <w:pPr>
        <w:autoSpaceDN w:val="0"/>
        <w:rPr>
          <w:rFonts w:ascii="Times New Roman" w:hAnsi="Times New Roman" w:cs="Times New Roman"/>
          <w:sz w:val="24"/>
          <w:szCs w:val="24"/>
          <w:lang w:eastAsia="zh-CN"/>
        </w:rPr>
      </w:pPr>
      <w:r w:rsidRPr="008526F2">
        <w:rPr>
          <w:rFonts w:ascii="Times New Roman" w:hAnsi="Times New Roman" w:cs="Times New Roman"/>
          <w:sz w:val="24"/>
          <w:szCs w:val="24"/>
          <w:lang w:eastAsia="zh-CN"/>
        </w:rPr>
        <w:t>Refs: (</w:t>
      </w:r>
      <w:r w:rsidRPr="008526F2">
        <w:rPr>
          <w:rFonts w:ascii="Times New Roman" w:hAnsi="Times New Roman" w:cs="Times New Roman"/>
          <w:b/>
          <w:bCs/>
          <w:sz w:val="24"/>
          <w:szCs w:val="24"/>
          <w:lang w:eastAsia="zh-CN"/>
        </w:rPr>
        <w:t>12978-2022</w:t>
      </w:r>
      <w:r w:rsidRPr="008526F2">
        <w:rPr>
          <w:rFonts w:ascii="Times New Roman" w:hAnsi="Times New Roman" w:cs="Times New Roman"/>
          <w:sz w:val="24"/>
          <w:szCs w:val="24"/>
          <w:lang w:eastAsia="zh-CN"/>
        </w:rPr>
        <w:t xml:space="preserve">) </w:t>
      </w:r>
    </w:p>
    <w:p w14:paraId="07511EAA" w14:textId="77777777" w:rsidR="00C671FB" w:rsidRPr="008526F2" w:rsidRDefault="00C671FB" w:rsidP="00D66C9C">
      <w:pPr>
        <w:rPr>
          <w:rFonts w:ascii="Times New Roman" w:hAnsi="Times New Roman" w:cs="Times New Roman"/>
          <w:sz w:val="24"/>
          <w:szCs w:val="24"/>
        </w:rPr>
      </w:pPr>
    </w:p>
    <w:sectPr w:rsidR="00C671FB" w:rsidRPr="008526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530B"/>
    <w:multiLevelType w:val="multilevel"/>
    <w:tmpl w:val="279E3C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EE56312"/>
    <w:multiLevelType w:val="multilevel"/>
    <w:tmpl w:val="0110FEE8"/>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36E9392A"/>
    <w:multiLevelType w:val="multilevel"/>
    <w:tmpl w:val="9140BDC2"/>
    <w:lvl w:ilvl="0">
      <w:start w:val="1"/>
      <w:numFmt w:val="decimal"/>
      <w:lvlText w:val="%1."/>
      <w:lvlJc w:val="left"/>
      <w:pPr>
        <w:ind w:left="644" w:hanging="360"/>
      </w:pPr>
      <w:rPr>
        <w:rFonts w:cs="Arial"/>
        <w:b/>
        <w:i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7B996E7D"/>
    <w:multiLevelType w:val="hybridMultilevel"/>
    <w:tmpl w:val="E3D4D3FC"/>
    <w:lvl w:ilvl="0" w:tplc="140A000D">
      <w:start w:val="1"/>
      <w:numFmt w:val="bullet"/>
      <w:lvlText w:val=""/>
      <w:lvlJc w:val="left"/>
      <w:pPr>
        <w:ind w:left="1080" w:hanging="360"/>
      </w:pPr>
      <w:rPr>
        <w:rFonts w:ascii="Wingdings" w:hAnsi="Wingdings" w:hint="default"/>
      </w:rPr>
    </w:lvl>
    <w:lvl w:ilvl="1" w:tplc="140A0003">
      <w:start w:val="1"/>
      <w:numFmt w:val="bullet"/>
      <w:lvlText w:val="o"/>
      <w:lvlJc w:val="left"/>
      <w:pPr>
        <w:ind w:left="1800" w:hanging="360"/>
      </w:pPr>
      <w:rPr>
        <w:rFonts w:ascii="Courier New" w:hAnsi="Courier New" w:cs="Courier New" w:hint="default"/>
      </w:rPr>
    </w:lvl>
    <w:lvl w:ilvl="2" w:tplc="140A0005">
      <w:start w:val="1"/>
      <w:numFmt w:val="bullet"/>
      <w:lvlText w:val=""/>
      <w:lvlJc w:val="left"/>
      <w:pPr>
        <w:ind w:left="2520" w:hanging="360"/>
      </w:pPr>
      <w:rPr>
        <w:rFonts w:ascii="Wingdings" w:hAnsi="Wingdings" w:hint="default"/>
      </w:rPr>
    </w:lvl>
    <w:lvl w:ilvl="3" w:tplc="140A0001">
      <w:start w:val="1"/>
      <w:numFmt w:val="bullet"/>
      <w:lvlText w:val=""/>
      <w:lvlJc w:val="left"/>
      <w:pPr>
        <w:ind w:left="3240" w:hanging="360"/>
      </w:pPr>
      <w:rPr>
        <w:rFonts w:ascii="Symbol" w:hAnsi="Symbol" w:hint="default"/>
      </w:rPr>
    </w:lvl>
    <w:lvl w:ilvl="4" w:tplc="140A0003">
      <w:start w:val="1"/>
      <w:numFmt w:val="bullet"/>
      <w:lvlText w:val="o"/>
      <w:lvlJc w:val="left"/>
      <w:pPr>
        <w:ind w:left="3960" w:hanging="360"/>
      </w:pPr>
      <w:rPr>
        <w:rFonts w:ascii="Courier New" w:hAnsi="Courier New" w:cs="Courier New" w:hint="default"/>
      </w:rPr>
    </w:lvl>
    <w:lvl w:ilvl="5" w:tplc="140A0005">
      <w:start w:val="1"/>
      <w:numFmt w:val="bullet"/>
      <w:lvlText w:val=""/>
      <w:lvlJc w:val="left"/>
      <w:pPr>
        <w:ind w:left="4680" w:hanging="360"/>
      </w:pPr>
      <w:rPr>
        <w:rFonts w:ascii="Wingdings" w:hAnsi="Wingdings" w:hint="default"/>
      </w:rPr>
    </w:lvl>
    <w:lvl w:ilvl="6" w:tplc="140A0001">
      <w:start w:val="1"/>
      <w:numFmt w:val="bullet"/>
      <w:lvlText w:val=""/>
      <w:lvlJc w:val="left"/>
      <w:pPr>
        <w:ind w:left="5400" w:hanging="360"/>
      </w:pPr>
      <w:rPr>
        <w:rFonts w:ascii="Symbol" w:hAnsi="Symbol" w:hint="default"/>
      </w:rPr>
    </w:lvl>
    <w:lvl w:ilvl="7" w:tplc="140A0003">
      <w:start w:val="1"/>
      <w:numFmt w:val="bullet"/>
      <w:lvlText w:val="o"/>
      <w:lvlJc w:val="left"/>
      <w:pPr>
        <w:ind w:left="6120" w:hanging="360"/>
      </w:pPr>
      <w:rPr>
        <w:rFonts w:ascii="Courier New" w:hAnsi="Courier New" w:cs="Courier New" w:hint="default"/>
      </w:rPr>
    </w:lvl>
    <w:lvl w:ilvl="8" w:tplc="140A0005">
      <w:start w:val="1"/>
      <w:numFmt w:val="bullet"/>
      <w:lvlText w:val=""/>
      <w:lvlJc w:val="left"/>
      <w:pPr>
        <w:ind w:left="6840" w:hanging="360"/>
      </w:pPr>
      <w:rPr>
        <w:rFonts w:ascii="Wingdings" w:hAnsi="Wingdings" w:hint="default"/>
      </w:rPr>
    </w:lvl>
  </w:abstractNum>
  <w:num w:numId="1" w16cid:durableId="1526793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46266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2341232">
    <w:abstractNumId w:val="3"/>
  </w:num>
  <w:num w:numId="4" w16cid:durableId="190074861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D8"/>
    <w:rsid w:val="00030EF7"/>
    <w:rsid w:val="00482EA3"/>
    <w:rsid w:val="006A45D8"/>
    <w:rsid w:val="007B2068"/>
    <w:rsid w:val="008526F2"/>
    <w:rsid w:val="00C671FB"/>
    <w:rsid w:val="00D23765"/>
    <w:rsid w:val="00D66C9C"/>
    <w:rsid w:val="00D71A12"/>
    <w:rsid w:val="00F9066A"/>
    <w:rsid w:val="00FE5B73"/>
  </w:rsids>
  <m:mathPr>
    <m:mathFont m:val="Cambria Math"/>
    <m:brkBin m:val="before"/>
    <m:brkBinSub m:val="--"/>
    <m:smallFrac m:val="0"/>
    <m:dispDef/>
    <m:lMargin m:val="0"/>
    <m:rMargin m:val="0"/>
    <m:defJc m:val="centerGroup"/>
    <m:wrapIndent m:val="1440"/>
    <m:intLim m:val="subSup"/>
    <m:naryLim m:val="undOvr"/>
  </m:mathPr>
  <w:themeFontLang w:val="es-C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284C1"/>
  <w15:chartTrackingRefBased/>
  <w15:docId w15:val="{A8833EA2-6A12-4D2C-844A-0C64D161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D8"/>
    <w:pPr>
      <w:spacing w:after="0" w:line="240" w:lineRule="auto"/>
    </w:pPr>
    <w:rPr>
      <w:rFonts w:ascii="Calibri" w:hAnsi="Calibri" w:cs="Calibri"/>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A45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9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retariacorte.poder-judicial.go.cr/index.php/documentos?download=5319:protocolo-para-la-asignacion-y-pago-efectivo-de-personas-auxiliares-de-justici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1121</Characters>
  <Application>Microsoft Office Word</Application>
  <DocSecurity>0</DocSecurity>
  <Lines>43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Nickole Salas Soto</dc:creator>
  <cp:keywords/>
  <dc:description/>
  <cp:lastModifiedBy>Secretaría General de la Corte - Comunicaciones - Andrea Campos Jiménez</cp:lastModifiedBy>
  <cp:revision>2</cp:revision>
  <dcterms:created xsi:type="dcterms:W3CDTF">2026-01-23T21:03:00Z</dcterms:created>
  <dcterms:modified xsi:type="dcterms:W3CDTF">2026-01-23T21:03:00Z</dcterms:modified>
</cp:coreProperties>
</file>