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3A62" w14:textId="62DF8FA3" w:rsidR="006C1A10" w:rsidRP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CIRCULAR N° </w:t>
      </w:r>
      <w:r>
        <w:rPr>
          <w:rFonts w:ascii="Arial Narrow" w:eastAsia="Calibri" w:hAnsi="Arial Narrow" w:cs="Times New Roman"/>
          <w:bCs/>
          <w:color w:val="000000"/>
          <w:lang w:val="pt-PT"/>
        </w:rPr>
        <w:t>204</w:t>
      </w:r>
      <w:r w:rsidRPr="006C1A10">
        <w:rPr>
          <w:rFonts w:ascii="Arial Narrow" w:eastAsia="Calibri" w:hAnsi="Arial Narrow" w:cs="Times New Roman"/>
          <w:bCs/>
          <w:color w:val="000000"/>
          <w:lang w:val="pt-PT"/>
        </w:rPr>
        <w:t>-2025</w:t>
      </w:r>
    </w:p>
    <w:p w14:paraId="7E849C90"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 </w:t>
      </w:r>
    </w:p>
    <w:p w14:paraId="40772DC8" w14:textId="30DB7A3D" w:rsidR="006C1A10" w:rsidRP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Asunto:</w:t>
      </w:r>
      <w:r w:rsidR="00E3545B">
        <w:rPr>
          <w:rFonts w:ascii="Arial Narrow" w:eastAsia="Calibri" w:hAnsi="Arial Narrow" w:cs="Times New Roman"/>
          <w:bCs/>
          <w:color w:val="000000"/>
          <w:lang w:val="pt-PT"/>
        </w:rPr>
        <w:tab/>
      </w:r>
      <w:r w:rsidRPr="006C1A10">
        <w:rPr>
          <w:rFonts w:ascii="Arial Narrow" w:eastAsia="Calibri" w:hAnsi="Arial Narrow" w:cs="Times New Roman"/>
          <w:bCs/>
          <w:color w:val="000000"/>
          <w:lang w:val="pt-PT"/>
        </w:rPr>
        <w:t>Juzgados que funcionan como «Centros de Gestión», para trámites de los procesos ordinarios de menor cuantía, sucesorios (circulante total), sumarios por controversia de condóminos y protección al consumidor en materia civil a partir del primero de agosto de 2025.</w:t>
      </w:r>
    </w:p>
    <w:p w14:paraId="37243A08"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 </w:t>
      </w:r>
    </w:p>
    <w:p w14:paraId="03D31FB9"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A LAS AUTORIDADES JUDICIALES DEL PAÍS, DESPACHOS QUE CONOCEN LA MATERIA CIVIL, INSTITUCIONES, ABOGADOS Y PÚBLICO EN GENERAL</w:t>
      </w:r>
    </w:p>
    <w:p w14:paraId="5574B560"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p>
    <w:p w14:paraId="795F146A"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 SE LES HACE SABER QUE:</w:t>
      </w:r>
    </w:p>
    <w:p w14:paraId="4F9F1FF7"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p>
    <w:p w14:paraId="269A3181" w14:textId="07F05776" w:rsidR="006C1A10" w:rsidRP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 xml:space="preserve">El Consejo Superior, en la sesión </w:t>
      </w:r>
      <w:r w:rsidR="003514B3">
        <w:rPr>
          <w:rFonts w:ascii="Arial Narrow" w:eastAsia="Calibri" w:hAnsi="Arial Narrow" w:cs="Times New Roman"/>
          <w:bCs/>
          <w:color w:val="000000"/>
          <w:lang w:val="pt-PT"/>
        </w:rPr>
        <w:t>N</w:t>
      </w:r>
      <w:r w:rsidRPr="006C1A10">
        <w:rPr>
          <w:rFonts w:ascii="Arial Narrow" w:eastAsia="Calibri" w:hAnsi="Arial Narrow" w:cs="Times New Roman"/>
          <w:bCs/>
          <w:color w:val="000000"/>
          <w:lang w:val="pt-PT"/>
        </w:rPr>
        <w:t>°</w:t>
      </w:r>
      <w:r w:rsidR="003514B3">
        <w:rPr>
          <w:rFonts w:ascii="Arial Narrow" w:eastAsia="Calibri" w:hAnsi="Arial Narrow" w:cs="Times New Roman"/>
          <w:bCs/>
          <w:color w:val="000000"/>
          <w:lang w:val="pt-PT"/>
        </w:rPr>
        <w:t>96-2025</w:t>
      </w:r>
      <w:r w:rsidRPr="006C1A10">
        <w:rPr>
          <w:rFonts w:ascii="Arial Narrow" w:eastAsia="Calibri" w:hAnsi="Arial Narrow" w:cs="Times New Roman"/>
          <w:bCs/>
          <w:color w:val="000000"/>
          <w:lang w:val="pt-PT"/>
        </w:rPr>
        <w:t xml:space="preserve"> celebrada el </w:t>
      </w:r>
      <w:r w:rsidR="003514B3">
        <w:rPr>
          <w:rFonts w:ascii="Arial Narrow" w:eastAsia="Calibri" w:hAnsi="Arial Narrow" w:cs="Times New Roman"/>
          <w:bCs/>
          <w:color w:val="000000"/>
          <w:lang w:val="pt-PT"/>
        </w:rPr>
        <w:t>21</w:t>
      </w:r>
      <w:r w:rsidRPr="006C1A10">
        <w:rPr>
          <w:rFonts w:ascii="Arial Narrow" w:eastAsia="Calibri" w:hAnsi="Arial Narrow" w:cs="Times New Roman"/>
          <w:bCs/>
          <w:color w:val="000000"/>
          <w:lang w:val="pt-PT"/>
        </w:rPr>
        <w:t>,</w:t>
      </w:r>
      <w:r w:rsidR="003514B3">
        <w:rPr>
          <w:rFonts w:ascii="Arial Narrow" w:eastAsia="Calibri" w:hAnsi="Arial Narrow" w:cs="Times New Roman"/>
          <w:bCs/>
          <w:color w:val="000000"/>
          <w:lang w:val="pt-PT"/>
        </w:rPr>
        <w:t xml:space="preserve"> de octubre de 2025,</w:t>
      </w:r>
      <w:r w:rsidRPr="006C1A10">
        <w:rPr>
          <w:rFonts w:ascii="Arial Narrow" w:eastAsia="Calibri" w:hAnsi="Arial Narrow" w:cs="Times New Roman"/>
          <w:bCs/>
          <w:color w:val="000000"/>
          <w:lang w:val="pt-PT"/>
        </w:rPr>
        <w:t xml:space="preserve"> artículo </w:t>
      </w:r>
      <w:r w:rsidR="003514B3">
        <w:rPr>
          <w:rFonts w:ascii="Arial Narrow" w:eastAsia="Calibri" w:hAnsi="Arial Narrow" w:cs="Times New Roman"/>
          <w:bCs/>
          <w:color w:val="000000"/>
          <w:lang w:val="pt-PT"/>
        </w:rPr>
        <w:t>LIII</w:t>
      </w:r>
      <w:r w:rsidRPr="006C1A10">
        <w:rPr>
          <w:rFonts w:ascii="Arial Narrow" w:eastAsia="Calibri" w:hAnsi="Arial Narrow" w:cs="Times New Roman"/>
          <w:bCs/>
          <w:color w:val="000000"/>
          <w:lang w:val="pt-PT"/>
        </w:rPr>
        <w:t xml:space="preserve">, acordó comunicar que la Corte Plena, en la sesión </w:t>
      </w:r>
      <w:proofErr w:type="spellStart"/>
      <w:r w:rsidRPr="006C1A10">
        <w:rPr>
          <w:rFonts w:ascii="Arial Narrow" w:eastAsia="Calibri" w:hAnsi="Arial Narrow" w:cs="Times New Roman"/>
          <w:bCs/>
          <w:color w:val="000000"/>
          <w:lang w:val="pt-PT"/>
        </w:rPr>
        <w:t>n°</w:t>
      </w:r>
      <w:proofErr w:type="spellEnd"/>
      <w:r w:rsidRPr="006C1A10">
        <w:rPr>
          <w:rFonts w:ascii="Arial Narrow" w:eastAsia="Calibri" w:hAnsi="Arial Narrow" w:cs="Times New Roman"/>
          <w:bCs/>
          <w:color w:val="000000"/>
          <w:lang w:val="pt-PT"/>
        </w:rPr>
        <w:t xml:space="preserve"> 34-2025, celebrada el 14 de julio de 2025, artículo XXVI, aprobó ampliar la competencia material de los tribunales colegiados de primera instancia civil para conocer de los procesos nuevos ordinarios de menor cuantía, sucesorios, sumarios por controversia de condóminos y de protección al consumidor. </w:t>
      </w:r>
    </w:p>
    <w:p w14:paraId="0469F57D"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p>
    <w:p w14:paraId="6FFB64CB"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 xml:space="preserve">Con motivo de lo anterior los juzgados civiles se mantendrán como «Centros de Gestión», a partir del 1° de agosto de 2025.  Esta disposición busca no solo mejorar la eficiencia del sistema judicial, sino también incrementar la confianza de la ciudadanía en la administración de justicia, respondiendo de manera efectiva a sus expectativas y necesidades.  </w:t>
      </w:r>
    </w:p>
    <w:p w14:paraId="1A56BC48"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p>
    <w:p w14:paraId="0C81C571"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 xml:space="preserve">Los juzgados civiles en su totalidad se suman a los Juzgados Contravencionales y Menor Cuantía del país que, desde la entrada en vigor del Código Procesal Civil, el 8 de octubre de 2018, venían funcionando como «Centros de Gestión», en la materia civil. </w:t>
      </w:r>
    </w:p>
    <w:p w14:paraId="698024C3"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p>
    <w:p w14:paraId="740F4D30"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Las funciones serán las siguientes.</w:t>
      </w:r>
    </w:p>
    <w:p w14:paraId="0A11306A" w14:textId="77777777" w:rsidR="006C1A10" w:rsidRPr="006C1A10" w:rsidRDefault="006C1A10" w:rsidP="006C1A10">
      <w:pPr>
        <w:rPr>
          <w:lang w:val="es-ES"/>
        </w:rPr>
      </w:pPr>
    </w:p>
    <w:p w14:paraId="1953F539" w14:textId="21C6C7F7" w:rsidR="006C1A10" w:rsidRPr="006C1A10" w:rsidRDefault="006C1A10" w:rsidP="00AC058C">
      <w:pPr>
        <w:jc w:val="center"/>
        <w:rPr>
          <w:lang w:val="es-ES"/>
        </w:rPr>
      </w:pPr>
      <w:r w:rsidRPr="006C1A10">
        <w:rPr>
          <w:lang w:val="es-ES"/>
        </w:rPr>
        <w:drawing>
          <wp:inline distT="0" distB="0" distL="0" distR="0" wp14:anchorId="2BB717C9" wp14:editId="33AAFB67">
            <wp:extent cx="5059391" cy="2952750"/>
            <wp:effectExtent l="0" t="0" r="8255" b="0"/>
            <wp:docPr id="34044322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3"/>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075876" cy="2962371"/>
                    </a:xfrm>
                    <a:prstGeom prst="rect">
                      <a:avLst/>
                    </a:prstGeom>
                    <a:noFill/>
                    <a:ln>
                      <a:noFill/>
                    </a:ln>
                  </pic:spPr>
                </pic:pic>
              </a:graphicData>
            </a:graphic>
          </wp:inline>
        </w:drawing>
      </w:r>
    </w:p>
    <w:p w14:paraId="44F3506B"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lastRenderedPageBreak/>
        <w:t>En aquellos casos en que los Tribunales Colegiados de Primera Instancia Civil detecten incumplimiento de parte de los  «Centros de Gestión», (que remitan documentos físicos por conocimiento, o bien que las personas usuarias informen que no se les brindó alguno de los servicios establecidos), se deberá informar lo correspondiente a la Administración Regional del Circuito, a la Contraloría de Servicios y al Centro de Apoyo, Coordinación y Mejoramiento de la Función Jurisdiccional, para el seguimiento respectivo.</w:t>
      </w:r>
    </w:p>
    <w:p w14:paraId="4560E200"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p>
    <w:p w14:paraId="76973E27" w14:textId="4D4591C0" w:rsid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Seguidamente de enlistan los juzgados civiles que funcionan como «Centros de Gestión».</w:t>
      </w:r>
    </w:p>
    <w:p w14:paraId="60878BFF" w14:textId="77777777" w:rsidR="00705A53" w:rsidRPr="006C1A10" w:rsidRDefault="00705A53" w:rsidP="00705A53">
      <w:pPr>
        <w:spacing w:after="0" w:line="240" w:lineRule="auto"/>
        <w:jc w:val="both"/>
        <w:rPr>
          <w:rFonts w:ascii="Arial Narrow" w:eastAsia="Calibri" w:hAnsi="Arial Narrow" w:cs="Times New Roman"/>
          <w:bCs/>
          <w:color w:val="000000"/>
          <w:lang w:val="pt-PT"/>
        </w:rPr>
      </w:pPr>
    </w:p>
    <w:p w14:paraId="23384BF1"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 xml:space="preserve">Cuadro </w:t>
      </w:r>
      <w:proofErr w:type="spellStart"/>
      <w:r w:rsidRPr="006C1A10">
        <w:rPr>
          <w:rFonts w:ascii="Arial Narrow" w:eastAsia="Calibri" w:hAnsi="Arial Narrow" w:cs="Times New Roman"/>
          <w:bCs/>
          <w:color w:val="000000"/>
          <w:lang w:val="pt-PT"/>
        </w:rPr>
        <w:t>N°</w:t>
      </w:r>
      <w:proofErr w:type="spellEnd"/>
      <w:r w:rsidRPr="006C1A10">
        <w:rPr>
          <w:rFonts w:ascii="Arial Narrow" w:eastAsia="Calibri" w:hAnsi="Arial Narrow" w:cs="Times New Roman"/>
          <w:bCs/>
          <w:color w:val="000000"/>
          <w:lang w:val="pt-PT"/>
        </w:rPr>
        <w:t xml:space="preserve"> 1</w:t>
      </w:r>
    </w:p>
    <w:p w14:paraId="41C61413"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p>
    <w:p w14:paraId="66FCE73B"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 xml:space="preserve">Juzgados civiles que funcionan como «Centros de Gestión», para trámites de los procesos ordinarios de menor cuantía, sucesorios (circulante total), sumarios por controversia de condóminos y protección al consumidor en materia civil </w:t>
      </w:r>
    </w:p>
    <w:p w14:paraId="0F3FA378"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a partir del 1° de agosto de 2025</w:t>
      </w:r>
    </w:p>
    <w:p w14:paraId="176EEEB0" w14:textId="77777777" w:rsidR="006C1A10" w:rsidRPr="006C1A10" w:rsidRDefault="006C1A10" w:rsidP="00705A53">
      <w:pPr>
        <w:spacing w:after="0" w:line="240" w:lineRule="auto"/>
        <w:jc w:val="both"/>
        <w:rPr>
          <w:rFonts w:ascii="Arial Narrow" w:eastAsia="Calibri" w:hAnsi="Arial Narrow" w:cs="Times New Roman"/>
          <w:bCs/>
          <w:color w:val="000000"/>
          <w:lang w:val="pt-PT"/>
        </w:rPr>
      </w:pPr>
    </w:p>
    <w:p w14:paraId="15C7A357" w14:textId="77777777" w:rsidR="006C1A10" w:rsidRPr="006C1A10" w:rsidRDefault="006C1A10" w:rsidP="00705A53">
      <w:pPr>
        <w:spacing w:after="0" w:line="240" w:lineRule="auto"/>
        <w:rPr>
          <w:lang w:val="es-ES"/>
        </w:rPr>
      </w:pPr>
    </w:p>
    <w:tbl>
      <w:tblPr>
        <w:tblW w:w="0" w:type="auto"/>
        <w:jc w:val="center"/>
        <w:tblCellMar>
          <w:left w:w="0" w:type="dxa"/>
          <w:right w:w="0" w:type="dxa"/>
        </w:tblCellMar>
        <w:tblLook w:val="04A0" w:firstRow="1" w:lastRow="0" w:firstColumn="1" w:lastColumn="0" w:noHBand="0" w:noVBand="1"/>
      </w:tblPr>
      <w:tblGrid>
        <w:gridCol w:w="4233"/>
        <w:gridCol w:w="4585"/>
      </w:tblGrid>
      <w:tr w:rsidR="006C1A10" w:rsidRPr="006C1A10" w14:paraId="55F020D4" w14:textId="77777777" w:rsidTr="006C1A10">
        <w:trPr>
          <w:trHeight w:val="693"/>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8496B0"/>
            <w:tcMar>
              <w:top w:w="0" w:type="dxa"/>
              <w:left w:w="70" w:type="dxa"/>
              <w:bottom w:w="0" w:type="dxa"/>
              <w:right w:w="70" w:type="dxa"/>
            </w:tcMar>
            <w:vAlign w:val="center"/>
            <w:hideMark/>
          </w:tcPr>
          <w:p w14:paraId="26D20C6F" w14:textId="77777777" w:rsidR="006C1A10" w:rsidRPr="006C1A10" w:rsidRDefault="006C1A10" w:rsidP="006C1A10">
            <w:pPr>
              <w:spacing w:after="0" w:line="240" w:lineRule="auto"/>
              <w:rPr>
                <w:rFonts w:ascii="Arial Narrow" w:hAnsi="Arial Narrow"/>
                <w:b/>
                <w:bCs/>
                <w:sz w:val="22"/>
                <w:szCs w:val="22"/>
                <w:lang w:val="es-ES_tradnl"/>
              </w:rPr>
            </w:pPr>
            <w:r w:rsidRPr="006C1A10">
              <w:rPr>
                <w:rFonts w:ascii="Arial Narrow" w:hAnsi="Arial Narrow"/>
                <w:b/>
                <w:bCs/>
                <w:sz w:val="22"/>
                <w:szCs w:val="22"/>
                <w:lang w:val="es-ES_tradnl"/>
              </w:rPr>
              <w:t>DESPACHO JUDICIAL</w:t>
            </w:r>
          </w:p>
        </w:tc>
        <w:tc>
          <w:tcPr>
            <w:tcW w:w="0" w:type="auto"/>
            <w:tcBorders>
              <w:top w:val="single" w:sz="8" w:space="0" w:color="000000"/>
              <w:left w:val="nil"/>
              <w:bottom w:val="single" w:sz="8" w:space="0" w:color="000000"/>
              <w:right w:val="single" w:sz="8" w:space="0" w:color="000000"/>
            </w:tcBorders>
            <w:shd w:val="clear" w:color="auto" w:fill="8496B0"/>
            <w:tcMar>
              <w:top w:w="0" w:type="dxa"/>
              <w:left w:w="70" w:type="dxa"/>
              <w:bottom w:w="0" w:type="dxa"/>
              <w:right w:w="70" w:type="dxa"/>
            </w:tcMar>
            <w:vAlign w:val="center"/>
            <w:hideMark/>
          </w:tcPr>
          <w:p w14:paraId="6333D145" w14:textId="77777777" w:rsidR="006C1A10" w:rsidRPr="006C1A10" w:rsidRDefault="006C1A10" w:rsidP="006C1A10">
            <w:pPr>
              <w:spacing w:after="0" w:line="240" w:lineRule="auto"/>
              <w:rPr>
                <w:rFonts w:ascii="Arial Narrow" w:hAnsi="Arial Narrow"/>
                <w:b/>
                <w:bCs/>
                <w:sz w:val="22"/>
                <w:szCs w:val="22"/>
                <w:lang w:val="es-ES_tradnl"/>
              </w:rPr>
            </w:pPr>
            <w:r w:rsidRPr="006C1A10">
              <w:rPr>
                <w:rFonts w:ascii="Arial Narrow" w:hAnsi="Arial Narrow"/>
                <w:b/>
                <w:bCs/>
                <w:sz w:val="22"/>
                <w:szCs w:val="22"/>
                <w:lang w:val="es-ES_tradnl"/>
              </w:rPr>
              <w:t>CENTRO DE GESTIÓN</w:t>
            </w:r>
          </w:p>
        </w:tc>
      </w:tr>
      <w:tr w:rsidR="006C1A10" w:rsidRPr="006C1A10" w14:paraId="2213490B" w14:textId="77777777" w:rsidTr="006C1A10">
        <w:trPr>
          <w:trHeight w:val="757"/>
          <w:jc w:val="center"/>
        </w:trPr>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82839E8" w14:textId="77777777" w:rsidR="006C1A10" w:rsidRPr="006C1A10" w:rsidRDefault="006C1A10" w:rsidP="006C1A10">
            <w:pPr>
              <w:numPr>
                <w:ilvl w:val="0"/>
                <w:numId w:val="1"/>
              </w:numPr>
              <w:spacing w:after="0" w:line="240" w:lineRule="auto"/>
              <w:ind w:left="0"/>
              <w:rPr>
                <w:rFonts w:ascii="Arial Narrow" w:hAnsi="Arial Narrow"/>
                <w:sz w:val="22"/>
                <w:szCs w:val="22"/>
                <w:lang w:val="es-ES_tradnl"/>
              </w:rPr>
            </w:pPr>
            <w:r w:rsidRPr="006C1A10">
              <w:rPr>
                <w:rFonts w:ascii="Arial Narrow" w:hAnsi="Arial Narrow"/>
                <w:sz w:val="22"/>
                <w:szCs w:val="22"/>
                <w:lang w:val="es-ES_tradnl"/>
              </w:rPr>
              <w:t>Tribunal Primero Colegiado de Primera Instancia Civil del Primer Circuito Judicial de San José</w:t>
            </w:r>
          </w:p>
        </w:tc>
        <w:tc>
          <w:tcPr>
            <w:tcW w:w="0" w:type="auto"/>
            <w:vMerge w:val="restart"/>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A4271C4"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Juzgado Civil y de Trabajo de Puriscal</w:t>
            </w:r>
          </w:p>
        </w:tc>
      </w:tr>
      <w:tr w:rsidR="006C1A10" w:rsidRPr="006C1A10" w14:paraId="5243B9ED" w14:textId="77777777" w:rsidTr="006C1A10">
        <w:trPr>
          <w:trHeight w:val="901"/>
          <w:jc w:val="center"/>
        </w:trPr>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58E5E07E" w14:textId="77777777" w:rsidR="006C1A10" w:rsidRPr="006C1A10" w:rsidRDefault="006C1A10" w:rsidP="006C1A10">
            <w:pPr>
              <w:numPr>
                <w:ilvl w:val="0"/>
                <w:numId w:val="1"/>
              </w:numPr>
              <w:spacing w:after="0" w:line="240" w:lineRule="auto"/>
              <w:ind w:left="0"/>
              <w:rPr>
                <w:rFonts w:ascii="Arial Narrow" w:hAnsi="Arial Narrow"/>
                <w:sz w:val="22"/>
                <w:szCs w:val="22"/>
                <w:lang w:val="es-ES_tradnl"/>
              </w:rPr>
            </w:pPr>
            <w:r w:rsidRPr="006C1A10">
              <w:rPr>
                <w:rFonts w:ascii="Arial Narrow" w:hAnsi="Arial Narrow"/>
                <w:sz w:val="22"/>
                <w:szCs w:val="22"/>
                <w:lang w:val="es-ES_tradnl"/>
              </w:rPr>
              <w:t>Tribunal Segundo Colegiado de Primera Instancia Civil del Primer Circuito Judicial de San José</w:t>
            </w:r>
          </w:p>
        </w:tc>
        <w:tc>
          <w:tcPr>
            <w:tcW w:w="0" w:type="auto"/>
            <w:vMerge/>
            <w:tcBorders>
              <w:top w:val="nil"/>
              <w:left w:val="nil"/>
              <w:bottom w:val="single" w:sz="8" w:space="0" w:color="000000"/>
              <w:right w:val="single" w:sz="8" w:space="0" w:color="000000"/>
            </w:tcBorders>
            <w:vAlign w:val="center"/>
            <w:hideMark/>
          </w:tcPr>
          <w:p w14:paraId="05E23624" w14:textId="77777777" w:rsidR="006C1A10" w:rsidRPr="006C1A10" w:rsidRDefault="006C1A10" w:rsidP="006C1A10">
            <w:pPr>
              <w:spacing w:after="0" w:line="240" w:lineRule="auto"/>
              <w:rPr>
                <w:rFonts w:ascii="Arial Narrow" w:hAnsi="Arial Narrow"/>
                <w:sz w:val="22"/>
                <w:szCs w:val="22"/>
                <w:lang w:val="es-ES_tradnl"/>
              </w:rPr>
            </w:pPr>
          </w:p>
        </w:tc>
      </w:tr>
      <w:tr w:rsidR="006C1A10" w:rsidRPr="006C1A10" w14:paraId="0B92D580" w14:textId="77777777" w:rsidTr="006C1A10">
        <w:trPr>
          <w:trHeight w:val="897"/>
          <w:jc w:val="center"/>
        </w:trPr>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B409171" w14:textId="77777777" w:rsidR="006C1A10" w:rsidRPr="006C1A10" w:rsidRDefault="006C1A10" w:rsidP="006C1A10">
            <w:pPr>
              <w:numPr>
                <w:ilvl w:val="0"/>
                <w:numId w:val="1"/>
              </w:numPr>
              <w:spacing w:after="0" w:line="240" w:lineRule="auto"/>
              <w:ind w:left="0"/>
              <w:rPr>
                <w:rFonts w:ascii="Arial Narrow" w:hAnsi="Arial Narrow"/>
                <w:sz w:val="22"/>
                <w:szCs w:val="22"/>
                <w:lang w:val="es-ES_tradnl"/>
              </w:rPr>
            </w:pPr>
            <w:r w:rsidRPr="006C1A10">
              <w:rPr>
                <w:rFonts w:ascii="Arial Narrow" w:hAnsi="Arial Narrow"/>
                <w:sz w:val="22"/>
                <w:szCs w:val="22"/>
                <w:lang w:val="es-ES_tradnl"/>
              </w:rPr>
              <w:t>Tribunal Colegiado de Primera Instancia Civil del Tercer Circuito Judicial de San José (Hatillo)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47185572"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 xml:space="preserve">Juzgado Civil del Tercer Circuito Judicial de San José (Desamparados) </w:t>
            </w:r>
          </w:p>
        </w:tc>
      </w:tr>
      <w:tr w:rsidR="006C1A10" w:rsidRPr="006C1A10" w14:paraId="5B2F0310" w14:textId="77777777" w:rsidTr="006C1A10">
        <w:trPr>
          <w:trHeight w:val="696"/>
          <w:jc w:val="center"/>
        </w:trPr>
        <w:tc>
          <w:tcPr>
            <w:tcW w:w="0" w:type="auto"/>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1B15563C" w14:textId="77777777" w:rsidR="006C1A10" w:rsidRPr="006C1A10" w:rsidRDefault="006C1A10" w:rsidP="006C1A10">
            <w:pPr>
              <w:numPr>
                <w:ilvl w:val="0"/>
                <w:numId w:val="1"/>
              </w:numPr>
              <w:spacing w:after="0" w:line="240" w:lineRule="auto"/>
              <w:ind w:left="0"/>
              <w:rPr>
                <w:rFonts w:ascii="Arial Narrow" w:hAnsi="Arial Narrow"/>
                <w:sz w:val="22"/>
                <w:szCs w:val="22"/>
                <w:lang w:val="es-ES_tradnl"/>
              </w:rPr>
            </w:pPr>
            <w:r w:rsidRPr="006C1A10">
              <w:rPr>
                <w:rFonts w:ascii="Arial Narrow" w:hAnsi="Arial Narrow"/>
                <w:sz w:val="22"/>
                <w:szCs w:val="22"/>
                <w:lang w:val="es-ES_tradnl"/>
              </w:rPr>
              <w:t>Tribunal Colegiado de Primera Instancia Civil del Tercer Circuito Judicial de Alajuela (San Ramón)</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1C9A0142"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Juzgado Civil del Segundo Circuito Judicial de Alajuela (San Carlos)</w:t>
            </w:r>
          </w:p>
        </w:tc>
      </w:tr>
      <w:tr w:rsidR="006C1A10" w:rsidRPr="006C1A10" w14:paraId="3BCFB968" w14:textId="77777777" w:rsidTr="006C1A10">
        <w:trPr>
          <w:trHeight w:val="395"/>
          <w:jc w:val="center"/>
        </w:trPr>
        <w:tc>
          <w:tcPr>
            <w:tcW w:w="0" w:type="auto"/>
            <w:vMerge/>
            <w:tcBorders>
              <w:top w:val="nil"/>
              <w:left w:val="single" w:sz="8" w:space="0" w:color="000000"/>
              <w:bottom w:val="single" w:sz="8" w:space="0" w:color="000000"/>
              <w:right w:val="single" w:sz="8" w:space="0" w:color="000000"/>
            </w:tcBorders>
            <w:vAlign w:val="center"/>
            <w:hideMark/>
          </w:tcPr>
          <w:p w14:paraId="35955E98" w14:textId="77777777" w:rsidR="006C1A10" w:rsidRPr="006C1A10" w:rsidRDefault="006C1A10" w:rsidP="006C1A10">
            <w:pPr>
              <w:spacing w:after="0" w:line="240" w:lineRule="auto"/>
              <w:rPr>
                <w:rFonts w:ascii="Arial Narrow" w:hAnsi="Arial Narrow"/>
                <w:sz w:val="22"/>
                <w:szCs w:val="22"/>
                <w:lang w:val="es-ES_tradnl"/>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E5AC8A2"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Juzgado Civil y de Trabajo de Grecia</w:t>
            </w:r>
          </w:p>
        </w:tc>
      </w:tr>
      <w:tr w:rsidR="006C1A10" w:rsidRPr="006C1A10" w14:paraId="6B1985B1" w14:textId="77777777" w:rsidTr="006C1A10">
        <w:trPr>
          <w:trHeight w:val="556"/>
          <w:jc w:val="center"/>
        </w:trPr>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B089A5B" w14:textId="77777777" w:rsidR="006C1A10" w:rsidRPr="006C1A10" w:rsidRDefault="006C1A10" w:rsidP="006C1A10">
            <w:pPr>
              <w:numPr>
                <w:ilvl w:val="0"/>
                <w:numId w:val="1"/>
              </w:numPr>
              <w:spacing w:after="0" w:line="240" w:lineRule="auto"/>
              <w:ind w:left="0"/>
              <w:rPr>
                <w:rFonts w:ascii="Arial Narrow" w:hAnsi="Arial Narrow"/>
                <w:sz w:val="22"/>
                <w:szCs w:val="22"/>
                <w:lang w:val="es-ES_tradnl"/>
              </w:rPr>
            </w:pPr>
            <w:r w:rsidRPr="006C1A10">
              <w:rPr>
                <w:rFonts w:ascii="Arial Narrow" w:hAnsi="Arial Narrow"/>
                <w:sz w:val="22"/>
                <w:szCs w:val="22"/>
                <w:lang w:val="es-ES_tradnl"/>
              </w:rPr>
              <w:t>Tribunal Colegiado de Primera Instancia Civil de Cartago</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4166B28"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Juzgado Civil, de Trabajo y Agrario de Turrialba</w:t>
            </w:r>
          </w:p>
        </w:tc>
      </w:tr>
      <w:tr w:rsidR="006C1A10" w:rsidRPr="006C1A10" w14:paraId="119C31E5" w14:textId="77777777" w:rsidTr="006C1A10">
        <w:trPr>
          <w:trHeight w:val="20"/>
          <w:jc w:val="center"/>
        </w:trPr>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D2ABEED" w14:textId="77777777" w:rsidR="006C1A10" w:rsidRPr="006C1A10" w:rsidRDefault="006C1A10" w:rsidP="006C1A10">
            <w:pPr>
              <w:numPr>
                <w:ilvl w:val="0"/>
                <w:numId w:val="1"/>
              </w:numPr>
              <w:spacing w:after="0" w:line="240" w:lineRule="auto"/>
              <w:ind w:left="0"/>
              <w:rPr>
                <w:rFonts w:ascii="Arial Narrow" w:hAnsi="Arial Narrow"/>
                <w:sz w:val="22"/>
                <w:szCs w:val="22"/>
                <w:lang w:val="es-ES_tradnl"/>
              </w:rPr>
            </w:pPr>
            <w:r w:rsidRPr="006C1A10">
              <w:rPr>
                <w:rFonts w:ascii="Arial Narrow" w:hAnsi="Arial Narrow"/>
                <w:sz w:val="22"/>
                <w:szCs w:val="22"/>
                <w:lang w:val="es-ES_tradnl"/>
              </w:rPr>
              <w:t>Tribunal Colegiado de Primera Instancia Civil de Heredia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7BEB6C07"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Juzgado Civil, de Trabajo, Familia, Penal Juvenil, Violencia Doméstica y Protección Cautelar de Sarapiquí</w:t>
            </w:r>
          </w:p>
        </w:tc>
      </w:tr>
      <w:tr w:rsidR="006C1A10" w:rsidRPr="006C1A10" w14:paraId="2CB58A1B" w14:textId="77777777" w:rsidTr="006C1A10">
        <w:trPr>
          <w:trHeight w:val="20"/>
          <w:jc w:val="center"/>
        </w:trPr>
        <w:tc>
          <w:tcPr>
            <w:tcW w:w="0" w:type="auto"/>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032E0A7" w14:textId="77777777" w:rsidR="006C1A10" w:rsidRPr="006C1A10" w:rsidRDefault="006C1A10" w:rsidP="006C1A10">
            <w:pPr>
              <w:numPr>
                <w:ilvl w:val="0"/>
                <w:numId w:val="1"/>
              </w:numPr>
              <w:spacing w:after="0" w:line="240" w:lineRule="auto"/>
              <w:ind w:left="0"/>
              <w:rPr>
                <w:rFonts w:ascii="Arial Narrow" w:hAnsi="Arial Narrow"/>
                <w:sz w:val="22"/>
                <w:szCs w:val="22"/>
                <w:lang w:val="es-ES_tradnl"/>
              </w:rPr>
            </w:pPr>
            <w:r w:rsidRPr="006C1A10">
              <w:rPr>
                <w:rFonts w:ascii="Arial Narrow" w:hAnsi="Arial Narrow"/>
                <w:sz w:val="22"/>
                <w:szCs w:val="22"/>
                <w:lang w:val="es-ES_tradnl"/>
              </w:rPr>
              <w:t>Tribunal Colegiado de Primera Instancia Civil del Primer Circuito Judicial de Guanacaste (Liberia)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tcPr>
          <w:p w14:paraId="2AE144EE" w14:textId="77777777" w:rsidR="006C1A10" w:rsidRPr="006C1A10" w:rsidRDefault="006C1A10" w:rsidP="006C1A10">
            <w:pPr>
              <w:spacing w:after="0" w:line="240" w:lineRule="auto"/>
              <w:rPr>
                <w:rFonts w:ascii="Arial Narrow" w:hAnsi="Arial Narrow"/>
                <w:sz w:val="22"/>
                <w:szCs w:val="22"/>
                <w:lang w:val="es-ES_tradnl"/>
              </w:rPr>
            </w:pPr>
          </w:p>
          <w:p w14:paraId="1F1E2545"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Juzgado Civil y de Trabajo de Cañas</w:t>
            </w:r>
          </w:p>
          <w:p w14:paraId="6288947E" w14:textId="77777777" w:rsidR="006C1A10" w:rsidRPr="006C1A10" w:rsidRDefault="006C1A10" w:rsidP="006C1A10">
            <w:pPr>
              <w:spacing w:after="0" w:line="240" w:lineRule="auto"/>
              <w:rPr>
                <w:rFonts w:ascii="Arial Narrow" w:hAnsi="Arial Narrow"/>
                <w:sz w:val="22"/>
                <w:szCs w:val="22"/>
                <w:lang w:val="es-ES_tradnl"/>
              </w:rPr>
            </w:pPr>
          </w:p>
        </w:tc>
      </w:tr>
      <w:tr w:rsidR="006C1A10" w:rsidRPr="006C1A10" w14:paraId="598E3E0D" w14:textId="77777777" w:rsidTr="006C1A10">
        <w:trPr>
          <w:trHeight w:val="825"/>
          <w:jc w:val="center"/>
        </w:trPr>
        <w:tc>
          <w:tcPr>
            <w:tcW w:w="0" w:type="auto"/>
            <w:vMerge/>
            <w:tcBorders>
              <w:top w:val="nil"/>
              <w:left w:val="single" w:sz="8" w:space="0" w:color="000000"/>
              <w:bottom w:val="single" w:sz="8" w:space="0" w:color="000000"/>
              <w:right w:val="single" w:sz="8" w:space="0" w:color="000000"/>
            </w:tcBorders>
            <w:vAlign w:val="center"/>
            <w:hideMark/>
          </w:tcPr>
          <w:p w14:paraId="4B7FE99A" w14:textId="77777777" w:rsidR="006C1A10" w:rsidRPr="006C1A10" w:rsidRDefault="006C1A10" w:rsidP="006C1A10">
            <w:pPr>
              <w:spacing w:after="0" w:line="240" w:lineRule="auto"/>
              <w:rPr>
                <w:rFonts w:ascii="Arial Narrow" w:hAnsi="Arial Narrow"/>
                <w:sz w:val="22"/>
                <w:szCs w:val="22"/>
                <w:lang w:val="es-ES_tradnl"/>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53190D7"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Juzgado Civil, de Trabajo y Agrario del Segundo Circuito Judicial de Alajuela, sede Upala</w:t>
            </w:r>
          </w:p>
        </w:tc>
      </w:tr>
      <w:tr w:rsidR="006C1A10" w:rsidRPr="006C1A10" w14:paraId="39262434" w14:textId="77777777" w:rsidTr="006C1A10">
        <w:trPr>
          <w:trHeight w:val="766"/>
          <w:jc w:val="center"/>
        </w:trPr>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40EF7089" w14:textId="77777777" w:rsidR="006C1A10" w:rsidRPr="006C1A10" w:rsidRDefault="006C1A10" w:rsidP="006C1A10">
            <w:pPr>
              <w:numPr>
                <w:ilvl w:val="0"/>
                <w:numId w:val="1"/>
              </w:numPr>
              <w:spacing w:after="0" w:line="240" w:lineRule="auto"/>
              <w:ind w:left="0"/>
              <w:rPr>
                <w:rFonts w:ascii="Arial Narrow" w:hAnsi="Arial Narrow"/>
                <w:sz w:val="22"/>
                <w:szCs w:val="22"/>
                <w:lang w:val="es-ES_tradnl"/>
              </w:rPr>
            </w:pPr>
            <w:r w:rsidRPr="006C1A10">
              <w:rPr>
                <w:rFonts w:ascii="Arial Narrow" w:hAnsi="Arial Narrow"/>
                <w:sz w:val="22"/>
                <w:szCs w:val="22"/>
                <w:lang w:val="es-ES_tradnl"/>
              </w:rPr>
              <w:t>Tribunal Colegiado de Primera Instancia Civil del Segundo Circuito Judicial de Guanacaste (Nicoya)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CBCFC41"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Juzgado Civil de Santa Cruz</w:t>
            </w:r>
          </w:p>
        </w:tc>
      </w:tr>
      <w:tr w:rsidR="006C1A10" w:rsidRPr="006C1A10" w14:paraId="0935AEE6" w14:textId="77777777" w:rsidTr="006C1A10">
        <w:trPr>
          <w:trHeight w:val="408"/>
          <w:jc w:val="center"/>
        </w:trPr>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0747A986" w14:textId="77777777" w:rsidR="006C1A10" w:rsidRPr="006C1A10" w:rsidRDefault="006C1A10" w:rsidP="006C1A10">
            <w:pPr>
              <w:numPr>
                <w:ilvl w:val="0"/>
                <w:numId w:val="1"/>
              </w:numPr>
              <w:spacing w:after="0" w:line="240" w:lineRule="auto"/>
              <w:ind w:left="0"/>
              <w:rPr>
                <w:rFonts w:ascii="Arial Narrow" w:hAnsi="Arial Narrow"/>
                <w:sz w:val="22"/>
                <w:szCs w:val="22"/>
                <w:lang w:val="es-ES_tradnl"/>
              </w:rPr>
            </w:pPr>
            <w:r w:rsidRPr="006C1A10">
              <w:rPr>
                <w:rFonts w:ascii="Arial Narrow" w:hAnsi="Arial Narrow"/>
                <w:sz w:val="22"/>
                <w:szCs w:val="22"/>
                <w:lang w:val="es-ES_tradnl"/>
              </w:rPr>
              <w:lastRenderedPageBreak/>
              <w:t>Tribunal Colegiado de Primera Instancia Civil de Puntarenas</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633F29DB"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Juzgado Civil y de Trabajo de Quepos</w:t>
            </w:r>
          </w:p>
        </w:tc>
      </w:tr>
      <w:tr w:rsidR="006C1A10" w:rsidRPr="006C1A10" w14:paraId="676E401E" w14:textId="77777777" w:rsidTr="006C1A10">
        <w:trPr>
          <w:trHeight w:val="636"/>
          <w:jc w:val="center"/>
        </w:trPr>
        <w:tc>
          <w:tcPr>
            <w:tcW w:w="0" w:type="auto"/>
            <w:vMerge w:val="restar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6B835617" w14:textId="77777777" w:rsidR="006C1A10" w:rsidRPr="006C1A10" w:rsidRDefault="006C1A10" w:rsidP="006C1A10">
            <w:pPr>
              <w:numPr>
                <w:ilvl w:val="0"/>
                <w:numId w:val="1"/>
              </w:numPr>
              <w:spacing w:after="0" w:line="240" w:lineRule="auto"/>
              <w:ind w:left="0"/>
              <w:rPr>
                <w:rFonts w:ascii="Arial Narrow" w:hAnsi="Arial Narrow"/>
                <w:sz w:val="22"/>
                <w:szCs w:val="22"/>
                <w:lang w:val="es-ES_tradnl"/>
              </w:rPr>
            </w:pPr>
            <w:r w:rsidRPr="006C1A10">
              <w:rPr>
                <w:rFonts w:ascii="Arial Narrow" w:hAnsi="Arial Narrow"/>
                <w:sz w:val="22"/>
                <w:szCs w:val="22"/>
                <w:lang w:val="es-ES_tradnl"/>
              </w:rPr>
              <w:t>Tribunal Colegiado de Primera Instancia Civil de la Zona Sur (Pérez Zeledón)</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88A9476"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Juzgado Civil, de Trabajo y Agrario de Buenos Aires</w:t>
            </w:r>
          </w:p>
        </w:tc>
      </w:tr>
      <w:tr w:rsidR="006C1A10" w:rsidRPr="006C1A10" w14:paraId="125C8113" w14:textId="77777777" w:rsidTr="006C1A10">
        <w:trPr>
          <w:trHeight w:val="636"/>
          <w:jc w:val="center"/>
        </w:trPr>
        <w:tc>
          <w:tcPr>
            <w:tcW w:w="0" w:type="auto"/>
            <w:vMerge/>
            <w:tcBorders>
              <w:top w:val="nil"/>
              <w:left w:val="single" w:sz="8" w:space="0" w:color="000000"/>
              <w:bottom w:val="single" w:sz="8" w:space="0" w:color="000000"/>
              <w:right w:val="single" w:sz="8" w:space="0" w:color="000000"/>
            </w:tcBorders>
            <w:vAlign w:val="center"/>
            <w:hideMark/>
          </w:tcPr>
          <w:p w14:paraId="0B9EA328" w14:textId="77777777" w:rsidR="006C1A10" w:rsidRPr="006C1A10" w:rsidRDefault="006C1A10" w:rsidP="006C1A10">
            <w:pPr>
              <w:spacing w:after="0" w:line="240" w:lineRule="auto"/>
              <w:rPr>
                <w:rFonts w:ascii="Arial Narrow" w:hAnsi="Arial Narrow"/>
                <w:sz w:val="22"/>
                <w:szCs w:val="22"/>
                <w:lang w:val="es-ES_tradnl"/>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5FE5EA5B"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Juzgado Civil y de Trabajo del Segundo Circuito Judicial de la Zona Sur (Corredores)</w:t>
            </w:r>
          </w:p>
        </w:tc>
      </w:tr>
      <w:tr w:rsidR="006C1A10" w:rsidRPr="006C1A10" w14:paraId="34567BFA" w14:textId="77777777" w:rsidTr="006C1A10">
        <w:trPr>
          <w:trHeight w:val="345"/>
          <w:jc w:val="center"/>
        </w:trPr>
        <w:tc>
          <w:tcPr>
            <w:tcW w:w="0" w:type="auto"/>
            <w:vMerge/>
            <w:tcBorders>
              <w:top w:val="nil"/>
              <w:left w:val="single" w:sz="8" w:space="0" w:color="000000"/>
              <w:bottom w:val="single" w:sz="8" w:space="0" w:color="000000"/>
              <w:right w:val="single" w:sz="8" w:space="0" w:color="000000"/>
            </w:tcBorders>
            <w:vAlign w:val="center"/>
            <w:hideMark/>
          </w:tcPr>
          <w:p w14:paraId="01D06B7B" w14:textId="77777777" w:rsidR="006C1A10" w:rsidRPr="006C1A10" w:rsidRDefault="006C1A10" w:rsidP="006C1A10">
            <w:pPr>
              <w:spacing w:after="0" w:line="240" w:lineRule="auto"/>
              <w:rPr>
                <w:rFonts w:ascii="Arial Narrow" w:hAnsi="Arial Narrow"/>
                <w:sz w:val="22"/>
                <w:szCs w:val="22"/>
                <w:lang w:val="es-ES_tradnl"/>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33B7FC4A"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Juzgado Civil y de Trabajo de Golfito</w:t>
            </w:r>
          </w:p>
        </w:tc>
      </w:tr>
      <w:tr w:rsidR="006C1A10" w:rsidRPr="006C1A10" w14:paraId="033F0DC6" w14:textId="77777777" w:rsidTr="006C1A10">
        <w:trPr>
          <w:trHeight w:val="636"/>
          <w:jc w:val="center"/>
        </w:trPr>
        <w:tc>
          <w:tcPr>
            <w:tcW w:w="0" w:type="auto"/>
            <w:vMerge/>
            <w:tcBorders>
              <w:top w:val="nil"/>
              <w:left w:val="single" w:sz="8" w:space="0" w:color="000000"/>
              <w:bottom w:val="single" w:sz="8" w:space="0" w:color="000000"/>
              <w:right w:val="single" w:sz="8" w:space="0" w:color="000000"/>
            </w:tcBorders>
            <w:vAlign w:val="center"/>
            <w:hideMark/>
          </w:tcPr>
          <w:p w14:paraId="74DEEF2C" w14:textId="77777777" w:rsidR="006C1A10" w:rsidRPr="006C1A10" w:rsidRDefault="006C1A10" w:rsidP="006C1A10">
            <w:pPr>
              <w:spacing w:after="0" w:line="240" w:lineRule="auto"/>
              <w:rPr>
                <w:rFonts w:ascii="Arial Narrow" w:hAnsi="Arial Narrow"/>
                <w:sz w:val="22"/>
                <w:szCs w:val="22"/>
                <w:lang w:val="es-ES_tradnl"/>
              </w:rPr>
            </w:pP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278A6485"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Juzgado Civil, de Trabajo, Familia, Penal Juvenil, Violencia Doméstica y Protección Cautelar de Osa</w:t>
            </w:r>
          </w:p>
        </w:tc>
      </w:tr>
      <w:tr w:rsidR="006C1A10" w:rsidRPr="006C1A10" w14:paraId="5023F874" w14:textId="77777777" w:rsidTr="006C1A10">
        <w:trPr>
          <w:trHeight w:val="636"/>
          <w:jc w:val="center"/>
        </w:trPr>
        <w:tc>
          <w:tcPr>
            <w:tcW w:w="0" w:type="auto"/>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25001509" w14:textId="77777777" w:rsidR="006C1A10" w:rsidRPr="006C1A10" w:rsidRDefault="006C1A10" w:rsidP="006C1A10">
            <w:pPr>
              <w:numPr>
                <w:ilvl w:val="0"/>
                <w:numId w:val="1"/>
              </w:numPr>
              <w:spacing w:after="0" w:line="240" w:lineRule="auto"/>
              <w:ind w:left="0"/>
              <w:rPr>
                <w:rFonts w:ascii="Arial Narrow" w:hAnsi="Arial Narrow"/>
                <w:sz w:val="22"/>
                <w:szCs w:val="22"/>
                <w:lang w:val="es-ES_tradnl"/>
              </w:rPr>
            </w:pPr>
            <w:r w:rsidRPr="006C1A10">
              <w:rPr>
                <w:rFonts w:ascii="Arial Narrow" w:hAnsi="Arial Narrow"/>
                <w:sz w:val="22"/>
                <w:szCs w:val="22"/>
                <w:lang w:val="es-ES_tradnl"/>
              </w:rPr>
              <w:t>Tribunal Colegiado de Primera Instancia Civil del Primer Circuito Judicial de la Zona Atlántica</w:t>
            </w:r>
          </w:p>
        </w:tc>
        <w:tc>
          <w:tcPr>
            <w:tcW w:w="0" w:type="auto"/>
            <w:tcBorders>
              <w:top w:val="nil"/>
              <w:left w:val="nil"/>
              <w:bottom w:val="single" w:sz="8" w:space="0" w:color="000000"/>
              <w:right w:val="single" w:sz="8" w:space="0" w:color="000000"/>
            </w:tcBorders>
            <w:shd w:val="clear" w:color="auto" w:fill="FFFFFF"/>
            <w:tcMar>
              <w:top w:w="0" w:type="dxa"/>
              <w:left w:w="70" w:type="dxa"/>
              <w:bottom w:w="0" w:type="dxa"/>
              <w:right w:w="70" w:type="dxa"/>
            </w:tcMar>
            <w:vAlign w:val="center"/>
            <w:hideMark/>
          </w:tcPr>
          <w:p w14:paraId="0F33C547" w14:textId="77777777" w:rsidR="006C1A10" w:rsidRPr="006C1A10" w:rsidRDefault="006C1A10" w:rsidP="006C1A10">
            <w:pPr>
              <w:spacing w:after="0" w:line="240" w:lineRule="auto"/>
              <w:rPr>
                <w:rFonts w:ascii="Arial Narrow" w:hAnsi="Arial Narrow"/>
                <w:sz w:val="22"/>
                <w:szCs w:val="22"/>
                <w:lang w:val="es-ES_tradnl"/>
              </w:rPr>
            </w:pPr>
            <w:r w:rsidRPr="006C1A10">
              <w:rPr>
                <w:rFonts w:ascii="Arial Narrow" w:hAnsi="Arial Narrow"/>
                <w:sz w:val="22"/>
                <w:szCs w:val="22"/>
                <w:lang w:val="es-ES_tradnl"/>
              </w:rPr>
              <w:t>Juzgado Civil del Segundo Circuito Judicial de la Zona Atlántica (Pococí)</w:t>
            </w:r>
          </w:p>
        </w:tc>
      </w:tr>
    </w:tbl>
    <w:p w14:paraId="01CFECAB" w14:textId="09E50FB3" w:rsidR="00221F72" w:rsidRDefault="00221F72" w:rsidP="008050FA"/>
    <w:p w14:paraId="19F2281D" w14:textId="77777777" w:rsidR="006C1A10" w:rsidRPr="006C1A10" w:rsidRDefault="006C1A10" w:rsidP="006C1A10">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 xml:space="preserve">Publíquese una sola vez en el Boletín Judicial. </w:t>
      </w:r>
    </w:p>
    <w:p w14:paraId="79F9907C" w14:textId="77777777" w:rsidR="006C1A10" w:rsidRPr="006C1A10" w:rsidRDefault="006C1A10" w:rsidP="006C1A10">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Rige a partir de su publicación.</w:t>
      </w:r>
    </w:p>
    <w:p w14:paraId="7628EED6" w14:textId="77777777" w:rsidR="006C1A10" w:rsidRPr="006C1A10" w:rsidRDefault="006C1A10" w:rsidP="006C1A10">
      <w:pPr>
        <w:spacing w:after="0" w:line="240" w:lineRule="auto"/>
        <w:jc w:val="both"/>
        <w:rPr>
          <w:rFonts w:ascii="Arial Narrow" w:eastAsia="Calibri" w:hAnsi="Arial Narrow" w:cs="Times New Roman"/>
          <w:bCs/>
          <w:color w:val="000000"/>
          <w:lang w:val="pt-PT"/>
        </w:rPr>
      </w:pPr>
    </w:p>
    <w:p w14:paraId="1B5F8972" w14:textId="20A79BDF" w:rsidR="006C1A10" w:rsidRPr="006C1A10" w:rsidRDefault="006C1A10" w:rsidP="006C1A10">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 xml:space="preserve">San José, </w:t>
      </w:r>
      <w:r>
        <w:rPr>
          <w:rFonts w:ascii="Arial Narrow" w:eastAsia="Calibri" w:hAnsi="Arial Narrow" w:cs="Times New Roman"/>
          <w:bCs/>
          <w:color w:val="000000"/>
          <w:lang w:val="pt-PT"/>
        </w:rPr>
        <w:t>28</w:t>
      </w:r>
      <w:r w:rsidRPr="006C1A10">
        <w:rPr>
          <w:rFonts w:ascii="Arial Narrow" w:eastAsia="Calibri" w:hAnsi="Arial Narrow" w:cs="Times New Roman"/>
          <w:bCs/>
          <w:color w:val="000000"/>
          <w:lang w:val="pt-PT"/>
        </w:rPr>
        <w:t xml:space="preserve"> de </w:t>
      </w:r>
      <w:r>
        <w:rPr>
          <w:rFonts w:ascii="Arial Narrow" w:eastAsia="Calibri" w:hAnsi="Arial Narrow" w:cs="Times New Roman"/>
          <w:bCs/>
          <w:color w:val="000000"/>
          <w:lang w:val="pt-PT"/>
        </w:rPr>
        <w:t>octubre</w:t>
      </w:r>
      <w:r w:rsidRPr="006C1A10">
        <w:rPr>
          <w:rFonts w:ascii="Arial Narrow" w:eastAsia="Calibri" w:hAnsi="Arial Narrow" w:cs="Times New Roman"/>
          <w:bCs/>
          <w:color w:val="000000"/>
          <w:lang w:val="pt-PT"/>
        </w:rPr>
        <w:t xml:space="preserve"> de 2025.</w:t>
      </w:r>
    </w:p>
    <w:p w14:paraId="3B289E13" w14:textId="77777777" w:rsidR="006C1A10" w:rsidRPr="006C1A10" w:rsidRDefault="006C1A10" w:rsidP="006C1A10">
      <w:pPr>
        <w:spacing w:after="0" w:line="240" w:lineRule="auto"/>
        <w:jc w:val="both"/>
        <w:rPr>
          <w:rFonts w:ascii="Arial Narrow" w:eastAsia="Calibri" w:hAnsi="Arial Narrow" w:cs="Times New Roman"/>
          <w:bCs/>
          <w:color w:val="000000"/>
          <w:lang w:val="pt-PT"/>
        </w:rPr>
      </w:pPr>
    </w:p>
    <w:p w14:paraId="20451991" w14:textId="77777777" w:rsidR="006C1A10" w:rsidRPr="006C1A10" w:rsidRDefault="006C1A10" w:rsidP="006C1A10">
      <w:pPr>
        <w:spacing w:after="0" w:line="240" w:lineRule="auto"/>
        <w:jc w:val="both"/>
        <w:rPr>
          <w:rFonts w:ascii="Arial Narrow" w:eastAsia="Calibri" w:hAnsi="Arial Narrow" w:cs="Times New Roman"/>
          <w:bCs/>
          <w:color w:val="000000"/>
          <w:lang w:val="pt-PT"/>
        </w:rPr>
      </w:pPr>
    </w:p>
    <w:p w14:paraId="15F2A147" w14:textId="77777777" w:rsidR="006C1A10" w:rsidRPr="006C1A10" w:rsidRDefault="006C1A10" w:rsidP="006C1A10">
      <w:pPr>
        <w:spacing w:after="0" w:line="240" w:lineRule="auto"/>
        <w:jc w:val="both"/>
        <w:rPr>
          <w:rFonts w:ascii="Arial Narrow" w:eastAsia="Calibri" w:hAnsi="Arial Narrow" w:cs="Times New Roman"/>
          <w:bCs/>
          <w:color w:val="000000"/>
          <w:lang w:val="pt-PT"/>
        </w:rPr>
      </w:pPr>
    </w:p>
    <w:p w14:paraId="1821CCDB" w14:textId="77777777" w:rsidR="006C1A10" w:rsidRPr="006C1A10" w:rsidRDefault="006C1A10" w:rsidP="006C1A10">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Lic. Carlos Toscano Mora Rodríguez</w:t>
      </w:r>
    </w:p>
    <w:p w14:paraId="63BC998A" w14:textId="77777777" w:rsidR="006C1A10" w:rsidRPr="006C1A10" w:rsidRDefault="006C1A10" w:rsidP="006C1A10">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Subsecretario General interino</w:t>
      </w:r>
    </w:p>
    <w:p w14:paraId="555B34DF" w14:textId="77777777" w:rsidR="006C1A10" w:rsidRPr="006C1A10" w:rsidRDefault="006C1A10" w:rsidP="006C1A10">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Corte Suprema de Justicia</w:t>
      </w:r>
    </w:p>
    <w:p w14:paraId="270844E0" w14:textId="77777777" w:rsidR="006C1A10" w:rsidRPr="006C1A10" w:rsidRDefault="006C1A10" w:rsidP="006C1A10">
      <w:pPr>
        <w:spacing w:after="0" w:line="240" w:lineRule="auto"/>
        <w:jc w:val="both"/>
        <w:rPr>
          <w:rFonts w:ascii="Arial Narrow" w:eastAsia="Calibri" w:hAnsi="Arial Narrow" w:cs="Times New Roman"/>
          <w:bCs/>
          <w:color w:val="000000"/>
          <w:lang w:val="pt-PT"/>
        </w:rPr>
      </w:pPr>
    </w:p>
    <w:p w14:paraId="5A4C2B48" w14:textId="165B1E85" w:rsidR="006C1A10" w:rsidRDefault="006C1A10" w:rsidP="006C1A10">
      <w:pPr>
        <w:spacing w:after="0" w:line="240" w:lineRule="auto"/>
        <w:jc w:val="both"/>
        <w:rPr>
          <w:rFonts w:ascii="Arial Narrow" w:eastAsia="Calibri" w:hAnsi="Arial Narrow" w:cs="Times New Roman"/>
          <w:bCs/>
          <w:color w:val="000000"/>
          <w:lang w:val="pt-PT"/>
        </w:rPr>
      </w:pPr>
      <w:r w:rsidRPr="006C1A10">
        <w:rPr>
          <w:rFonts w:ascii="Arial Narrow" w:eastAsia="Calibri" w:hAnsi="Arial Narrow" w:cs="Times New Roman"/>
          <w:bCs/>
          <w:color w:val="000000"/>
          <w:lang w:val="pt-PT"/>
        </w:rPr>
        <w:t>Diligencias: 1600-2021 / 11634-2025</w:t>
      </w:r>
    </w:p>
    <w:p w14:paraId="03471481" w14:textId="1C7BA9C8" w:rsidR="006C1A10" w:rsidRPr="006C1A10" w:rsidRDefault="006C1A10" w:rsidP="006C1A10">
      <w:pPr>
        <w:spacing w:after="0" w:line="240" w:lineRule="auto"/>
        <w:jc w:val="both"/>
        <w:rPr>
          <w:rFonts w:ascii="Arial Narrow" w:eastAsia="Calibri" w:hAnsi="Arial Narrow" w:cs="Times New Roman"/>
          <w:bCs/>
          <w:color w:val="000000"/>
          <w:lang w:val="pt-PT"/>
        </w:rPr>
      </w:pPr>
      <w:r>
        <w:rPr>
          <w:rFonts w:ascii="Arial Narrow" w:eastAsia="Calibri" w:hAnsi="Arial Narrow" w:cs="Times New Roman"/>
          <w:bCs/>
          <w:color w:val="000000"/>
          <w:lang w:val="pt-PT"/>
        </w:rPr>
        <w:t>Francisco Jiménez Oliverio</w:t>
      </w:r>
    </w:p>
    <w:p w14:paraId="13D2D2EA" w14:textId="77777777" w:rsidR="006C1A10" w:rsidRPr="008050FA" w:rsidRDefault="006C1A10" w:rsidP="008050FA"/>
    <w:sectPr w:rsidR="006C1A10" w:rsidRPr="008050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5643"/>
    <w:multiLevelType w:val="hybridMultilevel"/>
    <w:tmpl w:val="7F1494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35157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633"/>
    <w:rsid w:val="00000C09"/>
    <w:rsid w:val="0006487D"/>
    <w:rsid w:val="00097989"/>
    <w:rsid w:val="00197619"/>
    <w:rsid w:val="001B6A59"/>
    <w:rsid w:val="0020593A"/>
    <w:rsid w:val="00221F72"/>
    <w:rsid w:val="00291555"/>
    <w:rsid w:val="00294DC8"/>
    <w:rsid w:val="003514B3"/>
    <w:rsid w:val="003F25C8"/>
    <w:rsid w:val="00544177"/>
    <w:rsid w:val="005B3D62"/>
    <w:rsid w:val="00630DEF"/>
    <w:rsid w:val="00655793"/>
    <w:rsid w:val="00694F2D"/>
    <w:rsid w:val="006C1A10"/>
    <w:rsid w:val="006D66E2"/>
    <w:rsid w:val="006E43F4"/>
    <w:rsid w:val="00705A53"/>
    <w:rsid w:val="008050FA"/>
    <w:rsid w:val="00896116"/>
    <w:rsid w:val="008965C4"/>
    <w:rsid w:val="008E0D9B"/>
    <w:rsid w:val="0091101A"/>
    <w:rsid w:val="009909D7"/>
    <w:rsid w:val="00A4375E"/>
    <w:rsid w:val="00AC058C"/>
    <w:rsid w:val="00AE6CDD"/>
    <w:rsid w:val="00B17C5C"/>
    <w:rsid w:val="00C01270"/>
    <w:rsid w:val="00CD1633"/>
    <w:rsid w:val="00D30B3C"/>
    <w:rsid w:val="00D63B35"/>
    <w:rsid w:val="00D90805"/>
    <w:rsid w:val="00E2498E"/>
    <w:rsid w:val="00E3545B"/>
    <w:rsid w:val="00EF26E7"/>
    <w:rsid w:val="00EF545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8026"/>
  <w15:chartTrackingRefBased/>
  <w15:docId w15:val="{32E52271-5664-401B-8A5F-8E4C9674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16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D16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D163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D163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D163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D16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16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16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16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163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D163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D163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D163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D163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D16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16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16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1633"/>
    <w:rPr>
      <w:rFonts w:eastAsiaTheme="majorEastAsia" w:cstheme="majorBidi"/>
      <w:color w:val="272727" w:themeColor="text1" w:themeTint="D8"/>
    </w:rPr>
  </w:style>
  <w:style w:type="paragraph" w:styleId="Ttulo">
    <w:name w:val="Title"/>
    <w:basedOn w:val="Normal"/>
    <w:next w:val="Normal"/>
    <w:link w:val="TtuloCar"/>
    <w:uiPriority w:val="10"/>
    <w:qFormat/>
    <w:rsid w:val="00CD16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16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16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16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1633"/>
    <w:pPr>
      <w:spacing w:before="160"/>
      <w:jc w:val="center"/>
    </w:pPr>
    <w:rPr>
      <w:i/>
      <w:iCs/>
      <w:color w:val="404040" w:themeColor="text1" w:themeTint="BF"/>
    </w:rPr>
  </w:style>
  <w:style w:type="character" w:customStyle="1" w:styleId="CitaCar">
    <w:name w:val="Cita Car"/>
    <w:basedOn w:val="Fuentedeprrafopredeter"/>
    <w:link w:val="Cita"/>
    <w:uiPriority w:val="29"/>
    <w:rsid w:val="00CD1633"/>
    <w:rPr>
      <w:i/>
      <w:iCs/>
      <w:color w:val="404040" w:themeColor="text1" w:themeTint="BF"/>
    </w:rPr>
  </w:style>
  <w:style w:type="paragraph" w:styleId="Prrafodelista">
    <w:name w:val="List Paragraph"/>
    <w:basedOn w:val="Normal"/>
    <w:uiPriority w:val="34"/>
    <w:qFormat/>
    <w:rsid w:val="00CD1633"/>
    <w:pPr>
      <w:ind w:left="720"/>
      <w:contextualSpacing/>
    </w:pPr>
  </w:style>
  <w:style w:type="character" w:styleId="nfasisintenso">
    <w:name w:val="Intense Emphasis"/>
    <w:basedOn w:val="Fuentedeprrafopredeter"/>
    <w:uiPriority w:val="21"/>
    <w:qFormat/>
    <w:rsid w:val="00CD1633"/>
    <w:rPr>
      <w:i/>
      <w:iCs/>
      <w:color w:val="2F5496" w:themeColor="accent1" w:themeShade="BF"/>
    </w:rPr>
  </w:style>
  <w:style w:type="paragraph" w:styleId="Citadestacada">
    <w:name w:val="Intense Quote"/>
    <w:basedOn w:val="Normal"/>
    <w:next w:val="Normal"/>
    <w:link w:val="CitadestacadaCar"/>
    <w:uiPriority w:val="30"/>
    <w:qFormat/>
    <w:rsid w:val="00CD16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D1633"/>
    <w:rPr>
      <w:i/>
      <w:iCs/>
      <w:color w:val="2F5496" w:themeColor="accent1" w:themeShade="BF"/>
    </w:rPr>
  </w:style>
  <w:style w:type="character" w:styleId="Referenciaintensa">
    <w:name w:val="Intense Reference"/>
    <w:basedOn w:val="Fuentedeprrafopredeter"/>
    <w:uiPriority w:val="32"/>
    <w:qFormat/>
    <w:rsid w:val="00CD1633"/>
    <w:rPr>
      <w:b/>
      <w:bCs/>
      <w:smallCaps/>
      <w:color w:val="2F5496" w:themeColor="accent1" w:themeShade="BF"/>
      <w:spacing w:val="5"/>
    </w:rPr>
  </w:style>
  <w:style w:type="paragraph" w:styleId="NormalWeb">
    <w:name w:val="Normal (Web)"/>
    <w:basedOn w:val="Normal"/>
    <w:link w:val="NormalWebCar"/>
    <w:uiPriority w:val="99"/>
    <w:qFormat/>
    <w:rsid w:val="006C1A10"/>
    <w:pPr>
      <w:widowControl w:val="0"/>
      <w:suppressAutoHyphens/>
      <w:spacing w:before="100" w:after="100" w:line="240" w:lineRule="auto"/>
    </w:pPr>
    <w:rPr>
      <w:rFonts w:ascii="Times New Roman" w:eastAsia="Arial Unicode MS" w:hAnsi="Times New Roman" w:cs="Times New Roman"/>
      <w:kern w:val="1"/>
      <w:lang w:val="es-ES_tradnl" w:eastAsia="es-CR"/>
      <w14:ligatures w14:val="none"/>
    </w:rPr>
  </w:style>
  <w:style w:type="character" w:customStyle="1" w:styleId="NormalWebCar">
    <w:name w:val="Normal (Web) Car"/>
    <w:link w:val="NormalWeb"/>
    <w:uiPriority w:val="99"/>
    <w:qFormat/>
    <w:locked/>
    <w:rsid w:val="006C1A10"/>
    <w:rPr>
      <w:rFonts w:ascii="Times New Roman" w:eastAsia="Arial Unicode MS" w:hAnsi="Times New Roman" w:cs="Times New Roman"/>
      <w:kern w:val="1"/>
      <w:lang w:val="es-ES_tradnl" w:eastAsia="es-C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5488">
      <w:bodyDiv w:val="1"/>
      <w:marLeft w:val="0"/>
      <w:marRight w:val="0"/>
      <w:marTop w:val="0"/>
      <w:marBottom w:val="0"/>
      <w:divBdr>
        <w:top w:val="none" w:sz="0" w:space="0" w:color="auto"/>
        <w:left w:val="none" w:sz="0" w:space="0" w:color="auto"/>
        <w:bottom w:val="none" w:sz="0" w:space="0" w:color="auto"/>
        <w:right w:val="none" w:sz="0" w:space="0" w:color="auto"/>
      </w:divBdr>
    </w:div>
    <w:div w:id="484053043">
      <w:bodyDiv w:val="1"/>
      <w:marLeft w:val="0"/>
      <w:marRight w:val="0"/>
      <w:marTop w:val="0"/>
      <w:marBottom w:val="0"/>
      <w:divBdr>
        <w:top w:val="none" w:sz="0" w:space="0" w:color="auto"/>
        <w:left w:val="none" w:sz="0" w:space="0" w:color="auto"/>
        <w:bottom w:val="none" w:sz="0" w:space="0" w:color="auto"/>
        <w:right w:val="none" w:sz="0" w:space="0" w:color="auto"/>
      </w:divBdr>
    </w:div>
    <w:div w:id="771121293">
      <w:bodyDiv w:val="1"/>
      <w:marLeft w:val="0"/>
      <w:marRight w:val="0"/>
      <w:marTop w:val="0"/>
      <w:marBottom w:val="0"/>
      <w:divBdr>
        <w:top w:val="none" w:sz="0" w:space="0" w:color="auto"/>
        <w:left w:val="none" w:sz="0" w:space="0" w:color="auto"/>
        <w:bottom w:val="none" w:sz="0" w:space="0" w:color="auto"/>
        <w:right w:val="none" w:sz="0" w:space="0" w:color="auto"/>
      </w:divBdr>
    </w:div>
    <w:div w:id="1281377544">
      <w:bodyDiv w:val="1"/>
      <w:marLeft w:val="0"/>
      <w:marRight w:val="0"/>
      <w:marTop w:val="0"/>
      <w:marBottom w:val="0"/>
      <w:divBdr>
        <w:top w:val="none" w:sz="0" w:space="0" w:color="auto"/>
        <w:left w:val="none" w:sz="0" w:space="0" w:color="auto"/>
        <w:bottom w:val="none" w:sz="0" w:space="0" w:color="auto"/>
        <w:right w:val="none" w:sz="0" w:space="0" w:color="auto"/>
      </w:divBdr>
    </w:div>
    <w:div w:id="1547985730">
      <w:bodyDiv w:val="1"/>
      <w:marLeft w:val="0"/>
      <w:marRight w:val="0"/>
      <w:marTop w:val="0"/>
      <w:marBottom w:val="0"/>
      <w:divBdr>
        <w:top w:val="none" w:sz="0" w:space="0" w:color="auto"/>
        <w:left w:val="none" w:sz="0" w:space="0" w:color="auto"/>
        <w:bottom w:val="none" w:sz="0" w:space="0" w:color="auto"/>
        <w:right w:val="none" w:sz="0" w:space="0" w:color="auto"/>
      </w:divBdr>
    </w:div>
    <w:div w:id="1910187595">
      <w:bodyDiv w:val="1"/>
      <w:marLeft w:val="0"/>
      <w:marRight w:val="0"/>
      <w:marTop w:val="0"/>
      <w:marBottom w:val="0"/>
      <w:divBdr>
        <w:top w:val="none" w:sz="0" w:space="0" w:color="auto"/>
        <w:left w:val="none" w:sz="0" w:space="0" w:color="auto"/>
        <w:bottom w:val="none" w:sz="0" w:space="0" w:color="auto"/>
        <w:right w:val="none" w:sz="0" w:space="0" w:color="auto"/>
      </w:divBdr>
    </w:div>
    <w:div w:id="19390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6.png@01DC4420.2DA9627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710</Words>
  <Characters>3908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Corte-Comunicaciones-Francisco Jiménez Oliverio</dc:creator>
  <cp:keywords/>
  <dc:description/>
  <cp:lastModifiedBy>Secretaría General de la Corte-Comunicaciones-Francisco Jiménez Oliverio</cp:lastModifiedBy>
  <cp:revision>5</cp:revision>
  <dcterms:created xsi:type="dcterms:W3CDTF">2025-10-28T14:31:00Z</dcterms:created>
  <dcterms:modified xsi:type="dcterms:W3CDTF">2025-10-28T14:37:00Z</dcterms:modified>
</cp:coreProperties>
</file>