
<file path=[Content_Types].xml><?xml version="1.0" encoding="utf-8"?>
<Types xmlns="http://schemas.openxmlformats.org/package/2006/content-types">
  <Default Extension="bin" ContentType="application/vnd.openxmlformats-officedocument.oleObject"/>
  <Default Extension="doc" ContentType="application/msword"/>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A5A8E" w:rsidRDefault="00DA5A8E" w:rsidP="00D13330">
      <w:pPr>
        <w:widowControl w:val="0"/>
        <w:suppressAutoHyphens/>
        <w:spacing w:after="0" w:line="240" w:lineRule="auto"/>
        <w:ind w:firstLine="709"/>
        <w:jc w:val="both"/>
        <w:rPr>
          <w:rFonts w:ascii="Arial Narrow" w:eastAsia="Arial Unicode MS" w:hAnsi="Arial Narrow" w:cs="Times New Roman"/>
          <w:color w:val="000000" w:themeColor="text1"/>
          <w:kern w:val="1"/>
          <w:lang w:val="es-ES_tradnl" w:eastAsia="es-CR"/>
        </w:rPr>
      </w:pPr>
    </w:p>
    <w:p w:rsidR="00DA5A8E" w:rsidRPr="00DA5A8E" w:rsidRDefault="00DA5A8E" w:rsidP="00DA5A8E">
      <w:pPr>
        <w:widowControl w:val="0"/>
        <w:numPr>
          <w:ilvl w:val="0"/>
          <w:numId w:val="1"/>
        </w:numPr>
        <w:suppressAutoHyphens/>
        <w:spacing w:after="0" w:line="240" w:lineRule="auto"/>
        <w:ind w:left="0" w:firstLine="709"/>
        <w:jc w:val="both"/>
        <w:rPr>
          <w:rFonts w:ascii="Arial Narrow" w:eastAsia="Calibri" w:hAnsi="Arial Narrow" w:cs="Times New Roman"/>
          <w:lang w:eastAsia="es-CR"/>
        </w:rPr>
      </w:pPr>
      <w:r w:rsidRPr="00DA5A8E">
        <w:rPr>
          <w:rFonts w:ascii="Arial Narrow" w:eastAsia="Calibri" w:hAnsi="Arial Narrow" w:cs="Times New Roman"/>
          <w:lang w:eastAsia="es-CR"/>
        </w:rPr>
        <w:t>Q</w:t>
      </w:r>
      <w:r w:rsidR="00C357AF" w:rsidRPr="00DA5A8E">
        <w:rPr>
          <w:rFonts w:ascii="Arial Narrow" w:eastAsia="Calibri" w:hAnsi="Arial Narrow" w:cs="Times New Roman"/>
          <w:lang w:eastAsia="es-CR"/>
        </w:rPr>
        <w:t xml:space="preserve">ue conforme a los acuerdos del Consejo Superior en </w:t>
      </w:r>
      <w:r w:rsidR="00081E4B" w:rsidRPr="00DA5A8E">
        <w:rPr>
          <w:rFonts w:ascii="Arial Narrow" w:eastAsia="Calibri" w:hAnsi="Arial Narrow" w:cs="Times New Roman"/>
          <w:lang w:eastAsia="es-CR"/>
        </w:rPr>
        <w:t>sesión</w:t>
      </w:r>
      <w:r w:rsidR="00C357AF" w:rsidRPr="00DA5A8E">
        <w:rPr>
          <w:rFonts w:ascii="Arial Narrow" w:eastAsia="Calibri" w:hAnsi="Arial Narrow" w:cs="Times New Roman"/>
          <w:lang w:eastAsia="es-CR"/>
        </w:rPr>
        <w:t xml:space="preserve"> </w:t>
      </w:r>
      <w:r w:rsidR="00081E4B" w:rsidRPr="00DA5A8E">
        <w:rPr>
          <w:rFonts w:ascii="Arial Narrow" w:eastAsia="Calibri" w:hAnsi="Arial Narrow" w:cs="Times New Roman"/>
          <w:lang w:eastAsia="es-CR"/>
        </w:rPr>
        <w:t>96-2018</w:t>
      </w:r>
      <w:r w:rsidR="00C357AF" w:rsidRPr="00DA5A8E">
        <w:rPr>
          <w:rFonts w:ascii="Arial Narrow" w:eastAsia="Calibri" w:hAnsi="Arial Narrow" w:cs="Times New Roman"/>
          <w:lang w:eastAsia="es-CR"/>
        </w:rPr>
        <w:t xml:space="preserve">, celebrada el 2 de </w:t>
      </w:r>
      <w:r w:rsidR="00081E4B" w:rsidRPr="00DA5A8E">
        <w:rPr>
          <w:rFonts w:ascii="Arial Narrow" w:eastAsia="Calibri" w:hAnsi="Arial Narrow" w:cs="Times New Roman"/>
          <w:lang w:eastAsia="es-CR"/>
        </w:rPr>
        <w:t>noviembre</w:t>
      </w:r>
      <w:r w:rsidR="00C357AF" w:rsidRPr="00DA5A8E">
        <w:rPr>
          <w:rFonts w:ascii="Arial Narrow" w:eastAsia="Calibri" w:hAnsi="Arial Narrow" w:cs="Times New Roman"/>
          <w:lang w:eastAsia="es-CR"/>
        </w:rPr>
        <w:t xml:space="preserve"> de 20</w:t>
      </w:r>
      <w:r w:rsidR="00081E4B" w:rsidRPr="00DA5A8E">
        <w:rPr>
          <w:rFonts w:ascii="Arial Narrow" w:eastAsia="Calibri" w:hAnsi="Arial Narrow" w:cs="Times New Roman"/>
          <w:lang w:eastAsia="es-CR"/>
        </w:rPr>
        <w:t>18</w:t>
      </w:r>
      <w:r w:rsidR="00C357AF" w:rsidRPr="00DA5A8E">
        <w:rPr>
          <w:rFonts w:ascii="Arial Narrow" w:eastAsia="Calibri" w:hAnsi="Arial Narrow" w:cs="Times New Roman"/>
          <w:lang w:eastAsia="es-CR"/>
        </w:rPr>
        <w:t>, artículo XL</w:t>
      </w:r>
      <w:r w:rsidR="00081E4B" w:rsidRPr="00DA5A8E">
        <w:rPr>
          <w:rFonts w:ascii="Arial Narrow" w:eastAsia="Calibri" w:hAnsi="Arial Narrow" w:cs="Times New Roman"/>
          <w:lang w:eastAsia="es-CR"/>
        </w:rPr>
        <w:t>VIII</w:t>
      </w:r>
      <w:r w:rsidR="00C357AF" w:rsidRPr="00DA5A8E">
        <w:rPr>
          <w:rFonts w:ascii="Arial Narrow" w:eastAsia="Calibri" w:hAnsi="Arial Narrow" w:cs="Times New Roman"/>
          <w:lang w:eastAsia="es-CR"/>
        </w:rPr>
        <w:t>,</w:t>
      </w:r>
      <w:r w:rsidR="00E40925">
        <w:rPr>
          <w:rFonts w:ascii="Arial Narrow" w:eastAsia="Calibri" w:hAnsi="Arial Narrow" w:cs="Times New Roman"/>
          <w:lang w:eastAsia="es-CR"/>
        </w:rPr>
        <w:t xml:space="preserve"> es obligatorio el uso del módulo de pase a fallo del Escritorio Virtual</w:t>
      </w:r>
      <w:r w:rsidR="00C357AF" w:rsidRPr="00DA5A8E">
        <w:rPr>
          <w:rFonts w:ascii="Arial Narrow" w:eastAsia="Calibri" w:hAnsi="Arial Narrow" w:cs="Times New Roman"/>
          <w:lang w:eastAsia="es-CR"/>
        </w:rPr>
        <w:t xml:space="preserve"> </w:t>
      </w:r>
      <w:r w:rsidR="00081E4B" w:rsidRPr="00DA5A8E">
        <w:rPr>
          <w:rFonts w:ascii="Arial Narrow" w:eastAsia="Calibri" w:hAnsi="Arial Narrow" w:cs="Times New Roman"/>
          <w:lang w:eastAsia="es-CR"/>
        </w:rPr>
        <w:t xml:space="preserve">se acordó </w:t>
      </w:r>
      <w:r w:rsidR="00C357AF" w:rsidRPr="00DA5A8E">
        <w:rPr>
          <w:rFonts w:ascii="Arial Narrow" w:eastAsia="Calibri" w:hAnsi="Arial Narrow" w:cs="Times New Roman"/>
          <w:lang w:eastAsia="es-CR"/>
        </w:rPr>
        <w:t>lo siguiente:</w:t>
      </w:r>
    </w:p>
    <w:p w:rsidR="00DA5A8E" w:rsidRPr="00DA5A8E" w:rsidRDefault="00DA5A8E" w:rsidP="00DA5A8E">
      <w:pPr>
        <w:pStyle w:val="Prrafodelista"/>
        <w:widowControl w:val="0"/>
        <w:suppressAutoHyphens/>
        <w:spacing w:after="0" w:line="240" w:lineRule="auto"/>
        <w:jc w:val="both"/>
        <w:rPr>
          <w:rFonts w:ascii="Arial Narrow" w:eastAsia="Arial Unicode MS" w:hAnsi="Arial Narrow" w:cs="Times New Roman"/>
          <w:color w:val="000000" w:themeColor="text1"/>
          <w:kern w:val="1"/>
          <w:highlight w:val="yellow"/>
          <w:lang w:val="es-ES_tradnl" w:eastAsia="es-CR"/>
        </w:rPr>
      </w:pPr>
    </w:p>
    <w:p w:rsidR="00081E4B" w:rsidRPr="00DA5A8E" w:rsidRDefault="00DA5A8E" w:rsidP="00DA5A8E">
      <w:pPr>
        <w:pStyle w:val="Prrafodelista"/>
        <w:widowControl w:val="0"/>
        <w:suppressAutoHyphens/>
        <w:spacing w:after="0" w:line="240" w:lineRule="auto"/>
        <w:jc w:val="both"/>
        <w:rPr>
          <w:rFonts w:ascii="Arial Narrow" w:eastAsia="Arial Unicode MS" w:hAnsi="Arial Narrow" w:cs="Times New Roman"/>
          <w:color w:val="000000" w:themeColor="text1"/>
          <w:kern w:val="1"/>
          <w:highlight w:val="yellow"/>
          <w:lang w:val="es-ES_tradnl" w:eastAsia="es-CR"/>
        </w:rPr>
      </w:pPr>
      <w:r>
        <w:rPr>
          <w:rFonts w:ascii="Arial Narrow" w:eastAsia="Calibri" w:hAnsi="Arial Narrow" w:cs="Times New Roman"/>
          <w:lang w:eastAsia="es-CR"/>
        </w:rPr>
        <w:t>“</w:t>
      </w:r>
      <w:r w:rsidR="00081E4B" w:rsidRPr="00DA5A8E">
        <w:rPr>
          <w:rFonts w:ascii="Arial Narrow" w:eastAsia="Calibri" w:hAnsi="Arial Narrow" w:cs="Times New Roman"/>
          <w:i/>
          <w:iCs/>
          <w:lang w:eastAsia="es-CR"/>
        </w:rPr>
        <w:t>Recordar a los despachos que usan “Escritorio Virtual”, que es de cumplimiento obligatorio utilizar la mejora en el sistema para “Pase a Fallo”, ya que la asignación de recurso de apoyo se realiza considerando únicamente los datos que se reporten en los sistemas de información, de ahí la relevancia de mantener actualizados los registros, pues existen oficinas que no reportan información o la que se reporta no está actualizada</w:t>
      </w:r>
      <w:r w:rsidRPr="00DA5A8E">
        <w:rPr>
          <w:rFonts w:ascii="Arial Narrow" w:eastAsia="Calibri" w:hAnsi="Arial Narrow" w:cs="Times New Roman"/>
          <w:i/>
          <w:iCs/>
          <w:lang w:eastAsia="es-CR"/>
        </w:rPr>
        <w:t>.”</w:t>
      </w:r>
    </w:p>
    <w:p w:rsidR="00C357AF" w:rsidRPr="006D318C" w:rsidRDefault="00C357AF" w:rsidP="00D13330">
      <w:pPr>
        <w:spacing w:after="0" w:line="240" w:lineRule="auto"/>
        <w:ind w:firstLine="709"/>
        <w:jc w:val="both"/>
        <w:rPr>
          <w:rFonts w:ascii="Arial Narrow" w:eastAsia="Calibri" w:hAnsi="Arial Narrow" w:cs="Times New Roman"/>
          <w:highlight w:val="yellow"/>
          <w:lang w:eastAsia="es-CR"/>
        </w:rPr>
      </w:pPr>
    </w:p>
    <w:p w:rsidR="00E40925" w:rsidRPr="00AD4B99" w:rsidRDefault="00E40925" w:rsidP="00DA5A8E">
      <w:pPr>
        <w:widowControl w:val="0"/>
        <w:numPr>
          <w:ilvl w:val="0"/>
          <w:numId w:val="1"/>
        </w:numPr>
        <w:suppressAutoHyphens/>
        <w:spacing w:after="0" w:line="240" w:lineRule="auto"/>
        <w:ind w:left="0" w:firstLine="709"/>
        <w:jc w:val="both"/>
        <w:rPr>
          <w:rFonts w:ascii="Arial Narrow" w:eastAsia="Calibri" w:hAnsi="Arial Narrow" w:cs="Times New Roman"/>
          <w:lang w:eastAsia="es-CR"/>
        </w:rPr>
      </w:pPr>
      <w:r>
        <w:rPr>
          <w:rFonts w:ascii="Arial Narrow" w:eastAsia="Arial Unicode MS" w:hAnsi="Arial Narrow" w:cs="Times New Roman"/>
          <w:kern w:val="1"/>
          <w:lang w:val="es-ES_tradnl" w:eastAsia="es-CR"/>
        </w:rPr>
        <w:t xml:space="preserve">A partir del acuerdo del </w:t>
      </w:r>
      <w:r w:rsidRPr="00081E4B">
        <w:rPr>
          <w:rFonts w:ascii="Arial Narrow" w:eastAsia="Arial Unicode MS" w:hAnsi="Arial Narrow" w:cs="Times New Roman"/>
          <w:kern w:val="1"/>
          <w:lang w:val="es-ES_tradnl" w:eastAsia="es-CR"/>
        </w:rPr>
        <w:t xml:space="preserve">Consejo Superior, </w:t>
      </w:r>
      <w:r w:rsidR="006E2876" w:rsidRPr="0039534E">
        <w:rPr>
          <w:rFonts w:ascii="Arial Narrow" w:hAnsi="Arial Narrow"/>
          <w:shd w:val="clear" w:color="auto" w:fill="FFFFFF"/>
        </w:rPr>
        <w:t xml:space="preserve">en sesión </w:t>
      </w:r>
      <w:proofErr w:type="spellStart"/>
      <w:r w:rsidR="006E2876" w:rsidRPr="0039534E">
        <w:rPr>
          <w:rFonts w:ascii="Arial Narrow" w:hAnsi="Arial Narrow"/>
          <w:shd w:val="clear" w:color="auto" w:fill="FFFFFF"/>
        </w:rPr>
        <w:t>N°</w:t>
      </w:r>
      <w:proofErr w:type="spellEnd"/>
      <w:r w:rsidR="006E2876" w:rsidRPr="0039534E">
        <w:rPr>
          <w:rFonts w:ascii="Arial Narrow" w:hAnsi="Arial Narrow"/>
          <w:shd w:val="clear" w:color="auto" w:fill="FFFFFF"/>
        </w:rPr>
        <w:t xml:space="preserve"> 37-2025 celebrada el 30 de abril de 2025, artículo XXXII</w:t>
      </w:r>
      <w:r w:rsidRPr="00081E4B">
        <w:rPr>
          <w:rFonts w:ascii="Arial Narrow" w:eastAsia="Arial Unicode MS" w:hAnsi="Arial Narrow" w:cs="Times New Roman"/>
          <w:kern w:val="1"/>
          <w:lang w:val="es-ES_tradnl" w:eastAsia="es-CR"/>
        </w:rPr>
        <w:t xml:space="preserve">, </w:t>
      </w:r>
      <w:r>
        <w:rPr>
          <w:rFonts w:ascii="Arial Narrow" w:eastAsia="Arial Unicode MS" w:hAnsi="Arial Narrow" w:cs="Times New Roman"/>
          <w:kern w:val="1"/>
          <w:lang w:val="es-ES_tradnl" w:eastAsia="es-CR"/>
        </w:rPr>
        <w:t xml:space="preserve">la jurisdicción Agraria en </w:t>
      </w:r>
      <w:r w:rsidR="009B5B89">
        <w:rPr>
          <w:rFonts w:ascii="Arial Narrow" w:eastAsia="Arial Unicode MS" w:hAnsi="Arial Narrow" w:cs="Times New Roman"/>
          <w:kern w:val="1"/>
          <w:lang w:val="es-ES_tradnl" w:eastAsia="es-CR"/>
        </w:rPr>
        <w:t>segunda</w:t>
      </w:r>
      <w:r>
        <w:rPr>
          <w:rFonts w:ascii="Arial Narrow" w:eastAsia="Arial Unicode MS" w:hAnsi="Arial Narrow" w:cs="Times New Roman"/>
          <w:kern w:val="1"/>
          <w:lang w:val="es-ES_tradnl" w:eastAsia="es-CR"/>
        </w:rPr>
        <w:t xml:space="preserve"> instancia, implementó la mejora de pase a fallo por tareas, por lo que a partir de esa fecha y por al menos 6 meses, deberán mantener el seguimiento a la información que reporta la mejora y revisarla contra el control de Excel que mantiene </w:t>
      </w:r>
      <w:r w:rsidR="009B5B89">
        <w:rPr>
          <w:rFonts w:ascii="Arial Narrow" w:eastAsia="Arial Unicode MS" w:hAnsi="Arial Narrow" w:cs="Times New Roman"/>
          <w:kern w:val="1"/>
          <w:lang w:val="es-ES_tradnl" w:eastAsia="es-CR"/>
        </w:rPr>
        <w:t xml:space="preserve">el </w:t>
      </w:r>
      <w:r>
        <w:rPr>
          <w:rFonts w:ascii="Arial Narrow" w:eastAsia="Arial Unicode MS" w:hAnsi="Arial Narrow" w:cs="Times New Roman"/>
          <w:kern w:val="1"/>
          <w:lang w:val="es-ES_tradnl" w:eastAsia="es-CR"/>
        </w:rPr>
        <w:t xml:space="preserve">despacho. </w:t>
      </w:r>
    </w:p>
    <w:p w:rsidR="00E40925" w:rsidRDefault="00E40925" w:rsidP="00E40925">
      <w:pPr>
        <w:widowControl w:val="0"/>
        <w:suppressAutoHyphens/>
        <w:spacing w:after="0" w:line="240" w:lineRule="auto"/>
        <w:jc w:val="both"/>
        <w:rPr>
          <w:rFonts w:ascii="Arial Narrow" w:eastAsia="Calibri" w:hAnsi="Arial Narrow" w:cs="Times New Roman"/>
          <w:i/>
          <w:iCs/>
          <w:lang w:eastAsia="es-CR"/>
        </w:rPr>
      </w:pPr>
    </w:p>
    <w:p w:rsidR="00C357AF" w:rsidRPr="00DA5A8E" w:rsidRDefault="00E40925" w:rsidP="00AD4B99">
      <w:pPr>
        <w:widowControl w:val="0"/>
        <w:suppressAutoHyphens/>
        <w:spacing w:after="0" w:line="240" w:lineRule="auto"/>
        <w:jc w:val="both"/>
        <w:rPr>
          <w:rFonts w:ascii="Arial Narrow" w:eastAsia="Calibri" w:hAnsi="Arial Narrow" w:cs="Times New Roman"/>
          <w:lang w:eastAsia="es-CR"/>
        </w:rPr>
      </w:pPr>
      <w:r>
        <w:rPr>
          <w:rFonts w:ascii="Arial Narrow" w:eastAsia="Calibri" w:hAnsi="Arial Narrow" w:cs="Times New Roman"/>
          <w:i/>
          <w:iCs/>
          <w:lang w:eastAsia="es-CR"/>
        </w:rPr>
        <w:t xml:space="preserve">Pasados al menos 6 meses de monitoreo del Subproceso de Estadística, ese subproceso recomendará lo correspondiente sobre si se elimina el registro paralelo en Excel. </w:t>
      </w:r>
    </w:p>
    <w:p w:rsidR="00C357AF" w:rsidRPr="00DA5A8E" w:rsidRDefault="00C357AF" w:rsidP="00D13330">
      <w:pPr>
        <w:spacing w:after="0" w:line="240" w:lineRule="auto"/>
        <w:ind w:firstLine="709"/>
        <w:jc w:val="both"/>
        <w:rPr>
          <w:rFonts w:ascii="Arial Narrow" w:eastAsia="Calibri" w:hAnsi="Arial Narrow" w:cs="Times New Roman"/>
          <w:lang w:eastAsia="es-CR"/>
        </w:rPr>
      </w:pPr>
    </w:p>
    <w:p w:rsidR="00C357AF" w:rsidRPr="00DA5A8E" w:rsidRDefault="00C357AF" w:rsidP="00DA5A8E">
      <w:pPr>
        <w:spacing w:after="0" w:line="240" w:lineRule="auto"/>
        <w:jc w:val="both"/>
        <w:rPr>
          <w:rFonts w:ascii="Arial Narrow" w:eastAsia="Calibri" w:hAnsi="Arial Narrow" w:cs="Times New Roman"/>
          <w:lang w:eastAsia="es-CR"/>
        </w:rPr>
      </w:pPr>
      <w:r w:rsidRPr="00DA5A8E">
        <w:rPr>
          <w:rFonts w:ascii="Arial Narrow" w:eastAsia="Calibri" w:hAnsi="Arial Narrow" w:cs="Times New Roman"/>
          <w:lang w:eastAsia="es-CR"/>
        </w:rPr>
        <w:t xml:space="preserve">Se adjunta la ubicación y el manual de uso del reporte diseñado por la Dirección de Tecnología de la Información. </w:t>
      </w:r>
    </w:p>
    <w:p w:rsidR="00E40925" w:rsidRPr="00AD4B99" w:rsidRDefault="00E40925" w:rsidP="00AD4B99">
      <w:pPr>
        <w:pStyle w:val="xmsonormal"/>
        <w:ind w:right="408"/>
        <w:jc w:val="center"/>
        <w:rPr>
          <w:rFonts w:ascii="Book Antiqua" w:hAnsi="Book Antiqua" w:cs="Times New Roman"/>
          <w:sz w:val="20"/>
          <w:szCs w:val="20"/>
          <w:u w:val="single"/>
        </w:rPr>
      </w:pPr>
      <w:r w:rsidRPr="00AD4B99">
        <w:rPr>
          <w:rFonts w:ascii="Book Antiqua" w:hAnsi="Book Antiqua" w:cs="Times New Roman"/>
          <w:sz w:val="20"/>
          <w:szCs w:val="20"/>
          <w:u w:val="single"/>
        </w:rPr>
        <w:t>Ubicación del “Informe de pase a fallo” en la plataforma SIGMA:</w:t>
      </w:r>
    </w:p>
    <w:p w:rsidR="00E40925" w:rsidRPr="005A451F" w:rsidRDefault="00E40925" w:rsidP="00E40925">
      <w:pPr>
        <w:pStyle w:val="xmsonormal"/>
        <w:ind w:left="1798" w:right="408"/>
        <w:jc w:val="both"/>
        <w:rPr>
          <w:rFonts w:ascii="Book Antiqua" w:hAnsi="Book Antiqua" w:cs="Times New Roman"/>
          <w:u w:val="single"/>
        </w:rPr>
      </w:pPr>
    </w:p>
    <w:p w:rsidR="00E40925" w:rsidRPr="005A451F" w:rsidRDefault="00E40925" w:rsidP="00E40925">
      <w:pPr>
        <w:pStyle w:val="xmsonormal"/>
        <w:ind w:left="1078" w:right="408" w:hanging="511"/>
        <w:jc w:val="center"/>
        <w:rPr>
          <w:rFonts w:ascii="Book Antiqua" w:hAnsi="Book Antiqua" w:cs="Times New Roman"/>
          <w:noProof/>
        </w:rPr>
      </w:pPr>
      <w:r w:rsidRPr="005A451F">
        <w:rPr>
          <w:rFonts w:ascii="Book Antiqua" w:hAnsi="Book Antiqua" w:cs="Times New Roman"/>
          <w:noProof/>
        </w:rPr>
        <w:drawing>
          <wp:inline distT="0" distB="0" distL="0" distR="0" wp14:anchorId="0B082A52" wp14:editId="534C52D2">
            <wp:extent cx="4671060" cy="235458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71060" cy="2354580"/>
                    </a:xfrm>
                    <a:prstGeom prst="rect">
                      <a:avLst/>
                    </a:prstGeom>
                    <a:noFill/>
                    <a:ln>
                      <a:noFill/>
                    </a:ln>
                  </pic:spPr>
                </pic:pic>
              </a:graphicData>
            </a:graphic>
          </wp:inline>
        </w:drawing>
      </w:r>
    </w:p>
    <w:p w:rsidR="00E40925" w:rsidRPr="005A451F" w:rsidRDefault="00E40925" w:rsidP="00E40925">
      <w:pPr>
        <w:pStyle w:val="xmsonormal"/>
        <w:ind w:left="1078" w:right="408" w:firstLine="709"/>
        <w:jc w:val="both"/>
        <w:rPr>
          <w:rFonts w:ascii="Book Antiqua" w:hAnsi="Book Antiqua" w:cs="Times New Roman"/>
          <w:noProof/>
        </w:rPr>
      </w:pPr>
    </w:p>
    <w:p w:rsidR="00E40925" w:rsidRPr="005A451F" w:rsidRDefault="00E40925" w:rsidP="00E40925">
      <w:pPr>
        <w:pStyle w:val="xmsonormal"/>
        <w:ind w:left="1078" w:right="408" w:firstLine="709"/>
        <w:jc w:val="both"/>
        <w:rPr>
          <w:rFonts w:ascii="Book Antiqua" w:hAnsi="Book Antiqua" w:cs="Times New Roman"/>
          <w:noProof/>
          <w:u w:val="single"/>
        </w:rPr>
      </w:pPr>
    </w:p>
    <w:p w:rsidR="00E40925" w:rsidRDefault="00E40925" w:rsidP="009B5B89">
      <w:pPr>
        <w:pStyle w:val="xmsonormal"/>
        <w:ind w:left="1078" w:right="408" w:hanging="1078"/>
        <w:jc w:val="center"/>
        <w:rPr>
          <w:rFonts w:ascii="Book Antiqua" w:hAnsi="Book Antiqua" w:cs="Times New Roman"/>
          <w:noProof/>
          <w:u w:val="single"/>
        </w:rPr>
      </w:pPr>
      <w:r w:rsidRPr="005A451F">
        <w:rPr>
          <w:rFonts w:ascii="Book Antiqua" w:hAnsi="Book Antiqua" w:cs="Times New Roman"/>
          <w:noProof/>
          <w:u w:val="single"/>
        </w:rPr>
        <w:t>Manual de uso del “Informe pase a fallo”</w:t>
      </w:r>
    </w:p>
    <w:p w:rsidR="009B5B89" w:rsidRPr="005A451F" w:rsidRDefault="009B5B89" w:rsidP="00E40925">
      <w:pPr>
        <w:pStyle w:val="xmsonormal"/>
        <w:ind w:left="1078" w:right="408" w:hanging="1078"/>
        <w:jc w:val="both"/>
        <w:rPr>
          <w:rFonts w:ascii="Book Antiqua" w:hAnsi="Book Antiqua" w:cs="Times New Roman"/>
          <w:noProof/>
        </w:rPr>
      </w:pPr>
    </w:p>
    <w:p w:rsidR="00E40925" w:rsidRPr="00DA5A8E" w:rsidRDefault="00E40925" w:rsidP="00D13330">
      <w:pPr>
        <w:spacing w:after="0" w:line="240" w:lineRule="auto"/>
        <w:ind w:firstLine="709"/>
        <w:jc w:val="both"/>
        <w:rPr>
          <w:rFonts w:ascii="Arial Narrow" w:eastAsia="Calibri" w:hAnsi="Arial Narrow" w:cs="Times New Roman"/>
          <w:lang w:eastAsia="es-CR"/>
        </w:rPr>
      </w:pPr>
    </w:p>
    <w:tbl>
      <w:tblPr>
        <w:tblStyle w:val="Tablaconcuadrcula"/>
        <w:tblW w:w="0" w:type="auto"/>
        <w:jc w:val="center"/>
        <w:tblLook w:val="04A0" w:firstRow="1" w:lastRow="0" w:firstColumn="1" w:lastColumn="0" w:noHBand="0" w:noVBand="1"/>
      </w:tblPr>
      <w:tblGrid>
        <w:gridCol w:w="2734"/>
      </w:tblGrid>
      <w:tr w:rsidR="009B5B89" w:rsidTr="009B5B89">
        <w:trPr>
          <w:trHeight w:val="2273"/>
          <w:jc w:val="center"/>
        </w:trPr>
        <w:tc>
          <w:tcPr>
            <w:tcW w:w="2561" w:type="dxa"/>
            <w:vAlign w:val="center"/>
          </w:tcPr>
          <w:p w:rsidR="009B5B89" w:rsidRDefault="008A22CC" w:rsidP="009B5B89">
            <w:pPr>
              <w:jc w:val="center"/>
              <w:rPr>
                <w:rFonts w:ascii="Arial Narrow" w:eastAsia="Calibri" w:hAnsi="Arial Narrow" w:cs="Calibri"/>
                <w:highlight w:val="yellow"/>
                <w:lang w:eastAsia="es-MX"/>
              </w:rPr>
            </w:pPr>
            <w:r w:rsidRPr="005A451F">
              <w:rPr>
                <w:rFonts w:ascii="Book Antiqua" w:hAnsi="Book Antiqua" w:cs="Times New Roman"/>
                <w:noProof/>
              </w:rPr>
              <w:object w:dxaOrig="2520" w:dyaOrig="1640" w14:anchorId="473738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81.5pt" o:ole="">
                  <v:imagedata r:id="rId6" o:title=""/>
                </v:shape>
                <o:OLEObject Type="Embed" ProgID="Package" ShapeID="_x0000_i1025" DrawAspect="Icon" ObjectID="_1809435342" r:id="rId7"/>
              </w:object>
            </w:r>
          </w:p>
        </w:tc>
      </w:tr>
    </w:tbl>
    <w:p w:rsidR="00C357AF" w:rsidRPr="006D318C" w:rsidRDefault="00C357AF" w:rsidP="00D13330">
      <w:pPr>
        <w:spacing w:after="0" w:line="240" w:lineRule="auto"/>
        <w:ind w:firstLine="709"/>
        <w:jc w:val="both"/>
        <w:rPr>
          <w:rFonts w:ascii="Arial Narrow" w:eastAsia="Calibri" w:hAnsi="Arial Narrow" w:cs="Calibri"/>
          <w:highlight w:val="yellow"/>
          <w:lang w:eastAsia="es-MX"/>
        </w:rPr>
      </w:pPr>
    </w:p>
    <w:p w:rsidR="00C357AF" w:rsidRPr="006D318C" w:rsidRDefault="00C357AF" w:rsidP="00D13330">
      <w:pPr>
        <w:spacing w:after="0" w:line="240" w:lineRule="auto"/>
        <w:ind w:firstLine="709"/>
        <w:jc w:val="both"/>
        <w:rPr>
          <w:rFonts w:ascii="Arial Narrow" w:eastAsia="Calibri" w:hAnsi="Arial Narrow" w:cs="Times New Roman"/>
          <w:highlight w:val="yellow"/>
          <w:lang w:eastAsia="es-CR"/>
        </w:rPr>
      </w:pPr>
    </w:p>
    <w:p w:rsidR="00C357AF" w:rsidRPr="00DA5A8E" w:rsidRDefault="00C357AF" w:rsidP="00D13330">
      <w:pPr>
        <w:widowControl w:val="0"/>
        <w:numPr>
          <w:ilvl w:val="0"/>
          <w:numId w:val="1"/>
        </w:numPr>
        <w:suppressAutoHyphens/>
        <w:spacing w:after="0" w:line="240" w:lineRule="auto"/>
        <w:ind w:left="0" w:firstLine="709"/>
        <w:jc w:val="both"/>
        <w:rPr>
          <w:rFonts w:ascii="Arial Narrow" w:eastAsia="Calibri" w:hAnsi="Arial Narrow" w:cs="Times New Roman"/>
          <w:lang w:eastAsia="es-CR"/>
        </w:rPr>
      </w:pPr>
      <w:r w:rsidRPr="00DA5A8E">
        <w:rPr>
          <w:rFonts w:ascii="Arial Narrow" w:eastAsia="Calibri" w:hAnsi="Arial Narrow" w:cs="Times New Roman"/>
          <w:lang w:eastAsia="es-CR"/>
        </w:rPr>
        <w:t xml:space="preserve">La persona </w:t>
      </w:r>
      <w:r w:rsidR="009B5B89">
        <w:rPr>
          <w:rFonts w:ascii="Arial Narrow" w:eastAsia="Calibri" w:hAnsi="Arial Narrow" w:cs="Times New Roman"/>
          <w:lang w:eastAsia="es-CR"/>
        </w:rPr>
        <w:t>j</w:t>
      </w:r>
      <w:r w:rsidRPr="00DA5A8E">
        <w:rPr>
          <w:rFonts w:ascii="Arial Narrow" w:eastAsia="Calibri" w:hAnsi="Arial Narrow" w:cs="Times New Roman"/>
          <w:lang w:eastAsia="es-CR"/>
        </w:rPr>
        <w:t xml:space="preserve">uzgadora </w:t>
      </w:r>
      <w:r w:rsidR="009B5B89">
        <w:rPr>
          <w:rFonts w:ascii="Arial Narrow" w:eastAsia="Calibri" w:hAnsi="Arial Narrow" w:cs="Times New Roman"/>
          <w:lang w:eastAsia="es-CR"/>
        </w:rPr>
        <w:t>c</w:t>
      </w:r>
      <w:r w:rsidRPr="00DA5A8E">
        <w:rPr>
          <w:rFonts w:ascii="Arial Narrow" w:eastAsia="Calibri" w:hAnsi="Arial Narrow" w:cs="Times New Roman"/>
          <w:lang w:eastAsia="es-CR"/>
        </w:rPr>
        <w:t xml:space="preserve">oordinadora </w:t>
      </w:r>
      <w:r w:rsidR="00751611">
        <w:rPr>
          <w:rFonts w:ascii="Arial Narrow" w:eastAsia="Calibri" w:hAnsi="Arial Narrow" w:cs="Times New Roman"/>
          <w:lang w:eastAsia="es-CR"/>
        </w:rPr>
        <w:t xml:space="preserve">o persona coordinadora judicial </w:t>
      </w:r>
      <w:r w:rsidRPr="00DA5A8E">
        <w:rPr>
          <w:rFonts w:ascii="Arial Narrow" w:eastAsia="Calibri" w:hAnsi="Arial Narrow" w:cs="Times New Roman"/>
          <w:lang w:eastAsia="es-CR"/>
        </w:rPr>
        <w:t>de</w:t>
      </w:r>
      <w:r w:rsidR="009B5B89">
        <w:rPr>
          <w:rFonts w:ascii="Arial Narrow" w:eastAsia="Calibri" w:hAnsi="Arial Narrow" w:cs="Times New Roman"/>
          <w:lang w:eastAsia="es-CR"/>
        </w:rPr>
        <w:t xml:space="preserve">l </w:t>
      </w:r>
      <w:r w:rsidRPr="00DA5A8E">
        <w:rPr>
          <w:rFonts w:ascii="Arial Narrow" w:eastAsia="Calibri" w:hAnsi="Arial Narrow" w:cs="Times New Roman"/>
          <w:lang w:eastAsia="es-CR"/>
        </w:rPr>
        <w:t>despacho</w:t>
      </w:r>
      <w:r w:rsidR="009B5B89">
        <w:rPr>
          <w:rFonts w:ascii="Arial Narrow" w:eastAsia="Calibri" w:hAnsi="Arial Narrow" w:cs="Times New Roman"/>
          <w:lang w:eastAsia="es-CR"/>
        </w:rPr>
        <w:t xml:space="preserve"> </w:t>
      </w:r>
      <w:r w:rsidRPr="00DA5A8E">
        <w:rPr>
          <w:rFonts w:ascii="Arial Narrow" w:eastAsia="Calibri" w:hAnsi="Arial Narrow" w:cs="Times New Roman"/>
          <w:lang w:eastAsia="es-CR"/>
        </w:rPr>
        <w:t xml:space="preserve">debe validar e informar dentro de los primeros cinco días del mes junto con el </w:t>
      </w:r>
      <w:r w:rsidRPr="00DA5A8E">
        <w:rPr>
          <w:rFonts w:ascii="Arial Narrow" w:eastAsia="Calibri" w:hAnsi="Arial Narrow" w:cs="Times New Roman"/>
          <w:i/>
          <w:iCs/>
          <w:lang w:eastAsia="es-CR"/>
        </w:rPr>
        <w:t>“informe de inconsistencias”</w:t>
      </w:r>
      <w:r w:rsidRPr="00DA5A8E">
        <w:rPr>
          <w:rFonts w:ascii="Arial Narrow" w:eastAsia="Calibri" w:hAnsi="Arial Narrow" w:cs="Times New Roman"/>
          <w:lang w:eastAsia="es-CR"/>
        </w:rPr>
        <w:t xml:space="preserve">; que la información del reporte del módulo de pase a fallo </w:t>
      </w:r>
      <w:r w:rsidR="00751611" w:rsidRPr="00DA5A8E">
        <w:rPr>
          <w:rFonts w:ascii="Arial Narrow" w:eastAsia="Calibri" w:hAnsi="Arial Narrow" w:cs="Times New Roman"/>
          <w:lang w:eastAsia="es-CR"/>
        </w:rPr>
        <w:t xml:space="preserve">que se ubica en la plataforma Sigma en el reporte denominado </w:t>
      </w:r>
      <w:r w:rsidR="00751611" w:rsidRPr="00DA5A8E">
        <w:rPr>
          <w:rFonts w:ascii="Arial Narrow" w:eastAsia="Calibri" w:hAnsi="Arial Narrow" w:cs="Times New Roman"/>
          <w:i/>
          <w:iCs/>
          <w:lang w:eastAsia="es-CR"/>
        </w:rPr>
        <w:t>“Informe de pase a fallo”</w:t>
      </w:r>
      <w:r w:rsidR="00751611">
        <w:rPr>
          <w:rFonts w:ascii="Arial Narrow" w:eastAsia="Calibri" w:hAnsi="Arial Narrow" w:cs="Times New Roman"/>
          <w:i/>
          <w:iCs/>
          <w:lang w:eastAsia="es-CR"/>
        </w:rPr>
        <w:t>,</w:t>
      </w:r>
      <w:r w:rsidR="00751611" w:rsidRPr="00DA5A8E">
        <w:rPr>
          <w:rFonts w:ascii="Arial Narrow" w:eastAsia="Calibri" w:hAnsi="Arial Narrow" w:cs="Times New Roman"/>
          <w:i/>
          <w:iCs/>
          <w:lang w:eastAsia="es-CR"/>
        </w:rPr>
        <w:t xml:space="preserve"> </w:t>
      </w:r>
      <w:r w:rsidRPr="00DA5A8E">
        <w:rPr>
          <w:rFonts w:ascii="Arial Narrow" w:eastAsia="Calibri" w:hAnsi="Arial Narrow" w:cs="Times New Roman"/>
          <w:lang w:eastAsia="es-CR"/>
        </w:rPr>
        <w:t xml:space="preserve">es consistente, es decir, que la información que se genera en el Sigma es idéntica a la que registran en el libro de pase a fallo de “Excel” y remitir la certificación que lo acredite al Subproceso de Estadística de la Dirección de Planificación al correo </w:t>
      </w:r>
      <w:hyperlink r:id="rId8" w:history="1">
        <w:r w:rsidRPr="00DA5A8E">
          <w:rPr>
            <w:rFonts w:ascii="Arial Narrow" w:eastAsia="Arial Unicode MS" w:hAnsi="Arial Narrow" w:cs="Times New Roman"/>
            <w:color w:val="0000FF"/>
            <w:kern w:val="1"/>
            <w:u w:val="single"/>
            <w:lang w:val="es-ES_tradnl" w:eastAsia="es-CR"/>
          </w:rPr>
          <w:t>plani_estadistica_np@poder-judicial.go.cr</w:t>
        </w:r>
      </w:hyperlink>
      <w:r w:rsidRPr="00DA5A8E">
        <w:rPr>
          <w:rFonts w:ascii="Arial Narrow" w:eastAsia="Arial Unicode MS" w:hAnsi="Arial Narrow" w:cs="Times New Roman"/>
          <w:color w:val="0000FF"/>
          <w:kern w:val="1"/>
          <w:u w:val="single"/>
          <w:lang w:val="es-ES_tradnl" w:eastAsia="es-CR"/>
        </w:rPr>
        <w:t xml:space="preserve"> </w:t>
      </w:r>
      <w:r w:rsidRPr="00DA5A8E">
        <w:rPr>
          <w:rFonts w:ascii="Arial Narrow" w:eastAsia="Calibri" w:hAnsi="Arial Narrow" w:cs="Times New Roman"/>
          <w:lang w:eastAsia="es-CR"/>
        </w:rPr>
        <w:t>con copia al Centro de Apoyo, Coordinación y Mejoramiento de la Función Jurisdiccional</w:t>
      </w:r>
      <w:r w:rsidRPr="00DA5A8E">
        <w:rPr>
          <w:rFonts w:ascii="Arial Narrow" w:eastAsia="Arial Unicode MS" w:hAnsi="Arial Narrow" w:cs="Times New Roman"/>
          <w:color w:val="0000FF"/>
          <w:kern w:val="1"/>
          <w:lang w:val="es-ES_tradnl" w:eastAsia="es-CR"/>
        </w:rPr>
        <w:t xml:space="preserve"> </w:t>
      </w:r>
      <w:r w:rsidRPr="00DA5A8E">
        <w:rPr>
          <w:rFonts w:ascii="Arial Narrow" w:eastAsia="Calibri" w:hAnsi="Arial Narrow" w:cs="Times New Roman"/>
          <w:lang w:eastAsia="es-CR"/>
        </w:rPr>
        <w:t>al correo</w:t>
      </w:r>
      <w:r w:rsidRPr="00DA5A8E">
        <w:rPr>
          <w:rFonts w:ascii="Arial Narrow" w:eastAsia="Arial Unicode MS" w:hAnsi="Arial Narrow" w:cs="Times New Roman"/>
          <w:color w:val="0000FF"/>
          <w:kern w:val="1"/>
          <w:lang w:val="es-ES_tradnl" w:eastAsia="es-CR"/>
        </w:rPr>
        <w:t xml:space="preserve">  red-circulante@poder-judicial.go.cr </w:t>
      </w:r>
      <w:r w:rsidRPr="00DA5A8E">
        <w:rPr>
          <w:rFonts w:ascii="Arial Narrow" w:eastAsia="Calibri" w:hAnsi="Arial Narrow" w:cs="Times New Roman"/>
          <w:lang w:eastAsia="es-CR"/>
        </w:rPr>
        <w:t>junto con los indicadores de Gestión.</w:t>
      </w:r>
    </w:p>
    <w:p w:rsidR="00C357AF" w:rsidRPr="006D318C" w:rsidRDefault="00C357AF" w:rsidP="00D13330">
      <w:pPr>
        <w:widowControl w:val="0"/>
        <w:suppressAutoHyphens/>
        <w:spacing w:after="0" w:line="240" w:lineRule="auto"/>
        <w:ind w:firstLine="709"/>
        <w:jc w:val="both"/>
        <w:rPr>
          <w:rFonts w:ascii="Arial Narrow" w:eastAsia="Calibri" w:hAnsi="Arial Narrow" w:cs="Times New Roman"/>
          <w:highlight w:val="yellow"/>
          <w:lang w:eastAsia="es-CR"/>
        </w:rPr>
      </w:pPr>
    </w:p>
    <w:p w:rsidR="00C357AF" w:rsidRDefault="00C357AF" w:rsidP="00AD4B99">
      <w:pPr>
        <w:widowControl w:val="0"/>
        <w:suppressAutoHyphens/>
        <w:spacing w:after="0" w:line="240" w:lineRule="auto"/>
        <w:jc w:val="both"/>
        <w:rPr>
          <w:rFonts w:ascii="Arial Narrow" w:eastAsia="Calibri" w:hAnsi="Arial Narrow" w:cs="Times New Roman"/>
          <w:lang w:eastAsia="es-CR"/>
        </w:rPr>
      </w:pPr>
      <w:r w:rsidRPr="00DA5A8E">
        <w:rPr>
          <w:rFonts w:ascii="Arial Narrow" w:eastAsia="Calibri" w:hAnsi="Arial Narrow" w:cs="Times New Roman"/>
          <w:lang w:eastAsia="es-CR"/>
        </w:rPr>
        <w:t xml:space="preserve">Se incluye propuesta de formato para la certificación en el siguiente enlace: </w:t>
      </w:r>
    </w:p>
    <w:p w:rsidR="009B5B89" w:rsidRDefault="009B5B89" w:rsidP="00AD4B99">
      <w:pPr>
        <w:widowControl w:val="0"/>
        <w:suppressAutoHyphens/>
        <w:spacing w:after="0" w:line="240" w:lineRule="auto"/>
        <w:jc w:val="both"/>
        <w:rPr>
          <w:rFonts w:ascii="Arial Narrow" w:eastAsia="Calibri" w:hAnsi="Arial Narrow" w:cs="Times New Roman"/>
          <w:lang w:eastAsia="es-CR"/>
        </w:rPr>
      </w:pPr>
    </w:p>
    <w:tbl>
      <w:tblPr>
        <w:tblStyle w:val="Tablaconcuadrcula"/>
        <w:tblW w:w="0" w:type="auto"/>
        <w:jc w:val="center"/>
        <w:tblLook w:val="04A0" w:firstRow="1" w:lastRow="0" w:firstColumn="1" w:lastColumn="0" w:noHBand="0" w:noVBand="1"/>
      </w:tblPr>
      <w:tblGrid>
        <w:gridCol w:w="2323"/>
      </w:tblGrid>
      <w:tr w:rsidR="009B5B89" w:rsidTr="009B5B89">
        <w:trPr>
          <w:trHeight w:val="1905"/>
          <w:jc w:val="center"/>
        </w:trPr>
        <w:tc>
          <w:tcPr>
            <w:tcW w:w="2323" w:type="dxa"/>
            <w:vAlign w:val="center"/>
          </w:tcPr>
          <w:p w:rsidR="009B5B89" w:rsidRDefault="009B5B89" w:rsidP="009B5B89">
            <w:pPr>
              <w:widowControl w:val="0"/>
              <w:suppressAutoHyphens/>
              <w:jc w:val="center"/>
              <w:rPr>
                <w:rFonts w:ascii="Arial Narrow" w:eastAsia="Calibri" w:hAnsi="Arial Narrow" w:cs="Times New Roman"/>
                <w:lang w:eastAsia="es-CR"/>
              </w:rPr>
            </w:pPr>
          </w:p>
          <w:bookmarkStart w:id="0" w:name="_MON_1773582043"/>
          <w:bookmarkEnd w:id="0"/>
          <w:p w:rsidR="009B5B89" w:rsidRDefault="00D00939" w:rsidP="009B5B89">
            <w:pPr>
              <w:widowControl w:val="0"/>
              <w:suppressAutoHyphens/>
              <w:jc w:val="center"/>
              <w:rPr>
                <w:rFonts w:ascii="Arial Narrow" w:eastAsia="Calibri" w:hAnsi="Arial Narrow" w:cs="Times New Roman"/>
                <w:lang w:eastAsia="es-CR"/>
              </w:rPr>
            </w:pPr>
            <w:r>
              <w:rPr>
                <w:rFonts w:ascii="Arial Narrow" w:eastAsia="Calibri" w:hAnsi="Arial Narrow" w:cs="Times New Roman"/>
                <w:lang w:eastAsia="es-CR"/>
              </w:rPr>
              <w:object w:dxaOrig="1810" w:dyaOrig="1180" w14:anchorId="461DB8A4">
                <v:shape id="_x0000_i1026" type="#_x0000_t75" style="width:90.5pt;height:59pt" o:ole="">
                  <v:imagedata r:id="rId9" o:title=""/>
                </v:shape>
                <o:OLEObject Type="Embed" ProgID="Word.Document.8" ShapeID="_x0000_i1026" DrawAspect="Icon" ObjectID="_1809435343" r:id="rId10">
                  <o:FieldCodes>\s</o:FieldCodes>
                </o:OLEObject>
              </w:object>
            </w:r>
          </w:p>
          <w:p w:rsidR="009B5B89" w:rsidRDefault="009B5B89" w:rsidP="009B5B89">
            <w:pPr>
              <w:widowControl w:val="0"/>
              <w:suppressAutoHyphens/>
              <w:jc w:val="center"/>
              <w:rPr>
                <w:rFonts w:ascii="Arial Narrow" w:eastAsia="Calibri" w:hAnsi="Arial Narrow" w:cs="Times New Roman"/>
                <w:lang w:eastAsia="es-CR"/>
              </w:rPr>
            </w:pPr>
          </w:p>
        </w:tc>
      </w:tr>
    </w:tbl>
    <w:p w:rsidR="009B5B89" w:rsidRPr="00DA5A8E" w:rsidRDefault="009B5B89" w:rsidP="00AD4B99">
      <w:pPr>
        <w:widowControl w:val="0"/>
        <w:suppressAutoHyphens/>
        <w:spacing w:after="0" w:line="240" w:lineRule="auto"/>
        <w:jc w:val="both"/>
        <w:rPr>
          <w:rFonts w:ascii="Arial Narrow" w:eastAsia="Calibri" w:hAnsi="Arial Narrow" w:cs="Times New Roman"/>
          <w:lang w:eastAsia="es-CR"/>
        </w:rPr>
      </w:pPr>
    </w:p>
    <w:p w:rsidR="00D13330" w:rsidRDefault="00D13330" w:rsidP="00E72115">
      <w:pPr>
        <w:widowControl w:val="0"/>
        <w:suppressAutoHyphens/>
        <w:spacing w:after="0" w:line="240" w:lineRule="auto"/>
        <w:ind w:firstLine="709"/>
        <w:jc w:val="center"/>
        <w:rPr>
          <w:rFonts w:ascii="Arial Narrow" w:eastAsia="Calibri" w:hAnsi="Arial Narrow" w:cs="Times New Roman"/>
          <w:lang w:eastAsia="es-CR"/>
        </w:rPr>
      </w:pPr>
    </w:p>
    <w:p w:rsidR="00751611" w:rsidRDefault="00751611" w:rsidP="00E72115">
      <w:pPr>
        <w:widowControl w:val="0"/>
        <w:suppressAutoHyphens/>
        <w:spacing w:after="0" w:line="240" w:lineRule="auto"/>
        <w:ind w:firstLine="709"/>
        <w:jc w:val="center"/>
        <w:rPr>
          <w:rFonts w:ascii="Arial Narrow" w:eastAsia="Calibri" w:hAnsi="Arial Narrow" w:cs="Times New Roman"/>
          <w:lang w:eastAsia="es-CR"/>
        </w:rPr>
      </w:pPr>
    </w:p>
    <w:p w:rsidR="00751611" w:rsidRPr="00DA5A8E" w:rsidRDefault="00751611" w:rsidP="00751611">
      <w:pPr>
        <w:widowControl w:val="0"/>
        <w:numPr>
          <w:ilvl w:val="0"/>
          <w:numId w:val="1"/>
        </w:numPr>
        <w:suppressAutoHyphens/>
        <w:spacing w:after="0" w:line="240" w:lineRule="auto"/>
        <w:ind w:left="0" w:firstLine="709"/>
        <w:jc w:val="both"/>
        <w:rPr>
          <w:rFonts w:ascii="Arial Narrow" w:eastAsia="Calibri" w:hAnsi="Arial Narrow" w:cs="Times New Roman"/>
          <w:lang w:eastAsia="es-CR"/>
        </w:rPr>
      </w:pPr>
      <w:r w:rsidRPr="00DA5A8E">
        <w:rPr>
          <w:rFonts w:ascii="Arial Narrow" w:eastAsia="Calibri" w:hAnsi="Arial Narrow" w:cs="Times New Roman"/>
          <w:lang w:eastAsia="es-CR"/>
        </w:rPr>
        <w:t xml:space="preserve">En caso de requerir nuevamente capacitación tanto en el módulo de pase a fallo deben las oficinas coordinarlo directamente con la Dirección de Tecnología de la Información y las Comunicaciones (DTIC) y solicitarla a través del reporte en GIS correspondiente.  </w:t>
      </w:r>
    </w:p>
    <w:p w:rsidR="00751611" w:rsidRPr="00DA5A8E" w:rsidRDefault="00751611" w:rsidP="00E72115">
      <w:pPr>
        <w:widowControl w:val="0"/>
        <w:suppressAutoHyphens/>
        <w:spacing w:after="0" w:line="240" w:lineRule="auto"/>
        <w:ind w:firstLine="709"/>
        <w:jc w:val="center"/>
        <w:rPr>
          <w:rFonts w:ascii="Arial Narrow" w:eastAsia="Calibri" w:hAnsi="Arial Narrow" w:cs="Times New Roman"/>
          <w:lang w:eastAsia="es-CR"/>
        </w:rPr>
      </w:pPr>
    </w:p>
    <w:p w:rsidR="00D13330" w:rsidRPr="006D318C" w:rsidRDefault="00D13330" w:rsidP="00D13330">
      <w:pPr>
        <w:pStyle w:val="NormalWeb"/>
        <w:spacing w:before="0" w:beforeAutospacing="0" w:after="0" w:afterAutospacing="0"/>
        <w:ind w:firstLine="709"/>
        <w:jc w:val="both"/>
        <w:rPr>
          <w:rFonts w:ascii="Arial Narrow" w:hAnsi="Arial Narrow"/>
          <w:highlight w:val="yellow"/>
        </w:rPr>
      </w:pPr>
    </w:p>
    <w:p w:rsidR="00C357AF" w:rsidRPr="00DA5A8E" w:rsidRDefault="00C357AF" w:rsidP="00D13330">
      <w:pPr>
        <w:widowControl w:val="0"/>
        <w:numPr>
          <w:ilvl w:val="0"/>
          <w:numId w:val="1"/>
        </w:numPr>
        <w:suppressAutoHyphens/>
        <w:spacing w:after="0" w:line="240" w:lineRule="auto"/>
        <w:ind w:left="0" w:firstLine="709"/>
        <w:jc w:val="both"/>
        <w:rPr>
          <w:rFonts w:ascii="Arial Narrow" w:eastAsia="Calibri" w:hAnsi="Arial Narrow" w:cs="Times New Roman"/>
          <w:lang w:eastAsia="es-CR"/>
        </w:rPr>
      </w:pPr>
      <w:r w:rsidRPr="00DA5A8E">
        <w:rPr>
          <w:rFonts w:ascii="Arial Narrow" w:eastAsia="Calibri" w:hAnsi="Arial Narrow" w:cs="Times New Roman"/>
          <w:lang w:eastAsia="es-CR"/>
        </w:rPr>
        <w:t>La persona coordinadora judicial debe</w:t>
      </w:r>
      <w:r w:rsidR="009B5B89">
        <w:rPr>
          <w:rFonts w:ascii="Arial Narrow" w:eastAsia="Calibri" w:hAnsi="Arial Narrow" w:cs="Times New Roman"/>
          <w:lang w:eastAsia="es-CR"/>
        </w:rPr>
        <w:t>rá revisar que se mantengan todos los expedientes en alguna de las tareas de pase a fallo habilitadas para el Tribunal Agrario.</w:t>
      </w:r>
    </w:p>
    <w:p w:rsidR="00C357AF" w:rsidRPr="006D318C" w:rsidRDefault="00C357AF" w:rsidP="00D13330">
      <w:pPr>
        <w:widowControl w:val="0"/>
        <w:suppressAutoHyphens/>
        <w:spacing w:after="0" w:line="240" w:lineRule="auto"/>
        <w:ind w:firstLine="709"/>
        <w:jc w:val="both"/>
        <w:rPr>
          <w:rFonts w:ascii="Arial Narrow" w:eastAsia="Calibri" w:hAnsi="Arial Narrow" w:cs="Times New Roman"/>
          <w:highlight w:val="yellow"/>
          <w:lang w:eastAsia="es-CR"/>
        </w:rPr>
      </w:pPr>
    </w:p>
    <w:tbl>
      <w:tblPr>
        <w:tblW w:w="8532" w:type="dxa"/>
        <w:tblCellMar>
          <w:top w:w="15" w:type="dxa"/>
          <w:left w:w="70" w:type="dxa"/>
          <w:right w:w="70" w:type="dxa"/>
        </w:tblCellMar>
        <w:tblLook w:val="04A0" w:firstRow="1" w:lastRow="0" w:firstColumn="1" w:lastColumn="0" w:noHBand="0" w:noVBand="1"/>
      </w:tblPr>
      <w:tblGrid>
        <w:gridCol w:w="5674"/>
        <w:gridCol w:w="2698"/>
        <w:gridCol w:w="160"/>
      </w:tblGrid>
      <w:tr w:rsidR="009B5B89" w:rsidRPr="005B619A" w:rsidTr="00622D78">
        <w:trPr>
          <w:trHeight w:val="47"/>
        </w:trPr>
        <w:tc>
          <w:tcPr>
            <w:tcW w:w="5674" w:type="dxa"/>
            <w:tcBorders>
              <w:top w:val="single" w:sz="4" w:space="0" w:color="auto"/>
              <w:left w:val="single" w:sz="4" w:space="0" w:color="000000"/>
              <w:bottom w:val="single" w:sz="4" w:space="0" w:color="auto"/>
              <w:right w:val="single" w:sz="8" w:space="0" w:color="FFFFFF"/>
            </w:tcBorders>
            <w:shd w:val="clear" w:color="auto" w:fill="1F4E79" w:themeFill="accent5" w:themeFillShade="80"/>
            <w:vAlign w:val="center"/>
            <w:hideMark/>
          </w:tcPr>
          <w:p w:rsidR="009B5B89" w:rsidRPr="005B619A" w:rsidRDefault="00622D78" w:rsidP="00E80F1A">
            <w:pPr>
              <w:spacing w:after="0"/>
              <w:jc w:val="center"/>
              <w:rPr>
                <w:rFonts w:ascii="Book Antiqua" w:hAnsi="Book Antiqua" w:cs="Calibri"/>
                <w:b/>
                <w:bCs/>
                <w:color w:val="FFFFFF"/>
                <w:lang w:val="es-419" w:eastAsia="es-419"/>
              </w:rPr>
            </w:pPr>
            <w:r>
              <w:rPr>
                <w:rFonts w:ascii="Book Antiqua" w:hAnsi="Book Antiqua" w:cs="Calibri"/>
                <w:b/>
                <w:bCs/>
                <w:color w:val="FFFFFF"/>
                <w:lang w:val="es-419" w:eastAsia="es-419"/>
              </w:rPr>
              <w:t>Tarea</w:t>
            </w:r>
          </w:p>
        </w:tc>
        <w:tc>
          <w:tcPr>
            <w:tcW w:w="2698" w:type="dxa"/>
            <w:tcBorders>
              <w:top w:val="single" w:sz="4" w:space="0" w:color="auto"/>
              <w:left w:val="single" w:sz="8" w:space="0" w:color="FFFFFF"/>
              <w:bottom w:val="single" w:sz="4" w:space="0" w:color="auto"/>
              <w:right w:val="single" w:sz="8" w:space="0" w:color="FFFFFF"/>
            </w:tcBorders>
            <w:shd w:val="clear" w:color="auto" w:fill="1F4E79" w:themeFill="accent5" w:themeFillShade="80"/>
            <w:vAlign w:val="center"/>
            <w:hideMark/>
          </w:tcPr>
          <w:p w:rsidR="009B5B89" w:rsidRPr="005B619A" w:rsidRDefault="00622D78" w:rsidP="00E80F1A">
            <w:pPr>
              <w:spacing w:after="0"/>
              <w:jc w:val="center"/>
              <w:rPr>
                <w:rFonts w:ascii="Book Antiqua" w:hAnsi="Book Antiqua" w:cs="Calibri"/>
                <w:b/>
                <w:bCs/>
                <w:color w:val="FFFFFF"/>
                <w:lang w:val="es-419" w:eastAsia="es-419"/>
              </w:rPr>
            </w:pPr>
            <w:r>
              <w:rPr>
                <w:rFonts w:ascii="Book Antiqua" w:hAnsi="Book Antiqua" w:cs="Calibri"/>
                <w:b/>
                <w:bCs/>
                <w:color w:val="FFFFFF"/>
                <w:lang w:val="es-419" w:eastAsia="es-419"/>
              </w:rPr>
              <w:t>Plazo en días hábiles</w:t>
            </w:r>
          </w:p>
        </w:tc>
        <w:tc>
          <w:tcPr>
            <w:tcW w:w="160" w:type="dxa"/>
            <w:tcBorders>
              <w:top w:val="nil"/>
              <w:left w:val="nil"/>
              <w:bottom w:val="nil"/>
              <w:right w:val="nil"/>
            </w:tcBorders>
            <w:shd w:val="clear" w:color="auto" w:fill="auto"/>
            <w:noWrap/>
            <w:vAlign w:val="bottom"/>
            <w:hideMark/>
          </w:tcPr>
          <w:p w:rsidR="009B5B89" w:rsidRPr="005B619A" w:rsidRDefault="009B5B89" w:rsidP="00E80F1A">
            <w:pPr>
              <w:spacing w:after="0" w:line="0" w:lineRule="atLeast"/>
              <w:rPr>
                <w:rFonts w:ascii="Book Antiqua" w:hAnsi="Book Antiqua" w:cs="Calibri"/>
                <w:b/>
                <w:bCs/>
                <w:color w:val="FFFFFF"/>
                <w:lang w:eastAsia="es-419"/>
              </w:rPr>
            </w:pPr>
          </w:p>
        </w:tc>
      </w:tr>
      <w:tr w:rsidR="009B5B89" w:rsidRPr="005B619A" w:rsidTr="009B5B89">
        <w:trPr>
          <w:trHeight w:val="19"/>
        </w:trPr>
        <w:tc>
          <w:tcPr>
            <w:tcW w:w="567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Exp. Listo para fallo- ordinario</w:t>
            </w:r>
            <w:r w:rsidRPr="005B619A">
              <w:rPr>
                <w:rFonts w:ascii="Times New Roman" w:hAnsi="Times New Roman" w:cs="Times New Roman"/>
                <w:color w:val="000000"/>
                <w:lang w:eastAsia="es-419"/>
              </w:rPr>
              <w:t>​</w:t>
            </w:r>
          </w:p>
        </w:tc>
        <w:tc>
          <w:tcPr>
            <w:tcW w:w="269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AA136D" w:rsidRDefault="00622D78" w:rsidP="00E80F1A">
            <w:pPr>
              <w:spacing w:after="0"/>
              <w:jc w:val="center"/>
              <w:rPr>
                <w:rFonts w:ascii="Book Antiqua" w:hAnsi="Book Antiqua" w:cs="Calibri"/>
                <w:color w:val="000000"/>
                <w:highlight w:val="yellow"/>
                <w:lang w:val="es-419" w:eastAsia="es-419"/>
              </w:rPr>
            </w:pPr>
            <w:r w:rsidRPr="005B619A">
              <w:rPr>
                <w:rFonts w:ascii="Book Antiqua" w:hAnsi="Book Antiqua" w:cs="Calibri"/>
                <w:color w:val="000000"/>
                <w:lang w:eastAsia="es-419"/>
              </w:rPr>
              <w:t>22 días hábiles</w:t>
            </w:r>
            <w:r w:rsidRPr="005B619A">
              <w:rPr>
                <w:rFonts w:ascii="Times New Roman" w:hAnsi="Times New Roman" w:cs="Times New Roman"/>
                <w:color w:val="000000"/>
                <w:lang w:eastAsia="es-419"/>
              </w:rPr>
              <w:t>​</w:t>
            </w:r>
          </w:p>
        </w:tc>
        <w:tc>
          <w:tcPr>
            <w:tcW w:w="160" w:type="dxa"/>
            <w:tcBorders>
              <w:left w:val="single" w:sz="4" w:space="0" w:color="auto"/>
            </w:tcBorders>
            <w:vAlign w:val="center"/>
            <w:hideMark/>
          </w:tcPr>
          <w:p w:rsidR="009B5B89" w:rsidRPr="005B619A" w:rsidRDefault="009B5B89" w:rsidP="00E80F1A">
            <w:pPr>
              <w:spacing w:after="0"/>
              <w:rPr>
                <w:rFonts w:ascii="Book Antiqua" w:hAnsi="Book Antiqua"/>
                <w:lang w:val="es-419" w:eastAsia="es-419"/>
              </w:rPr>
            </w:pPr>
          </w:p>
        </w:tc>
      </w:tr>
      <w:tr w:rsidR="009B5B89" w:rsidRPr="005B619A" w:rsidTr="009B5B89">
        <w:trPr>
          <w:trHeight w:val="52"/>
        </w:trPr>
        <w:tc>
          <w:tcPr>
            <w:tcW w:w="567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269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160" w:type="dxa"/>
            <w:tcBorders>
              <w:top w:val="nil"/>
              <w:left w:val="single" w:sz="4" w:space="0" w:color="auto"/>
              <w:bottom w:val="nil"/>
              <w:right w:val="nil"/>
            </w:tcBorders>
            <w:shd w:val="clear" w:color="auto" w:fill="auto"/>
            <w:noWrap/>
            <w:vAlign w:val="bottom"/>
            <w:hideMark/>
          </w:tcPr>
          <w:p w:rsidR="009B5B89" w:rsidRPr="005B619A" w:rsidRDefault="009B5B89" w:rsidP="00E80F1A">
            <w:pPr>
              <w:spacing w:after="0" w:line="0" w:lineRule="atLeast"/>
              <w:rPr>
                <w:rFonts w:ascii="Book Antiqua" w:hAnsi="Book Antiqua" w:cs="Calibri"/>
                <w:color w:val="000000"/>
                <w:lang w:eastAsia="es-419"/>
              </w:rPr>
            </w:pPr>
          </w:p>
        </w:tc>
      </w:tr>
      <w:tr w:rsidR="009B5B89" w:rsidRPr="005B619A" w:rsidTr="009B5B89">
        <w:trPr>
          <w:trHeight w:val="19"/>
        </w:trPr>
        <w:tc>
          <w:tcPr>
            <w:tcW w:w="567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Exp. Listo para fallo- apelación por inadmisión</w:t>
            </w:r>
            <w:r w:rsidRPr="005B619A">
              <w:rPr>
                <w:rFonts w:ascii="Times New Roman" w:hAnsi="Times New Roman" w:cs="Times New Roman"/>
                <w:color w:val="000000"/>
                <w:lang w:eastAsia="es-419"/>
              </w:rPr>
              <w:t>​</w:t>
            </w:r>
          </w:p>
        </w:tc>
        <w:tc>
          <w:tcPr>
            <w:tcW w:w="269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22 días hábiles</w:t>
            </w:r>
            <w:r w:rsidRPr="005B619A">
              <w:rPr>
                <w:rFonts w:ascii="Times New Roman" w:hAnsi="Times New Roman" w:cs="Times New Roman"/>
                <w:color w:val="000000"/>
                <w:lang w:eastAsia="es-419"/>
              </w:rPr>
              <w:t>​</w:t>
            </w:r>
          </w:p>
        </w:tc>
        <w:tc>
          <w:tcPr>
            <w:tcW w:w="160" w:type="dxa"/>
            <w:tcBorders>
              <w:left w:val="single" w:sz="4" w:space="0" w:color="auto"/>
            </w:tcBorders>
            <w:vAlign w:val="center"/>
            <w:hideMark/>
          </w:tcPr>
          <w:p w:rsidR="009B5B89" w:rsidRPr="005B619A" w:rsidRDefault="009B5B89" w:rsidP="00E80F1A">
            <w:pPr>
              <w:spacing w:after="0"/>
              <w:rPr>
                <w:rFonts w:ascii="Book Antiqua" w:hAnsi="Book Antiqua"/>
                <w:lang w:val="es-419" w:eastAsia="es-419"/>
              </w:rPr>
            </w:pPr>
          </w:p>
        </w:tc>
      </w:tr>
      <w:tr w:rsidR="009B5B89" w:rsidRPr="005B619A" w:rsidTr="009B5B89">
        <w:trPr>
          <w:trHeight w:val="19"/>
        </w:trPr>
        <w:tc>
          <w:tcPr>
            <w:tcW w:w="567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269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160" w:type="dxa"/>
            <w:tcBorders>
              <w:top w:val="nil"/>
              <w:left w:val="single" w:sz="4" w:space="0" w:color="auto"/>
              <w:bottom w:val="nil"/>
              <w:right w:val="nil"/>
            </w:tcBorders>
            <w:shd w:val="clear" w:color="auto" w:fill="auto"/>
            <w:noWrap/>
            <w:vAlign w:val="bottom"/>
            <w:hideMark/>
          </w:tcPr>
          <w:p w:rsidR="009B5B89" w:rsidRPr="005B619A" w:rsidRDefault="009B5B89" w:rsidP="00E80F1A">
            <w:pPr>
              <w:spacing w:after="0" w:line="0" w:lineRule="atLeast"/>
              <w:rPr>
                <w:rFonts w:ascii="Book Antiqua" w:hAnsi="Book Antiqua" w:cs="Calibri"/>
                <w:color w:val="000000"/>
                <w:lang w:eastAsia="es-419"/>
              </w:rPr>
            </w:pPr>
          </w:p>
        </w:tc>
      </w:tr>
      <w:tr w:rsidR="009B5B89" w:rsidRPr="005B619A" w:rsidTr="009B5B89">
        <w:trPr>
          <w:trHeight w:val="19"/>
        </w:trPr>
        <w:tc>
          <w:tcPr>
            <w:tcW w:w="567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Exp. Listo para fallo-apelación sin agravios</w:t>
            </w:r>
            <w:r w:rsidRPr="005B619A">
              <w:rPr>
                <w:rFonts w:ascii="Times New Roman" w:hAnsi="Times New Roman" w:cs="Times New Roman"/>
                <w:color w:val="000000"/>
                <w:lang w:eastAsia="es-419"/>
              </w:rPr>
              <w:t>​</w:t>
            </w:r>
          </w:p>
        </w:tc>
        <w:tc>
          <w:tcPr>
            <w:tcW w:w="269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22 días hábiles</w:t>
            </w:r>
            <w:r w:rsidRPr="005B619A">
              <w:rPr>
                <w:rFonts w:ascii="Times New Roman" w:hAnsi="Times New Roman" w:cs="Times New Roman"/>
                <w:color w:val="000000"/>
                <w:lang w:eastAsia="es-419"/>
              </w:rPr>
              <w:t>​</w:t>
            </w:r>
          </w:p>
        </w:tc>
        <w:tc>
          <w:tcPr>
            <w:tcW w:w="160" w:type="dxa"/>
            <w:tcBorders>
              <w:left w:val="single" w:sz="4" w:space="0" w:color="auto"/>
            </w:tcBorders>
            <w:vAlign w:val="center"/>
            <w:hideMark/>
          </w:tcPr>
          <w:p w:rsidR="009B5B89" w:rsidRPr="005B619A" w:rsidRDefault="009B5B89" w:rsidP="00E80F1A">
            <w:pPr>
              <w:spacing w:after="0"/>
              <w:rPr>
                <w:rFonts w:ascii="Book Antiqua" w:hAnsi="Book Antiqua"/>
                <w:lang w:val="es-419" w:eastAsia="es-419"/>
              </w:rPr>
            </w:pPr>
          </w:p>
        </w:tc>
      </w:tr>
      <w:tr w:rsidR="009B5B89" w:rsidRPr="005B619A" w:rsidTr="009B5B89">
        <w:trPr>
          <w:trHeight w:val="19"/>
        </w:trPr>
        <w:tc>
          <w:tcPr>
            <w:tcW w:w="567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269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160" w:type="dxa"/>
            <w:tcBorders>
              <w:top w:val="nil"/>
              <w:left w:val="single" w:sz="4" w:space="0" w:color="auto"/>
              <w:bottom w:val="nil"/>
              <w:right w:val="nil"/>
            </w:tcBorders>
            <w:shd w:val="clear" w:color="auto" w:fill="auto"/>
            <w:noWrap/>
            <w:vAlign w:val="bottom"/>
            <w:hideMark/>
          </w:tcPr>
          <w:p w:rsidR="009B5B89" w:rsidRPr="005B619A" w:rsidRDefault="009B5B89" w:rsidP="00E80F1A">
            <w:pPr>
              <w:spacing w:after="0" w:line="0" w:lineRule="atLeast"/>
              <w:rPr>
                <w:rFonts w:ascii="Book Antiqua" w:hAnsi="Book Antiqua" w:cs="Calibri"/>
                <w:color w:val="000000"/>
                <w:lang w:eastAsia="es-419"/>
              </w:rPr>
            </w:pPr>
          </w:p>
        </w:tc>
      </w:tr>
      <w:tr w:rsidR="009B5B89" w:rsidRPr="005B619A" w:rsidTr="009B5B89">
        <w:trPr>
          <w:trHeight w:val="19"/>
        </w:trPr>
        <w:tc>
          <w:tcPr>
            <w:tcW w:w="567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Exp. Listo para fallo-competencias</w:t>
            </w:r>
            <w:r w:rsidRPr="005B619A">
              <w:rPr>
                <w:rFonts w:ascii="Times New Roman" w:hAnsi="Times New Roman" w:cs="Times New Roman"/>
                <w:color w:val="000000"/>
                <w:lang w:eastAsia="es-419"/>
              </w:rPr>
              <w:t>​</w:t>
            </w:r>
          </w:p>
        </w:tc>
        <w:tc>
          <w:tcPr>
            <w:tcW w:w="269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22 días hábiles</w:t>
            </w:r>
            <w:r w:rsidRPr="005B619A">
              <w:rPr>
                <w:rFonts w:ascii="Times New Roman" w:hAnsi="Times New Roman" w:cs="Times New Roman"/>
                <w:color w:val="000000"/>
                <w:lang w:eastAsia="es-419"/>
              </w:rPr>
              <w:t>​</w:t>
            </w:r>
          </w:p>
        </w:tc>
        <w:tc>
          <w:tcPr>
            <w:tcW w:w="160" w:type="dxa"/>
            <w:tcBorders>
              <w:left w:val="single" w:sz="4" w:space="0" w:color="auto"/>
            </w:tcBorders>
            <w:vAlign w:val="center"/>
            <w:hideMark/>
          </w:tcPr>
          <w:p w:rsidR="009B5B89" w:rsidRPr="005B619A" w:rsidRDefault="009B5B89" w:rsidP="00E80F1A">
            <w:pPr>
              <w:spacing w:after="0"/>
              <w:rPr>
                <w:rFonts w:ascii="Book Antiqua" w:hAnsi="Book Antiqua"/>
                <w:lang w:val="es-419" w:eastAsia="es-419"/>
              </w:rPr>
            </w:pPr>
          </w:p>
        </w:tc>
      </w:tr>
      <w:tr w:rsidR="009B5B89" w:rsidRPr="005B619A" w:rsidTr="009B5B89">
        <w:trPr>
          <w:trHeight w:val="19"/>
        </w:trPr>
        <w:tc>
          <w:tcPr>
            <w:tcW w:w="567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269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160" w:type="dxa"/>
            <w:tcBorders>
              <w:top w:val="nil"/>
              <w:left w:val="single" w:sz="4" w:space="0" w:color="auto"/>
              <w:bottom w:val="nil"/>
              <w:right w:val="nil"/>
            </w:tcBorders>
            <w:shd w:val="clear" w:color="auto" w:fill="auto"/>
            <w:noWrap/>
            <w:vAlign w:val="bottom"/>
            <w:hideMark/>
          </w:tcPr>
          <w:p w:rsidR="009B5B89" w:rsidRPr="005B619A" w:rsidRDefault="009B5B89" w:rsidP="00E80F1A">
            <w:pPr>
              <w:spacing w:after="0" w:line="0" w:lineRule="atLeast"/>
              <w:rPr>
                <w:rFonts w:ascii="Book Antiqua" w:hAnsi="Book Antiqua" w:cs="Calibri"/>
                <w:color w:val="000000"/>
                <w:lang w:eastAsia="es-419"/>
              </w:rPr>
            </w:pPr>
          </w:p>
        </w:tc>
      </w:tr>
      <w:tr w:rsidR="009B5B89" w:rsidRPr="005B619A" w:rsidTr="009B5B89">
        <w:trPr>
          <w:trHeight w:val="19"/>
        </w:trPr>
        <w:tc>
          <w:tcPr>
            <w:tcW w:w="567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Exp. Listo para fallo- resoluciones interlocutorias</w:t>
            </w:r>
            <w:r w:rsidRPr="005B619A">
              <w:rPr>
                <w:rFonts w:ascii="Times New Roman" w:hAnsi="Times New Roman" w:cs="Times New Roman"/>
                <w:color w:val="000000"/>
                <w:lang w:eastAsia="es-419"/>
              </w:rPr>
              <w:t>​</w:t>
            </w:r>
          </w:p>
        </w:tc>
        <w:tc>
          <w:tcPr>
            <w:tcW w:w="269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22 días hábiles</w:t>
            </w:r>
            <w:r w:rsidRPr="005B619A">
              <w:rPr>
                <w:rFonts w:ascii="Times New Roman" w:hAnsi="Times New Roman" w:cs="Times New Roman"/>
                <w:color w:val="000000"/>
                <w:lang w:eastAsia="es-419"/>
              </w:rPr>
              <w:t>​</w:t>
            </w:r>
          </w:p>
        </w:tc>
        <w:tc>
          <w:tcPr>
            <w:tcW w:w="160" w:type="dxa"/>
            <w:tcBorders>
              <w:left w:val="single" w:sz="4" w:space="0" w:color="auto"/>
            </w:tcBorders>
            <w:vAlign w:val="center"/>
            <w:hideMark/>
          </w:tcPr>
          <w:p w:rsidR="009B5B89" w:rsidRPr="005B619A" w:rsidRDefault="009B5B89" w:rsidP="00E80F1A">
            <w:pPr>
              <w:spacing w:after="0"/>
              <w:rPr>
                <w:rFonts w:ascii="Book Antiqua" w:hAnsi="Book Antiqua"/>
                <w:lang w:val="es-419" w:eastAsia="es-419"/>
              </w:rPr>
            </w:pPr>
          </w:p>
        </w:tc>
      </w:tr>
      <w:tr w:rsidR="009B5B89" w:rsidRPr="005B619A" w:rsidTr="009B5B89">
        <w:trPr>
          <w:trHeight w:val="19"/>
        </w:trPr>
        <w:tc>
          <w:tcPr>
            <w:tcW w:w="567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269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160" w:type="dxa"/>
            <w:tcBorders>
              <w:top w:val="nil"/>
              <w:left w:val="single" w:sz="4" w:space="0" w:color="auto"/>
              <w:bottom w:val="nil"/>
              <w:right w:val="nil"/>
            </w:tcBorders>
            <w:shd w:val="clear" w:color="auto" w:fill="auto"/>
            <w:noWrap/>
            <w:vAlign w:val="bottom"/>
            <w:hideMark/>
          </w:tcPr>
          <w:p w:rsidR="009B5B89" w:rsidRPr="005B619A" w:rsidRDefault="009B5B89" w:rsidP="00E80F1A">
            <w:pPr>
              <w:spacing w:after="0" w:line="0" w:lineRule="atLeast"/>
              <w:rPr>
                <w:rFonts w:ascii="Book Antiqua" w:hAnsi="Book Antiqua" w:cs="Calibri"/>
                <w:color w:val="000000"/>
                <w:lang w:eastAsia="es-419"/>
              </w:rPr>
            </w:pPr>
          </w:p>
        </w:tc>
      </w:tr>
      <w:tr w:rsidR="009B5B89" w:rsidRPr="005B619A" w:rsidTr="009B5B89">
        <w:trPr>
          <w:trHeight w:val="19"/>
        </w:trPr>
        <w:tc>
          <w:tcPr>
            <w:tcW w:w="567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Exp. Listo para fallo- apelación de sentencia</w:t>
            </w:r>
            <w:r w:rsidRPr="005B619A">
              <w:rPr>
                <w:rFonts w:ascii="Times New Roman" w:hAnsi="Times New Roman" w:cs="Times New Roman"/>
                <w:color w:val="000000"/>
                <w:lang w:eastAsia="es-419"/>
              </w:rPr>
              <w:t>​</w:t>
            </w:r>
          </w:p>
        </w:tc>
        <w:tc>
          <w:tcPr>
            <w:tcW w:w="269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22 días hábiles</w:t>
            </w:r>
            <w:r w:rsidRPr="005B619A">
              <w:rPr>
                <w:rFonts w:ascii="Times New Roman" w:hAnsi="Times New Roman" w:cs="Times New Roman"/>
                <w:color w:val="000000"/>
                <w:lang w:eastAsia="es-419"/>
              </w:rPr>
              <w:t>​</w:t>
            </w:r>
          </w:p>
        </w:tc>
        <w:tc>
          <w:tcPr>
            <w:tcW w:w="160" w:type="dxa"/>
            <w:tcBorders>
              <w:left w:val="single" w:sz="4" w:space="0" w:color="auto"/>
            </w:tcBorders>
            <w:vAlign w:val="center"/>
            <w:hideMark/>
          </w:tcPr>
          <w:p w:rsidR="009B5B89" w:rsidRPr="005B619A" w:rsidRDefault="009B5B89" w:rsidP="00E80F1A">
            <w:pPr>
              <w:spacing w:after="0"/>
              <w:rPr>
                <w:rFonts w:ascii="Book Antiqua" w:hAnsi="Book Antiqua"/>
                <w:lang w:val="es-419" w:eastAsia="es-419"/>
              </w:rPr>
            </w:pPr>
          </w:p>
        </w:tc>
      </w:tr>
      <w:tr w:rsidR="009B5B89" w:rsidRPr="005B619A" w:rsidTr="009B5B89">
        <w:trPr>
          <w:trHeight w:val="19"/>
        </w:trPr>
        <w:tc>
          <w:tcPr>
            <w:tcW w:w="567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269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160" w:type="dxa"/>
            <w:tcBorders>
              <w:top w:val="nil"/>
              <w:left w:val="single" w:sz="4" w:space="0" w:color="auto"/>
              <w:bottom w:val="nil"/>
              <w:right w:val="nil"/>
            </w:tcBorders>
            <w:shd w:val="clear" w:color="auto" w:fill="auto"/>
            <w:noWrap/>
            <w:vAlign w:val="bottom"/>
            <w:hideMark/>
          </w:tcPr>
          <w:p w:rsidR="009B5B89" w:rsidRPr="005B619A" w:rsidRDefault="009B5B89" w:rsidP="00E80F1A">
            <w:pPr>
              <w:spacing w:after="0" w:line="0" w:lineRule="atLeast"/>
              <w:rPr>
                <w:rFonts w:ascii="Book Antiqua" w:hAnsi="Book Antiqua" w:cs="Calibri"/>
                <w:color w:val="000000"/>
                <w:lang w:eastAsia="es-419"/>
              </w:rPr>
            </w:pPr>
          </w:p>
        </w:tc>
      </w:tr>
      <w:tr w:rsidR="009B5B89" w:rsidRPr="005B619A" w:rsidTr="009B5B89">
        <w:trPr>
          <w:trHeight w:val="19"/>
        </w:trPr>
        <w:tc>
          <w:tcPr>
            <w:tcW w:w="567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Exp. Listo para fallo-ejecución</w:t>
            </w:r>
            <w:r w:rsidRPr="005B619A">
              <w:rPr>
                <w:rFonts w:ascii="Times New Roman" w:hAnsi="Times New Roman" w:cs="Times New Roman"/>
                <w:color w:val="000000"/>
                <w:lang w:eastAsia="es-419"/>
              </w:rPr>
              <w:t>​</w:t>
            </w:r>
          </w:p>
        </w:tc>
        <w:tc>
          <w:tcPr>
            <w:tcW w:w="269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22 días hábiles</w:t>
            </w:r>
            <w:r w:rsidRPr="005B619A">
              <w:rPr>
                <w:rFonts w:ascii="Times New Roman" w:hAnsi="Times New Roman" w:cs="Times New Roman"/>
                <w:color w:val="000000"/>
                <w:lang w:eastAsia="es-419"/>
              </w:rPr>
              <w:t>​</w:t>
            </w:r>
          </w:p>
        </w:tc>
        <w:tc>
          <w:tcPr>
            <w:tcW w:w="160" w:type="dxa"/>
            <w:tcBorders>
              <w:left w:val="single" w:sz="4" w:space="0" w:color="auto"/>
            </w:tcBorders>
            <w:vAlign w:val="center"/>
            <w:hideMark/>
          </w:tcPr>
          <w:p w:rsidR="009B5B89" w:rsidRPr="005B619A" w:rsidRDefault="009B5B89" w:rsidP="00E80F1A">
            <w:pPr>
              <w:spacing w:after="0"/>
              <w:rPr>
                <w:rFonts w:ascii="Book Antiqua" w:hAnsi="Book Antiqua"/>
                <w:lang w:val="es-419" w:eastAsia="es-419"/>
              </w:rPr>
            </w:pPr>
          </w:p>
        </w:tc>
      </w:tr>
      <w:tr w:rsidR="009B5B89" w:rsidRPr="005B619A" w:rsidTr="009B5B89">
        <w:trPr>
          <w:trHeight w:val="19"/>
        </w:trPr>
        <w:tc>
          <w:tcPr>
            <w:tcW w:w="567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269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160" w:type="dxa"/>
            <w:tcBorders>
              <w:top w:val="nil"/>
              <w:left w:val="single" w:sz="4" w:space="0" w:color="auto"/>
              <w:bottom w:val="nil"/>
              <w:right w:val="nil"/>
            </w:tcBorders>
            <w:shd w:val="clear" w:color="auto" w:fill="auto"/>
            <w:noWrap/>
            <w:vAlign w:val="bottom"/>
            <w:hideMark/>
          </w:tcPr>
          <w:p w:rsidR="009B5B89" w:rsidRPr="005B619A" w:rsidRDefault="009B5B89" w:rsidP="00E80F1A">
            <w:pPr>
              <w:spacing w:after="0" w:line="0" w:lineRule="atLeast"/>
              <w:rPr>
                <w:rFonts w:ascii="Book Antiqua" w:hAnsi="Book Antiqua" w:cs="Calibri"/>
                <w:color w:val="000000"/>
                <w:lang w:eastAsia="es-419"/>
              </w:rPr>
            </w:pPr>
          </w:p>
        </w:tc>
      </w:tr>
      <w:tr w:rsidR="009B5B89" w:rsidRPr="005B619A" w:rsidTr="009B5B89">
        <w:trPr>
          <w:trHeight w:val="19"/>
        </w:trPr>
        <w:tc>
          <w:tcPr>
            <w:tcW w:w="567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Exp. Listo para fallo- procesos ejecutivos</w:t>
            </w:r>
            <w:r w:rsidRPr="005B619A">
              <w:rPr>
                <w:rFonts w:ascii="Times New Roman" w:hAnsi="Times New Roman" w:cs="Times New Roman"/>
                <w:color w:val="000000"/>
                <w:lang w:eastAsia="es-419"/>
              </w:rPr>
              <w:t>​</w:t>
            </w:r>
          </w:p>
        </w:tc>
        <w:tc>
          <w:tcPr>
            <w:tcW w:w="269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22 días hábiles</w:t>
            </w:r>
            <w:r w:rsidRPr="005B619A">
              <w:rPr>
                <w:rFonts w:ascii="Times New Roman" w:hAnsi="Times New Roman" w:cs="Times New Roman"/>
                <w:color w:val="000000"/>
                <w:lang w:eastAsia="es-419"/>
              </w:rPr>
              <w:t>​</w:t>
            </w:r>
          </w:p>
        </w:tc>
        <w:tc>
          <w:tcPr>
            <w:tcW w:w="160" w:type="dxa"/>
            <w:tcBorders>
              <w:left w:val="single" w:sz="4" w:space="0" w:color="auto"/>
            </w:tcBorders>
            <w:vAlign w:val="center"/>
            <w:hideMark/>
          </w:tcPr>
          <w:p w:rsidR="009B5B89" w:rsidRPr="005B619A" w:rsidRDefault="009B5B89" w:rsidP="00E80F1A">
            <w:pPr>
              <w:spacing w:after="0"/>
              <w:rPr>
                <w:rFonts w:ascii="Book Antiqua" w:hAnsi="Book Antiqua"/>
                <w:lang w:val="es-419" w:eastAsia="es-419"/>
              </w:rPr>
            </w:pPr>
          </w:p>
        </w:tc>
      </w:tr>
      <w:tr w:rsidR="009B5B89" w:rsidRPr="005B619A" w:rsidTr="009B5B89">
        <w:trPr>
          <w:trHeight w:val="19"/>
        </w:trPr>
        <w:tc>
          <w:tcPr>
            <w:tcW w:w="567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269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160" w:type="dxa"/>
            <w:tcBorders>
              <w:top w:val="nil"/>
              <w:left w:val="single" w:sz="4" w:space="0" w:color="auto"/>
              <w:bottom w:val="nil"/>
              <w:right w:val="nil"/>
            </w:tcBorders>
            <w:shd w:val="clear" w:color="auto" w:fill="auto"/>
            <w:noWrap/>
            <w:vAlign w:val="bottom"/>
            <w:hideMark/>
          </w:tcPr>
          <w:p w:rsidR="009B5B89" w:rsidRPr="005B619A" w:rsidRDefault="009B5B89" w:rsidP="00E80F1A">
            <w:pPr>
              <w:spacing w:after="0" w:line="0" w:lineRule="atLeast"/>
              <w:rPr>
                <w:rFonts w:ascii="Book Antiqua" w:hAnsi="Book Antiqua" w:cs="Calibri"/>
                <w:color w:val="000000"/>
                <w:lang w:eastAsia="es-419"/>
              </w:rPr>
            </w:pPr>
          </w:p>
        </w:tc>
      </w:tr>
      <w:tr w:rsidR="009B5B89" w:rsidRPr="005B619A" w:rsidTr="009B5B89">
        <w:trPr>
          <w:trHeight w:val="19"/>
        </w:trPr>
        <w:tc>
          <w:tcPr>
            <w:tcW w:w="567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Exp. Listo para fallo-información posesoria</w:t>
            </w:r>
            <w:r w:rsidRPr="005B619A">
              <w:rPr>
                <w:rFonts w:ascii="Times New Roman" w:hAnsi="Times New Roman" w:cs="Times New Roman"/>
                <w:color w:val="000000"/>
                <w:lang w:eastAsia="es-419"/>
              </w:rPr>
              <w:t>​</w:t>
            </w:r>
          </w:p>
        </w:tc>
        <w:tc>
          <w:tcPr>
            <w:tcW w:w="269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22 días hábiles</w:t>
            </w:r>
            <w:r w:rsidRPr="005B619A">
              <w:rPr>
                <w:rFonts w:ascii="Times New Roman" w:hAnsi="Times New Roman" w:cs="Times New Roman"/>
                <w:color w:val="000000"/>
                <w:lang w:eastAsia="es-419"/>
              </w:rPr>
              <w:t>​</w:t>
            </w:r>
          </w:p>
        </w:tc>
        <w:tc>
          <w:tcPr>
            <w:tcW w:w="160" w:type="dxa"/>
            <w:tcBorders>
              <w:left w:val="single" w:sz="4" w:space="0" w:color="auto"/>
            </w:tcBorders>
            <w:vAlign w:val="center"/>
            <w:hideMark/>
          </w:tcPr>
          <w:p w:rsidR="009B5B89" w:rsidRPr="005B619A" w:rsidRDefault="009B5B89" w:rsidP="00E80F1A">
            <w:pPr>
              <w:spacing w:after="0"/>
              <w:rPr>
                <w:rFonts w:ascii="Book Antiqua" w:hAnsi="Book Antiqua"/>
                <w:lang w:val="es-419" w:eastAsia="es-419"/>
              </w:rPr>
            </w:pPr>
          </w:p>
        </w:tc>
      </w:tr>
      <w:tr w:rsidR="009B5B89" w:rsidRPr="005B619A" w:rsidTr="009B5B89">
        <w:trPr>
          <w:trHeight w:val="19"/>
        </w:trPr>
        <w:tc>
          <w:tcPr>
            <w:tcW w:w="567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269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160" w:type="dxa"/>
            <w:tcBorders>
              <w:top w:val="nil"/>
              <w:left w:val="single" w:sz="4" w:space="0" w:color="auto"/>
              <w:bottom w:val="nil"/>
              <w:right w:val="nil"/>
            </w:tcBorders>
            <w:shd w:val="clear" w:color="auto" w:fill="auto"/>
            <w:noWrap/>
            <w:vAlign w:val="bottom"/>
            <w:hideMark/>
          </w:tcPr>
          <w:p w:rsidR="009B5B89" w:rsidRPr="005B619A" w:rsidRDefault="009B5B89" w:rsidP="00E80F1A">
            <w:pPr>
              <w:spacing w:after="0" w:line="0" w:lineRule="atLeast"/>
              <w:rPr>
                <w:rFonts w:ascii="Book Antiqua" w:hAnsi="Book Antiqua" w:cs="Calibri"/>
                <w:color w:val="000000"/>
                <w:lang w:eastAsia="es-419"/>
              </w:rPr>
            </w:pPr>
          </w:p>
        </w:tc>
      </w:tr>
      <w:tr w:rsidR="009B5B89" w:rsidRPr="005B619A" w:rsidTr="009B5B89">
        <w:trPr>
          <w:trHeight w:val="19"/>
        </w:trPr>
        <w:tc>
          <w:tcPr>
            <w:tcW w:w="567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Exp. Listo para fallo- incidente</w:t>
            </w:r>
            <w:r w:rsidRPr="005B619A">
              <w:rPr>
                <w:rFonts w:ascii="Times New Roman" w:hAnsi="Times New Roman" w:cs="Times New Roman"/>
                <w:color w:val="000000"/>
                <w:lang w:eastAsia="es-419"/>
              </w:rPr>
              <w:t>​</w:t>
            </w:r>
          </w:p>
        </w:tc>
        <w:tc>
          <w:tcPr>
            <w:tcW w:w="269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22 días hábiles</w:t>
            </w:r>
            <w:r w:rsidRPr="005B619A">
              <w:rPr>
                <w:rFonts w:ascii="Times New Roman" w:hAnsi="Times New Roman" w:cs="Times New Roman"/>
                <w:color w:val="000000"/>
                <w:lang w:eastAsia="es-419"/>
              </w:rPr>
              <w:t>​</w:t>
            </w:r>
          </w:p>
        </w:tc>
        <w:tc>
          <w:tcPr>
            <w:tcW w:w="160" w:type="dxa"/>
            <w:tcBorders>
              <w:left w:val="single" w:sz="4" w:space="0" w:color="auto"/>
            </w:tcBorders>
            <w:vAlign w:val="center"/>
            <w:hideMark/>
          </w:tcPr>
          <w:p w:rsidR="009B5B89" w:rsidRPr="005B619A" w:rsidRDefault="009B5B89" w:rsidP="00E80F1A">
            <w:pPr>
              <w:spacing w:after="0"/>
              <w:rPr>
                <w:rFonts w:ascii="Book Antiqua" w:hAnsi="Book Antiqua"/>
                <w:lang w:val="es-419" w:eastAsia="es-419"/>
              </w:rPr>
            </w:pPr>
          </w:p>
        </w:tc>
      </w:tr>
      <w:tr w:rsidR="009B5B89" w:rsidRPr="005B619A" w:rsidTr="009B5B89">
        <w:trPr>
          <w:trHeight w:val="19"/>
        </w:trPr>
        <w:tc>
          <w:tcPr>
            <w:tcW w:w="567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269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160" w:type="dxa"/>
            <w:tcBorders>
              <w:top w:val="nil"/>
              <w:left w:val="single" w:sz="4" w:space="0" w:color="auto"/>
              <w:bottom w:val="nil"/>
              <w:right w:val="nil"/>
            </w:tcBorders>
            <w:shd w:val="clear" w:color="auto" w:fill="auto"/>
            <w:noWrap/>
            <w:vAlign w:val="bottom"/>
            <w:hideMark/>
          </w:tcPr>
          <w:p w:rsidR="009B5B89" w:rsidRPr="005B619A" w:rsidRDefault="009B5B89" w:rsidP="00E80F1A">
            <w:pPr>
              <w:spacing w:after="0" w:line="0" w:lineRule="atLeast"/>
              <w:rPr>
                <w:rFonts w:ascii="Book Antiqua" w:hAnsi="Book Antiqua" w:cs="Calibri"/>
                <w:color w:val="000000"/>
                <w:lang w:eastAsia="es-419"/>
              </w:rPr>
            </w:pPr>
          </w:p>
        </w:tc>
      </w:tr>
      <w:tr w:rsidR="009B5B89" w:rsidRPr="005B619A" w:rsidTr="009B5B89">
        <w:trPr>
          <w:trHeight w:val="19"/>
        </w:trPr>
        <w:tc>
          <w:tcPr>
            <w:tcW w:w="567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Exp. Listo para fallo- interdicto</w:t>
            </w:r>
            <w:r w:rsidRPr="005B619A">
              <w:rPr>
                <w:rFonts w:ascii="Times New Roman" w:hAnsi="Times New Roman" w:cs="Times New Roman"/>
                <w:color w:val="000000"/>
                <w:lang w:eastAsia="es-419"/>
              </w:rPr>
              <w:t>​</w:t>
            </w:r>
          </w:p>
        </w:tc>
        <w:tc>
          <w:tcPr>
            <w:tcW w:w="269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22 días hábiles</w:t>
            </w:r>
            <w:r w:rsidRPr="005B619A">
              <w:rPr>
                <w:rFonts w:ascii="Times New Roman" w:hAnsi="Times New Roman" w:cs="Times New Roman"/>
                <w:color w:val="000000"/>
                <w:lang w:eastAsia="es-419"/>
              </w:rPr>
              <w:t>​</w:t>
            </w:r>
          </w:p>
        </w:tc>
        <w:tc>
          <w:tcPr>
            <w:tcW w:w="160" w:type="dxa"/>
            <w:tcBorders>
              <w:left w:val="single" w:sz="4" w:space="0" w:color="auto"/>
            </w:tcBorders>
            <w:vAlign w:val="center"/>
            <w:hideMark/>
          </w:tcPr>
          <w:p w:rsidR="009B5B89" w:rsidRPr="005B619A" w:rsidRDefault="009B5B89" w:rsidP="00E80F1A">
            <w:pPr>
              <w:spacing w:after="0"/>
              <w:rPr>
                <w:rFonts w:ascii="Book Antiqua" w:hAnsi="Book Antiqua"/>
                <w:lang w:val="es-419" w:eastAsia="es-419"/>
              </w:rPr>
            </w:pPr>
          </w:p>
        </w:tc>
      </w:tr>
      <w:tr w:rsidR="009B5B89" w:rsidRPr="005B619A" w:rsidTr="009B5B89">
        <w:trPr>
          <w:trHeight w:val="19"/>
        </w:trPr>
        <w:tc>
          <w:tcPr>
            <w:tcW w:w="567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269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160" w:type="dxa"/>
            <w:tcBorders>
              <w:top w:val="nil"/>
              <w:left w:val="single" w:sz="4" w:space="0" w:color="auto"/>
              <w:bottom w:val="nil"/>
              <w:right w:val="nil"/>
            </w:tcBorders>
            <w:shd w:val="clear" w:color="auto" w:fill="auto"/>
            <w:noWrap/>
            <w:vAlign w:val="bottom"/>
            <w:hideMark/>
          </w:tcPr>
          <w:p w:rsidR="009B5B89" w:rsidRPr="005B619A" w:rsidRDefault="009B5B89" w:rsidP="00E80F1A">
            <w:pPr>
              <w:spacing w:after="0" w:line="0" w:lineRule="atLeast"/>
              <w:rPr>
                <w:rFonts w:ascii="Book Antiqua" w:hAnsi="Book Antiqua" w:cs="Calibri"/>
                <w:color w:val="000000"/>
                <w:lang w:eastAsia="es-419"/>
              </w:rPr>
            </w:pPr>
          </w:p>
        </w:tc>
      </w:tr>
      <w:tr w:rsidR="009B5B89" w:rsidRPr="005B619A" w:rsidTr="009B5B89">
        <w:trPr>
          <w:trHeight w:val="19"/>
        </w:trPr>
        <w:tc>
          <w:tcPr>
            <w:tcW w:w="567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Exp. Listo para fallo- jerárquico Impropio (INDER)</w:t>
            </w:r>
            <w:r w:rsidRPr="005B619A">
              <w:rPr>
                <w:rFonts w:ascii="Times New Roman" w:hAnsi="Times New Roman" w:cs="Times New Roman"/>
                <w:color w:val="000000"/>
                <w:lang w:eastAsia="es-419"/>
              </w:rPr>
              <w:t>​</w:t>
            </w:r>
          </w:p>
        </w:tc>
        <w:tc>
          <w:tcPr>
            <w:tcW w:w="269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22 días hábiles</w:t>
            </w:r>
            <w:r w:rsidRPr="005B619A">
              <w:rPr>
                <w:rFonts w:ascii="Times New Roman" w:hAnsi="Times New Roman" w:cs="Times New Roman"/>
                <w:color w:val="000000"/>
                <w:lang w:eastAsia="es-419"/>
              </w:rPr>
              <w:t>​</w:t>
            </w:r>
          </w:p>
        </w:tc>
        <w:tc>
          <w:tcPr>
            <w:tcW w:w="160" w:type="dxa"/>
            <w:tcBorders>
              <w:left w:val="single" w:sz="4" w:space="0" w:color="auto"/>
            </w:tcBorders>
            <w:vAlign w:val="center"/>
            <w:hideMark/>
          </w:tcPr>
          <w:p w:rsidR="009B5B89" w:rsidRPr="005B619A" w:rsidRDefault="009B5B89" w:rsidP="00E80F1A">
            <w:pPr>
              <w:spacing w:after="0"/>
              <w:rPr>
                <w:rFonts w:ascii="Book Antiqua" w:hAnsi="Book Antiqua"/>
                <w:lang w:val="es-419" w:eastAsia="es-419"/>
              </w:rPr>
            </w:pPr>
          </w:p>
        </w:tc>
      </w:tr>
      <w:tr w:rsidR="009B5B89" w:rsidRPr="005B619A" w:rsidTr="009B5B89">
        <w:trPr>
          <w:trHeight w:val="19"/>
        </w:trPr>
        <w:tc>
          <w:tcPr>
            <w:tcW w:w="567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269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160" w:type="dxa"/>
            <w:tcBorders>
              <w:top w:val="nil"/>
              <w:left w:val="single" w:sz="4" w:space="0" w:color="auto"/>
              <w:bottom w:val="nil"/>
              <w:right w:val="nil"/>
            </w:tcBorders>
            <w:shd w:val="clear" w:color="auto" w:fill="auto"/>
            <w:noWrap/>
            <w:vAlign w:val="bottom"/>
            <w:hideMark/>
          </w:tcPr>
          <w:p w:rsidR="009B5B89" w:rsidRPr="005B619A" w:rsidRDefault="009B5B89" w:rsidP="00E80F1A">
            <w:pPr>
              <w:spacing w:after="0" w:line="0" w:lineRule="atLeast"/>
              <w:rPr>
                <w:rFonts w:ascii="Book Antiqua" w:hAnsi="Book Antiqua" w:cs="Calibri"/>
                <w:color w:val="000000"/>
                <w:lang w:eastAsia="es-419"/>
              </w:rPr>
            </w:pPr>
          </w:p>
        </w:tc>
      </w:tr>
      <w:tr w:rsidR="009B5B89" w:rsidRPr="005B619A" w:rsidTr="009B5B89">
        <w:trPr>
          <w:trHeight w:val="19"/>
        </w:trPr>
        <w:tc>
          <w:tcPr>
            <w:tcW w:w="567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Exp. Listo para fallo- localización de derecho</w:t>
            </w:r>
            <w:r w:rsidRPr="005B619A">
              <w:rPr>
                <w:rFonts w:ascii="Times New Roman" w:hAnsi="Times New Roman" w:cs="Times New Roman"/>
                <w:color w:val="000000"/>
                <w:lang w:eastAsia="es-419"/>
              </w:rPr>
              <w:t>​</w:t>
            </w:r>
          </w:p>
        </w:tc>
        <w:tc>
          <w:tcPr>
            <w:tcW w:w="269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22 días hábiles</w:t>
            </w:r>
            <w:r w:rsidRPr="005B619A">
              <w:rPr>
                <w:rFonts w:ascii="Times New Roman" w:hAnsi="Times New Roman" w:cs="Times New Roman"/>
                <w:color w:val="000000"/>
                <w:lang w:eastAsia="es-419"/>
              </w:rPr>
              <w:t>​</w:t>
            </w:r>
          </w:p>
        </w:tc>
        <w:tc>
          <w:tcPr>
            <w:tcW w:w="160" w:type="dxa"/>
            <w:tcBorders>
              <w:left w:val="single" w:sz="4" w:space="0" w:color="auto"/>
            </w:tcBorders>
            <w:vAlign w:val="center"/>
            <w:hideMark/>
          </w:tcPr>
          <w:p w:rsidR="009B5B89" w:rsidRPr="005B619A" w:rsidRDefault="009B5B89" w:rsidP="00E80F1A">
            <w:pPr>
              <w:spacing w:after="0"/>
              <w:rPr>
                <w:rFonts w:ascii="Book Antiqua" w:hAnsi="Book Antiqua"/>
                <w:lang w:val="es-419" w:eastAsia="es-419"/>
              </w:rPr>
            </w:pPr>
          </w:p>
        </w:tc>
      </w:tr>
      <w:tr w:rsidR="009B5B89" w:rsidRPr="005B619A" w:rsidTr="009B5B89">
        <w:trPr>
          <w:trHeight w:val="19"/>
        </w:trPr>
        <w:tc>
          <w:tcPr>
            <w:tcW w:w="567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269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160" w:type="dxa"/>
            <w:tcBorders>
              <w:top w:val="nil"/>
              <w:left w:val="single" w:sz="4" w:space="0" w:color="auto"/>
              <w:bottom w:val="nil"/>
              <w:right w:val="nil"/>
            </w:tcBorders>
            <w:shd w:val="clear" w:color="auto" w:fill="auto"/>
            <w:noWrap/>
            <w:vAlign w:val="bottom"/>
            <w:hideMark/>
          </w:tcPr>
          <w:p w:rsidR="009B5B89" w:rsidRPr="005B619A" w:rsidRDefault="009B5B89" w:rsidP="00E80F1A">
            <w:pPr>
              <w:spacing w:after="0" w:line="0" w:lineRule="atLeast"/>
              <w:rPr>
                <w:rFonts w:ascii="Book Antiqua" w:hAnsi="Book Antiqua" w:cs="Calibri"/>
                <w:color w:val="000000"/>
                <w:lang w:eastAsia="es-419"/>
              </w:rPr>
            </w:pPr>
          </w:p>
        </w:tc>
      </w:tr>
      <w:tr w:rsidR="009B5B89" w:rsidRPr="005B619A" w:rsidTr="009B5B89">
        <w:trPr>
          <w:trHeight w:val="19"/>
        </w:trPr>
        <w:tc>
          <w:tcPr>
            <w:tcW w:w="567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Exp. Listo para fallo- medidas cautelares</w:t>
            </w:r>
            <w:r w:rsidRPr="005B619A">
              <w:rPr>
                <w:rFonts w:ascii="Times New Roman" w:hAnsi="Times New Roman" w:cs="Times New Roman"/>
                <w:color w:val="000000"/>
                <w:lang w:eastAsia="es-419"/>
              </w:rPr>
              <w:t>​</w:t>
            </w:r>
          </w:p>
        </w:tc>
        <w:tc>
          <w:tcPr>
            <w:tcW w:w="269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22 días hábiles</w:t>
            </w:r>
            <w:r w:rsidRPr="005B619A">
              <w:rPr>
                <w:rFonts w:ascii="Times New Roman" w:hAnsi="Times New Roman" w:cs="Times New Roman"/>
                <w:color w:val="000000"/>
                <w:lang w:eastAsia="es-419"/>
              </w:rPr>
              <w:t>​</w:t>
            </w:r>
          </w:p>
        </w:tc>
        <w:tc>
          <w:tcPr>
            <w:tcW w:w="160" w:type="dxa"/>
            <w:tcBorders>
              <w:left w:val="single" w:sz="4" w:space="0" w:color="auto"/>
            </w:tcBorders>
            <w:vAlign w:val="center"/>
            <w:hideMark/>
          </w:tcPr>
          <w:p w:rsidR="009B5B89" w:rsidRPr="005B619A" w:rsidRDefault="009B5B89" w:rsidP="00E80F1A">
            <w:pPr>
              <w:spacing w:after="0"/>
              <w:rPr>
                <w:rFonts w:ascii="Book Antiqua" w:hAnsi="Book Antiqua"/>
                <w:lang w:val="es-419" w:eastAsia="es-419"/>
              </w:rPr>
            </w:pPr>
          </w:p>
        </w:tc>
      </w:tr>
      <w:tr w:rsidR="009B5B89" w:rsidRPr="005B619A" w:rsidTr="009B5B89">
        <w:trPr>
          <w:trHeight w:val="19"/>
        </w:trPr>
        <w:tc>
          <w:tcPr>
            <w:tcW w:w="567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269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160" w:type="dxa"/>
            <w:tcBorders>
              <w:top w:val="nil"/>
              <w:left w:val="single" w:sz="4" w:space="0" w:color="auto"/>
              <w:bottom w:val="nil"/>
              <w:right w:val="nil"/>
            </w:tcBorders>
            <w:shd w:val="clear" w:color="auto" w:fill="auto"/>
            <w:noWrap/>
            <w:vAlign w:val="bottom"/>
            <w:hideMark/>
          </w:tcPr>
          <w:p w:rsidR="009B5B89" w:rsidRPr="005B619A" w:rsidRDefault="009B5B89" w:rsidP="00E80F1A">
            <w:pPr>
              <w:spacing w:after="0" w:line="0" w:lineRule="atLeast"/>
              <w:rPr>
                <w:rFonts w:ascii="Book Antiqua" w:hAnsi="Book Antiqua" w:cs="Calibri"/>
                <w:color w:val="000000"/>
                <w:lang w:eastAsia="es-419"/>
              </w:rPr>
            </w:pPr>
          </w:p>
        </w:tc>
      </w:tr>
      <w:tr w:rsidR="009B5B89" w:rsidRPr="005B619A" w:rsidTr="009B5B89">
        <w:trPr>
          <w:trHeight w:val="19"/>
        </w:trPr>
        <w:tc>
          <w:tcPr>
            <w:tcW w:w="567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Exp. Listo para fallo- monitorio</w:t>
            </w:r>
            <w:r w:rsidRPr="005B619A">
              <w:rPr>
                <w:rFonts w:ascii="Times New Roman" w:hAnsi="Times New Roman" w:cs="Times New Roman"/>
                <w:color w:val="000000"/>
                <w:lang w:eastAsia="es-419"/>
              </w:rPr>
              <w:t>​</w:t>
            </w:r>
          </w:p>
        </w:tc>
        <w:tc>
          <w:tcPr>
            <w:tcW w:w="269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22 días hábiles</w:t>
            </w:r>
            <w:r w:rsidRPr="005B619A">
              <w:rPr>
                <w:rFonts w:ascii="Times New Roman" w:hAnsi="Times New Roman" w:cs="Times New Roman"/>
                <w:color w:val="000000"/>
                <w:lang w:eastAsia="es-419"/>
              </w:rPr>
              <w:t>​</w:t>
            </w:r>
          </w:p>
        </w:tc>
        <w:tc>
          <w:tcPr>
            <w:tcW w:w="160" w:type="dxa"/>
            <w:tcBorders>
              <w:left w:val="single" w:sz="4" w:space="0" w:color="auto"/>
            </w:tcBorders>
            <w:vAlign w:val="center"/>
            <w:hideMark/>
          </w:tcPr>
          <w:p w:rsidR="009B5B89" w:rsidRPr="005B619A" w:rsidRDefault="009B5B89" w:rsidP="00E80F1A">
            <w:pPr>
              <w:spacing w:after="0"/>
              <w:rPr>
                <w:rFonts w:ascii="Book Antiqua" w:hAnsi="Book Antiqua"/>
                <w:lang w:val="es-419" w:eastAsia="es-419"/>
              </w:rPr>
            </w:pPr>
          </w:p>
        </w:tc>
      </w:tr>
      <w:tr w:rsidR="009B5B89" w:rsidRPr="005B619A" w:rsidTr="009B5B89">
        <w:trPr>
          <w:trHeight w:val="19"/>
        </w:trPr>
        <w:tc>
          <w:tcPr>
            <w:tcW w:w="567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269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160" w:type="dxa"/>
            <w:tcBorders>
              <w:top w:val="nil"/>
              <w:left w:val="single" w:sz="4" w:space="0" w:color="auto"/>
              <w:bottom w:val="nil"/>
              <w:right w:val="nil"/>
            </w:tcBorders>
            <w:shd w:val="clear" w:color="auto" w:fill="auto"/>
            <w:noWrap/>
            <w:vAlign w:val="bottom"/>
            <w:hideMark/>
          </w:tcPr>
          <w:p w:rsidR="009B5B89" w:rsidRPr="005B619A" w:rsidRDefault="009B5B89" w:rsidP="00E80F1A">
            <w:pPr>
              <w:spacing w:after="0" w:line="0" w:lineRule="atLeast"/>
              <w:rPr>
                <w:rFonts w:ascii="Book Antiqua" w:hAnsi="Book Antiqua" w:cs="Calibri"/>
                <w:color w:val="000000"/>
                <w:lang w:eastAsia="es-419"/>
              </w:rPr>
            </w:pPr>
          </w:p>
        </w:tc>
      </w:tr>
      <w:tr w:rsidR="009B5B89" w:rsidRPr="005B619A" w:rsidTr="009B5B89">
        <w:trPr>
          <w:trHeight w:val="19"/>
        </w:trPr>
        <w:tc>
          <w:tcPr>
            <w:tcW w:w="567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Exp. Listo para fallo- rectificación de medidas</w:t>
            </w:r>
            <w:r w:rsidRPr="005B619A">
              <w:rPr>
                <w:rFonts w:ascii="Times New Roman" w:hAnsi="Times New Roman" w:cs="Times New Roman"/>
                <w:color w:val="000000"/>
                <w:lang w:eastAsia="es-419"/>
              </w:rPr>
              <w:t>​</w:t>
            </w:r>
          </w:p>
        </w:tc>
        <w:tc>
          <w:tcPr>
            <w:tcW w:w="269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22 días hábiles</w:t>
            </w:r>
            <w:r w:rsidRPr="005B619A">
              <w:rPr>
                <w:rFonts w:ascii="Times New Roman" w:hAnsi="Times New Roman" w:cs="Times New Roman"/>
                <w:color w:val="000000"/>
                <w:lang w:eastAsia="es-419"/>
              </w:rPr>
              <w:t>​</w:t>
            </w:r>
          </w:p>
        </w:tc>
        <w:tc>
          <w:tcPr>
            <w:tcW w:w="160" w:type="dxa"/>
            <w:tcBorders>
              <w:left w:val="single" w:sz="4" w:space="0" w:color="auto"/>
            </w:tcBorders>
            <w:vAlign w:val="center"/>
            <w:hideMark/>
          </w:tcPr>
          <w:p w:rsidR="009B5B89" w:rsidRPr="005B619A" w:rsidRDefault="009B5B89" w:rsidP="00E80F1A">
            <w:pPr>
              <w:spacing w:after="0"/>
              <w:rPr>
                <w:rFonts w:ascii="Book Antiqua" w:hAnsi="Book Antiqua"/>
                <w:lang w:val="es-419" w:eastAsia="es-419"/>
              </w:rPr>
            </w:pPr>
          </w:p>
        </w:tc>
      </w:tr>
      <w:tr w:rsidR="009B5B89" w:rsidRPr="005B619A" w:rsidTr="009B5B89">
        <w:trPr>
          <w:trHeight w:val="19"/>
        </w:trPr>
        <w:tc>
          <w:tcPr>
            <w:tcW w:w="567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269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160" w:type="dxa"/>
            <w:tcBorders>
              <w:top w:val="nil"/>
              <w:left w:val="single" w:sz="4" w:space="0" w:color="auto"/>
              <w:bottom w:val="nil"/>
              <w:right w:val="nil"/>
            </w:tcBorders>
            <w:shd w:val="clear" w:color="auto" w:fill="auto"/>
            <w:noWrap/>
            <w:vAlign w:val="bottom"/>
            <w:hideMark/>
          </w:tcPr>
          <w:p w:rsidR="009B5B89" w:rsidRPr="005B619A" w:rsidRDefault="009B5B89" w:rsidP="00E80F1A">
            <w:pPr>
              <w:spacing w:after="0" w:line="0" w:lineRule="atLeast"/>
              <w:rPr>
                <w:rFonts w:ascii="Book Antiqua" w:hAnsi="Book Antiqua" w:cs="Calibri"/>
                <w:color w:val="000000"/>
                <w:lang w:eastAsia="es-419"/>
              </w:rPr>
            </w:pPr>
          </w:p>
        </w:tc>
      </w:tr>
      <w:tr w:rsidR="009B5B89" w:rsidRPr="005B619A" w:rsidTr="009B5B89">
        <w:trPr>
          <w:trHeight w:val="19"/>
        </w:trPr>
        <w:tc>
          <w:tcPr>
            <w:tcW w:w="567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Exp. Listo para fallo- tercerías</w:t>
            </w:r>
            <w:r w:rsidRPr="005B619A">
              <w:rPr>
                <w:rFonts w:ascii="Times New Roman" w:hAnsi="Times New Roman" w:cs="Times New Roman"/>
                <w:color w:val="000000"/>
                <w:lang w:eastAsia="es-419"/>
              </w:rPr>
              <w:t>​</w:t>
            </w:r>
          </w:p>
        </w:tc>
        <w:tc>
          <w:tcPr>
            <w:tcW w:w="269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22 días hábiles</w:t>
            </w:r>
            <w:r w:rsidRPr="005B619A">
              <w:rPr>
                <w:rFonts w:ascii="Times New Roman" w:hAnsi="Times New Roman" w:cs="Times New Roman"/>
                <w:color w:val="000000"/>
                <w:lang w:eastAsia="es-419"/>
              </w:rPr>
              <w:t>​</w:t>
            </w:r>
          </w:p>
        </w:tc>
        <w:tc>
          <w:tcPr>
            <w:tcW w:w="160" w:type="dxa"/>
            <w:tcBorders>
              <w:left w:val="single" w:sz="4" w:space="0" w:color="auto"/>
            </w:tcBorders>
            <w:vAlign w:val="center"/>
            <w:hideMark/>
          </w:tcPr>
          <w:p w:rsidR="009B5B89" w:rsidRPr="005B619A" w:rsidRDefault="009B5B89" w:rsidP="00E80F1A">
            <w:pPr>
              <w:spacing w:after="0"/>
              <w:rPr>
                <w:rFonts w:ascii="Book Antiqua" w:hAnsi="Book Antiqua"/>
                <w:lang w:val="es-419" w:eastAsia="es-419"/>
              </w:rPr>
            </w:pPr>
          </w:p>
        </w:tc>
      </w:tr>
      <w:tr w:rsidR="009B5B89" w:rsidRPr="005B619A" w:rsidTr="009B5B89">
        <w:trPr>
          <w:trHeight w:val="19"/>
        </w:trPr>
        <w:tc>
          <w:tcPr>
            <w:tcW w:w="567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269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160" w:type="dxa"/>
            <w:tcBorders>
              <w:top w:val="nil"/>
              <w:left w:val="single" w:sz="4" w:space="0" w:color="auto"/>
              <w:bottom w:val="nil"/>
              <w:right w:val="nil"/>
            </w:tcBorders>
            <w:shd w:val="clear" w:color="auto" w:fill="auto"/>
            <w:noWrap/>
            <w:vAlign w:val="bottom"/>
            <w:hideMark/>
          </w:tcPr>
          <w:p w:rsidR="009B5B89" w:rsidRPr="005B619A" w:rsidRDefault="009B5B89" w:rsidP="00E80F1A">
            <w:pPr>
              <w:spacing w:after="0" w:line="0" w:lineRule="atLeast"/>
              <w:rPr>
                <w:rFonts w:ascii="Book Antiqua" w:hAnsi="Book Antiqua" w:cs="Calibri"/>
                <w:color w:val="000000"/>
                <w:lang w:eastAsia="es-419"/>
              </w:rPr>
            </w:pPr>
          </w:p>
        </w:tc>
      </w:tr>
      <w:tr w:rsidR="009B5B89" w:rsidRPr="005B619A" w:rsidTr="009B5B89">
        <w:trPr>
          <w:trHeight w:val="19"/>
        </w:trPr>
        <w:tc>
          <w:tcPr>
            <w:tcW w:w="567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Exp. Listo para fallo- sucesorios</w:t>
            </w:r>
            <w:r w:rsidRPr="005B619A">
              <w:rPr>
                <w:rFonts w:ascii="Times New Roman" w:hAnsi="Times New Roman" w:cs="Times New Roman"/>
                <w:color w:val="000000"/>
                <w:lang w:eastAsia="es-419"/>
              </w:rPr>
              <w:t>​</w:t>
            </w:r>
          </w:p>
        </w:tc>
        <w:tc>
          <w:tcPr>
            <w:tcW w:w="269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22 días hábiles</w:t>
            </w:r>
            <w:r w:rsidRPr="005B619A">
              <w:rPr>
                <w:rFonts w:ascii="Times New Roman" w:hAnsi="Times New Roman" w:cs="Times New Roman"/>
                <w:color w:val="000000"/>
                <w:lang w:eastAsia="es-419"/>
              </w:rPr>
              <w:t>​</w:t>
            </w:r>
          </w:p>
        </w:tc>
        <w:tc>
          <w:tcPr>
            <w:tcW w:w="160" w:type="dxa"/>
            <w:tcBorders>
              <w:left w:val="single" w:sz="4" w:space="0" w:color="auto"/>
            </w:tcBorders>
            <w:vAlign w:val="center"/>
            <w:hideMark/>
          </w:tcPr>
          <w:p w:rsidR="009B5B89" w:rsidRPr="005B619A" w:rsidRDefault="009B5B89" w:rsidP="00E80F1A">
            <w:pPr>
              <w:spacing w:after="0"/>
              <w:rPr>
                <w:rFonts w:ascii="Book Antiqua" w:hAnsi="Book Antiqua"/>
                <w:lang w:val="es-419" w:eastAsia="es-419"/>
              </w:rPr>
            </w:pPr>
          </w:p>
        </w:tc>
      </w:tr>
      <w:tr w:rsidR="009B5B89" w:rsidRPr="005B619A" w:rsidTr="009B5B89">
        <w:trPr>
          <w:trHeight w:val="19"/>
        </w:trPr>
        <w:tc>
          <w:tcPr>
            <w:tcW w:w="567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269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160" w:type="dxa"/>
            <w:tcBorders>
              <w:top w:val="nil"/>
              <w:left w:val="single" w:sz="4" w:space="0" w:color="auto"/>
              <w:bottom w:val="nil"/>
              <w:right w:val="nil"/>
            </w:tcBorders>
            <w:shd w:val="clear" w:color="auto" w:fill="auto"/>
            <w:noWrap/>
            <w:vAlign w:val="bottom"/>
            <w:hideMark/>
          </w:tcPr>
          <w:p w:rsidR="009B5B89" w:rsidRPr="005B619A" w:rsidRDefault="009B5B89" w:rsidP="00E80F1A">
            <w:pPr>
              <w:spacing w:after="0" w:line="0" w:lineRule="atLeast"/>
              <w:rPr>
                <w:rFonts w:ascii="Book Antiqua" w:hAnsi="Book Antiqua" w:cs="Calibri"/>
                <w:color w:val="000000"/>
                <w:lang w:eastAsia="es-419"/>
              </w:rPr>
            </w:pPr>
          </w:p>
        </w:tc>
      </w:tr>
      <w:tr w:rsidR="009B5B89" w:rsidRPr="005B619A" w:rsidTr="009B5B89">
        <w:trPr>
          <w:trHeight w:val="19"/>
        </w:trPr>
        <w:tc>
          <w:tcPr>
            <w:tcW w:w="567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Exp. Listo para fallo- sumario </w:t>
            </w:r>
            <w:r w:rsidRPr="005B619A">
              <w:rPr>
                <w:rFonts w:ascii="Times New Roman" w:hAnsi="Times New Roman" w:cs="Times New Roman"/>
                <w:color w:val="000000"/>
                <w:lang w:eastAsia="es-419"/>
              </w:rPr>
              <w:t>​</w:t>
            </w:r>
          </w:p>
        </w:tc>
        <w:tc>
          <w:tcPr>
            <w:tcW w:w="269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22 días hábiles</w:t>
            </w:r>
            <w:r w:rsidRPr="005B619A">
              <w:rPr>
                <w:rFonts w:ascii="Times New Roman" w:hAnsi="Times New Roman" w:cs="Times New Roman"/>
                <w:color w:val="000000"/>
                <w:lang w:eastAsia="es-419"/>
              </w:rPr>
              <w:t>​</w:t>
            </w:r>
          </w:p>
        </w:tc>
        <w:tc>
          <w:tcPr>
            <w:tcW w:w="160" w:type="dxa"/>
            <w:tcBorders>
              <w:left w:val="single" w:sz="4" w:space="0" w:color="auto"/>
            </w:tcBorders>
            <w:vAlign w:val="center"/>
            <w:hideMark/>
          </w:tcPr>
          <w:p w:rsidR="009B5B89" w:rsidRPr="005B619A" w:rsidRDefault="009B5B89" w:rsidP="00E80F1A">
            <w:pPr>
              <w:spacing w:after="0"/>
              <w:rPr>
                <w:rFonts w:ascii="Book Antiqua" w:hAnsi="Book Antiqua"/>
                <w:lang w:val="es-419" w:eastAsia="es-419"/>
              </w:rPr>
            </w:pPr>
          </w:p>
        </w:tc>
      </w:tr>
      <w:tr w:rsidR="009B5B89" w:rsidRPr="005B619A" w:rsidTr="009B5B89">
        <w:trPr>
          <w:trHeight w:val="19"/>
        </w:trPr>
        <w:tc>
          <w:tcPr>
            <w:tcW w:w="567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269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160" w:type="dxa"/>
            <w:tcBorders>
              <w:top w:val="nil"/>
              <w:left w:val="single" w:sz="4" w:space="0" w:color="auto"/>
              <w:bottom w:val="nil"/>
              <w:right w:val="nil"/>
            </w:tcBorders>
            <w:shd w:val="clear" w:color="auto" w:fill="auto"/>
            <w:noWrap/>
            <w:vAlign w:val="bottom"/>
            <w:hideMark/>
          </w:tcPr>
          <w:p w:rsidR="009B5B89" w:rsidRPr="005B619A" w:rsidRDefault="009B5B89" w:rsidP="00E80F1A">
            <w:pPr>
              <w:spacing w:after="0" w:line="0" w:lineRule="atLeast"/>
              <w:rPr>
                <w:rFonts w:ascii="Book Antiqua" w:hAnsi="Book Antiqua" w:cs="Calibri"/>
                <w:color w:val="000000"/>
                <w:lang w:eastAsia="es-419"/>
              </w:rPr>
            </w:pPr>
          </w:p>
        </w:tc>
      </w:tr>
      <w:tr w:rsidR="00810B3D" w:rsidRPr="005B619A" w:rsidTr="003274CB">
        <w:trPr>
          <w:trHeight w:val="517"/>
        </w:trPr>
        <w:tc>
          <w:tcPr>
            <w:tcW w:w="56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0B3D" w:rsidRPr="005B619A" w:rsidRDefault="00810B3D" w:rsidP="00E80F1A">
            <w:pPr>
              <w:spacing w:after="0"/>
              <w:jc w:val="center"/>
              <w:rPr>
                <w:rFonts w:ascii="Book Antiqua" w:hAnsi="Book Antiqua" w:cs="Calibri"/>
                <w:color w:val="000000"/>
                <w:lang w:eastAsia="es-419"/>
              </w:rPr>
            </w:pPr>
            <w:r w:rsidRPr="00810B3D">
              <w:rPr>
                <w:rFonts w:ascii="Book Antiqua" w:hAnsi="Book Antiqua" w:cs="Calibri"/>
                <w:color w:val="000000"/>
                <w:lang w:eastAsia="es-419"/>
              </w:rPr>
              <w:t xml:space="preserve">Exp. Listo para fallo- </w:t>
            </w:r>
            <w:r w:rsidR="008234D0">
              <w:rPr>
                <w:rFonts w:ascii="Book Antiqua" w:hAnsi="Book Antiqua" w:cs="Calibri"/>
                <w:color w:val="000000"/>
                <w:lang w:eastAsia="es-419"/>
              </w:rPr>
              <w:t>s</w:t>
            </w:r>
            <w:r w:rsidRPr="00810B3D">
              <w:rPr>
                <w:rFonts w:ascii="Book Antiqua" w:hAnsi="Book Antiqua" w:cs="Calibri"/>
                <w:color w:val="000000"/>
                <w:lang w:eastAsia="es-419"/>
              </w:rPr>
              <w:t xml:space="preserve">entencias </w:t>
            </w:r>
            <w:r w:rsidR="008234D0">
              <w:rPr>
                <w:rFonts w:ascii="Book Antiqua" w:hAnsi="Book Antiqua" w:cs="Calibri"/>
                <w:color w:val="000000"/>
                <w:lang w:eastAsia="es-419"/>
              </w:rPr>
              <w:t>o</w:t>
            </w:r>
            <w:r w:rsidRPr="00810B3D">
              <w:rPr>
                <w:rFonts w:ascii="Book Antiqua" w:hAnsi="Book Antiqua" w:cs="Calibri"/>
                <w:color w:val="000000"/>
                <w:lang w:eastAsia="es-419"/>
              </w:rPr>
              <w:t>rales</w:t>
            </w:r>
          </w:p>
        </w:tc>
        <w:tc>
          <w:tcPr>
            <w:tcW w:w="26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0B3D" w:rsidRPr="005B619A" w:rsidRDefault="00810B3D" w:rsidP="00E80F1A">
            <w:pPr>
              <w:spacing w:after="0"/>
              <w:jc w:val="center"/>
              <w:rPr>
                <w:rFonts w:ascii="Book Antiqua" w:hAnsi="Book Antiqua" w:cs="Calibri"/>
                <w:color w:val="000000"/>
                <w:lang w:eastAsia="es-419"/>
              </w:rPr>
            </w:pPr>
            <w:r w:rsidRPr="005B619A">
              <w:rPr>
                <w:rFonts w:ascii="Book Antiqua" w:hAnsi="Book Antiqua" w:cs="Calibri"/>
                <w:color w:val="000000"/>
                <w:lang w:eastAsia="es-419"/>
              </w:rPr>
              <w:t>22 días hábiles</w:t>
            </w:r>
            <w:r w:rsidRPr="005B619A">
              <w:rPr>
                <w:rFonts w:ascii="Times New Roman" w:hAnsi="Times New Roman" w:cs="Times New Roman"/>
                <w:color w:val="000000"/>
                <w:lang w:eastAsia="es-419"/>
              </w:rPr>
              <w:t>​</w:t>
            </w:r>
          </w:p>
        </w:tc>
        <w:tc>
          <w:tcPr>
            <w:tcW w:w="160" w:type="dxa"/>
            <w:tcBorders>
              <w:left w:val="single" w:sz="4" w:space="0" w:color="auto"/>
            </w:tcBorders>
            <w:vAlign w:val="center"/>
          </w:tcPr>
          <w:p w:rsidR="00810B3D" w:rsidRPr="005B619A" w:rsidRDefault="00810B3D" w:rsidP="00E80F1A">
            <w:pPr>
              <w:spacing w:after="0"/>
              <w:rPr>
                <w:rFonts w:ascii="Book Antiqua" w:hAnsi="Book Antiqua"/>
                <w:lang w:val="es-419" w:eastAsia="es-419"/>
              </w:rPr>
            </w:pPr>
          </w:p>
        </w:tc>
      </w:tr>
      <w:tr w:rsidR="009B5B89" w:rsidRPr="005B619A" w:rsidTr="009B5B89">
        <w:trPr>
          <w:trHeight w:val="19"/>
        </w:trPr>
        <w:tc>
          <w:tcPr>
            <w:tcW w:w="567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Exp. Listo para fallo- especial ambiental preferente</w:t>
            </w:r>
            <w:r w:rsidRPr="005B619A">
              <w:rPr>
                <w:rFonts w:ascii="Times New Roman" w:hAnsi="Times New Roman" w:cs="Times New Roman"/>
                <w:color w:val="000000"/>
                <w:lang w:eastAsia="es-419"/>
              </w:rPr>
              <w:t>​</w:t>
            </w:r>
          </w:p>
        </w:tc>
        <w:tc>
          <w:tcPr>
            <w:tcW w:w="269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r w:rsidRPr="005B619A">
              <w:rPr>
                <w:rFonts w:ascii="Book Antiqua" w:hAnsi="Book Antiqua" w:cs="Calibri"/>
                <w:color w:val="000000"/>
                <w:lang w:eastAsia="es-419"/>
              </w:rPr>
              <w:t>22 días hábiles</w:t>
            </w:r>
            <w:r w:rsidRPr="005B619A">
              <w:rPr>
                <w:rFonts w:ascii="Times New Roman" w:hAnsi="Times New Roman" w:cs="Times New Roman"/>
                <w:color w:val="000000"/>
                <w:lang w:eastAsia="es-419"/>
              </w:rPr>
              <w:t>​</w:t>
            </w:r>
          </w:p>
        </w:tc>
        <w:tc>
          <w:tcPr>
            <w:tcW w:w="160" w:type="dxa"/>
            <w:tcBorders>
              <w:left w:val="single" w:sz="4" w:space="0" w:color="auto"/>
            </w:tcBorders>
            <w:vAlign w:val="center"/>
            <w:hideMark/>
          </w:tcPr>
          <w:p w:rsidR="009B5B89" w:rsidRPr="005B619A" w:rsidRDefault="009B5B89" w:rsidP="00E80F1A">
            <w:pPr>
              <w:spacing w:after="0"/>
              <w:rPr>
                <w:rFonts w:ascii="Book Antiqua" w:hAnsi="Book Antiqua"/>
                <w:lang w:val="es-419" w:eastAsia="es-419"/>
              </w:rPr>
            </w:pPr>
          </w:p>
        </w:tc>
      </w:tr>
      <w:tr w:rsidR="009B5B89" w:rsidRPr="005B619A" w:rsidTr="009B5B89">
        <w:trPr>
          <w:trHeight w:val="19"/>
        </w:trPr>
        <w:tc>
          <w:tcPr>
            <w:tcW w:w="567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269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B5B89" w:rsidRPr="005B619A" w:rsidRDefault="009B5B89" w:rsidP="00E80F1A">
            <w:pPr>
              <w:spacing w:after="0"/>
              <w:jc w:val="center"/>
              <w:rPr>
                <w:rFonts w:ascii="Book Antiqua" w:hAnsi="Book Antiqua" w:cs="Calibri"/>
                <w:color w:val="000000"/>
                <w:lang w:val="es-419" w:eastAsia="es-419"/>
              </w:rPr>
            </w:pPr>
          </w:p>
        </w:tc>
        <w:tc>
          <w:tcPr>
            <w:tcW w:w="160" w:type="dxa"/>
            <w:tcBorders>
              <w:top w:val="nil"/>
              <w:left w:val="single" w:sz="4" w:space="0" w:color="auto"/>
              <w:bottom w:val="nil"/>
              <w:right w:val="nil"/>
            </w:tcBorders>
            <w:shd w:val="clear" w:color="auto" w:fill="auto"/>
            <w:noWrap/>
            <w:vAlign w:val="bottom"/>
            <w:hideMark/>
          </w:tcPr>
          <w:p w:rsidR="009B5B89" w:rsidRPr="005B619A" w:rsidRDefault="009B5B89" w:rsidP="00E80F1A">
            <w:pPr>
              <w:spacing w:after="0" w:line="0" w:lineRule="atLeast"/>
              <w:rPr>
                <w:rFonts w:ascii="Book Antiqua" w:hAnsi="Book Antiqua" w:cs="Calibri"/>
                <w:color w:val="000000"/>
                <w:lang w:eastAsia="es-419"/>
              </w:rPr>
            </w:pPr>
          </w:p>
        </w:tc>
      </w:tr>
    </w:tbl>
    <w:p w:rsidR="00C357AF" w:rsidRPr="006D318C" w:rsidRDefault="00C357AF" w:rsidP="00917744">
      <w:pPr>
        <w:spacing w:after="0" w:line="240" w:lineRule="auto"/>
        <w:ind w:firstLine="709"/>
        <w:jc w:val="center"/>
        <w:rPr>
          <w:rFonts w:ascii="Arial Narrow" w:eastAsia="Calibri" w:hAnsi="Arial Narrow" w:cs="Times New Roman"/>
          <w:highlight w:val="yellow"/>
          <w:lang w:eastAsia="es-CR"/>
        </w:rPr>
      </w:pPr>
    </w:p>
    <w:p w:rsidR="00C357AF" w:rsidRPr="00E72115" w:rsidRDefault="00C357AF" w:rsidP="00D13330">
      <w:pPr>
        <w:spacing w:after="0" w:line="240" w:lineRule="auto"/>
        <w:ind w:firstLine="709"/>
        <w:jc w:val="both"/>
        <w:rPr>
          <w:rFonts w:ascii="Arial Narrow" w:eastAsia="Calibri" w:hAnsi="Arial Narrow" w:cs="Times New Roman"/>
          <w:lang w:eastAsia="es-CR"/>
        </w:rPr>
      </w:pPr>
    </w:p>
    <w:p w:rsidR="00C357AF" w:rsidRPr="00E72115" w:rsidRDefault="00C357AF" w:rsidP="00AD4B99">
      <w:pPr>
        <w:spacing w:after="0" w:line="240" w:lineRule="auto"/>
        <w:jc w:val="both"/>
        <w:rPr>
          <w:rFonts w:ascii="Arial Narrow" w:eastAsia="Calibri" w:hAnsi="Arial Narrow" w:cs="Times New Roman"/>
          <w:lang w:eastAsia="es-CR"/>
        </w:rPr>
      </w:pPr>
      <w:r w:rsidRPr="00E72115">
        <w:rPr>
          <w:rFonts w:ascii="Arial Narrow" w:eastAsia="Calibri" w:hAnsi="Arial Narrow" w:cs="Times New Roman"/>
          <w:lang w:eastAsia="es-CR"/>
        </w:rPr>
        <w:t>Una vez que la persona coordinadora judicial verifica que no hay ninguna carpeta en la</w:t>
      </w:r>
      <w:r w:rsidR="0092088A">
        <w:rPr>
          <w:rFonts w:ascii="Arial Narrow" w:eastAsia="Calibri" w:hAnsi="Arial Narrow" w:cs="Times New Roman"/>
          <w:lang w:eastAsia="es-CR"/>
        </w:rPr>
        <w:t>s</w:t>
      </w:r>
      <w:r w:rsidRPr="00E72115">
        <w:rPr>
          <w:rFonts w:ascii="Arial Narrow" w:eastAsia="Calibri" w:hAnsi="Arial Narrow" w:cs="Times New Roman"/>
          <w:lang w:eastAsia="es-CR"/>
        </w:rPr>
        <w:t xml:space="preserve"> tarea</w:t>
      </w:r>
      <w:r w:rsidR="0092088A">
        <w:rPr>
          <w:rFonts w:ascii="Arial Narrow" w:eastAsia="Calibri" w:hAnsi="Arial Narrow" w:cs="Times New Roman"/>
          <w:lang w:eastAsia="es-CR"/>
        </w:rPr>
        <w:t>s</w:t>
      </w:r>
      <w:r w:rsidRPr="00E72115">
        <w:rPr>
          <w:rFonts w:ascii="Arial Narrow" w:eastAsia="Calibri" w:hAnsi="Arial Narrow" w:cs="Times New Roman"/>
          <w:lang w:eastAsia="es-CR"/>
        </w:rPr>
        <w:t xml:space="preserve"> genérica</w:t>
      </w:r>
      <w:r w:rsidR="0092088A">
        <w:rPr>
          <w:rFonts w:ascii="Arial Narrow" w:eastAsia="Calibri" w:hAnsi="Arial Narrow" w:cs="Times New Roman"/>
          <w:lang w:eastAsia="es-CR"/>
        </w:rPr>
        <w:t>s</w:t>
      </w:r>
      <w:r w:rsidRPr="00E72115">
        <w:rPr>
          <w:rFonts w:ascii="Arial Narrow" w:eastAsia="Calibri" w:hAnsi="Arial Narrow" w:cs="Times New Roman"/>
          <w:lang w:eastAsia="es-CR"/>
        </w:rPr>
        <w:t xml:space="preserve"> “</w:t>
      </w:r>
      <w:r w:rsidRPr="00810B3D">
        <w:rPr>
          <w:rFonts w:ascii="Arial Narrow" w:eastAsia="Calibri" w:hAnsi="Arial Narrow" w:cs="Times New Roman"/>
          <w:i/>
          <w:iCs/>
          <w:lang w:eastAsia="es-CR"/>
        </w:rPr>
        <w:t>Exp.Listo para fallar e ingresar al libro de fallo electrónico</w:t>
      </w:r>
      <w:r w:rsidRPr="00E72115">
        <w:rPr>
          <w:rFonts w:ascii="Arial Narrow" w:eastAsia="Calibri" w:hAnsi="Arial Narrow" w:cs="Times New Roman"/>
          <w:lang w:eastAsia="es-CR"/>
        </w:rPr>
        <w:t>”</w:t>
      </w:r>
      <w:r w:rsidR="00145ACE">
        <w:rPr>
          <w:rFonts w:ascii="Arial Narrow" w:eastAsia="Calibri" w:hAnsi="Arial Narrow" w:cs="Times New Roman"/>
          <w:lang w:eastAsia="es-CR"/>
        </w:rPr>
        <w:t xml:space="preserve">, </w:t>
      </w:r>
      <w:r w:rsidR="00145ACE" w:rsidRPr="003274CB">
        <w:rPr>
          <w:rFonts w:ascii="Arial Narrow" w:eastAsia="Calibri" w:hAnsi="Arial Narrow" w:cs="Times New Roman"/>
          <w:i/>
          <w:iCs/>
          <w:lang w:eastAsia="es-CR"/>
        </w:rPr>
        <w:t xml:space="preserve">“Para enviar al juez para fallo” </w:t>
      </w:r>
      <w:r w:rsidR="00416496" w:rsidRPr="003274CB">
        <w:rPr>
          <w:rFonts w:ascii="Arial Narrow" w:eastAsia="Calibri" w:hAnsi="Arial Narrow" w:cs="Times New Roman"/>
          <w:i/>
          <w:iCs/>
          <w:lang w:eastAsia="es-CR"/>
        </w:rPr>
        <w:t xml:space="preserve"> o </w:t>
      </w:r>
      <w:r w:rsidR="00416496" w:rsidRPr="00810B3D">
        <w:rPr>
          <w:rFonts w:ascii="Arial Narrow" w:eastAsia="Calibri" w:hAnsi="Arial Narrow" w:cs="Times New Roman"/>
          <w:i/>
          <w:iCs/>
          <w:lang w:eastAsia="es-CR"/>
        </w:rPr>
        <w:t>“Para dictar sentencia”</w:t>
      </w:r>
      <w:r w:rsidRPr="00810B3D">
        <w:rPr>
          <w:rFonts w:ascii="Arial Narrow" w:eastAsia="Calibri" w:hAnsi="Arial Narrow" w:cs="Times New Roman"/>
          <w:i/>
          <w:iCs/>
          <w:lang w:eastAsia="es-CR"/>
        </w:rPr>
        <w:t>,</w:t>
      </w:r>
      <w:r w:rsidRPr="00416496">
        <w:rPr>
          <w:rFonts w:ascii="Arial Narrow" w:eastAsia="Calibri" w:hAnsi="Arial Narrow" w:cs="Times New Roman"/>
          <w:i/>
          <w:iCs/>
          <w:lang w:eastAsia="es-CR"/>
        </w:rPr>
        <w:t xml:space="preserve"> </w:t>
      </w:r>
      <w:r w:rsidRPr="00E72115">
        <w:rPr>
          <w:rFonts w:ascii="Arial Narrow" w:eastAsia="Calibri" w:hAnsi="Arial Narrow" w:cs="Times New Roman"/>
          <w:lang w:eastAsia="es-CR"/>
        </w:rPr>
        <w:t>debe desasociar esa</w:t>
      </w:r>
      <w:r w:rsidR="0092088A">
        <w:rPr>
          <w:rFonts w:ascii="Arial Narrow" w:eastAsia="Calibri" w:hAnsi="Arial Narrow" w:cs="Times New Roman"/>
          <w:lang w:eastAsia="es-CR"/>
        </w:rPr>
        <w:t>s</w:t>
      </w:r>
      <w:r w:rsidRPr="00E72115">
        <w:rPr>
          <w:rFonts w:ascii="Arial Narrow" w:eastAsia="Calibri" w:hAnsi="Arial Narrow" w:cs="Times New Roman"/>
          <w:lang w:eastAsia="es-CR"/>
        </w:rPr>
        <w:t xml:space="preserve"> tarea</w:t>
      </w:r>
      <w:r w:rsidR="0092088A">
        <w:rPr>
          <w:rFonts w:ascii="Arial Narrow" w:eastAsia="Calibri" w:hAnsi="Arial Narrow" w:cs="Times New Roman"/>
          <w:lang w:eastAsia="es-CR"/>
        </w:rPr>
        <w:t>s</w:t>
      </w:r>
      <w:r w:rsidRPr="00E72115">
        <w:rPr>
          <w:rFonts w:ascii="Arial Narrow" w:eastAsia="Calibri" w:hAnsi="Arial Narrow" w:cs="Times New Roman"/>
          <w:lang w:eastAsia="es-CR"/>
        </w:rPr>
        <w:t xml:space="preserve"> (para que no pueda</w:t>
      </w:r>
      <w:r w:rsidR="0092088A">
        <w:rPr>
          <w:rFonts w:ascii="Arial Narrow" w:eastAsia="Calibri" w:hAnsi="Arial Narrow" w:cs="Times New Roman"/>
          <w:lang w:eastAsia="es-CR"/>
        </w:rPr>
        <w:t>n</w:t>
      </w:r>
      <w:r w:rsidRPr="00E72115">
        <w:rPr>
          <w:rFonts w:ascii="Arial Narrow" w:eastAsia="Calibri" w:hAnsi="Arial Narrow" w:cs="Times New Roman"/>
          <w:lang w:eastAsia="es-CR"/>
        </w:rPr>
        <w:t xml:space="preserve"> utilizarse) e informar a la DTIC regional para que corroboren que se realizó correctamente e informen a Normalización de DTIC para excluirla del estándar de tareas en materia </w:t>
      </w:r>
      <w:r w:rsidR="00751611">
        <w:rPr>
          <w:rFonts w:ascii="Arial Narrow" w:eastAsia="Calibri" w:hAnsi="Arial Narrow" w:cs="Times New Roman"/>
          <w:lang w:eastAsia="es-CR"/>
        </w:rPr>
        <w:t>Agraria</w:t>
      </w:r>
      <w:r w:rsidRPr="00E72115">
        <w:rPr>
          <w:rFonts w:ascii="Arial Narrow" w:eastAsia="Calibri" w:hAnsi="Arial Narrow" w:cs="Times New Roman"/>
          <w:lang w:eastAsia="es-CR"/>
        </w:rPr>
        <w:t xml:space="preserve">. </w:t>
      </w:r>
    </w:p>
    <w:p w:rsidR="00C357AF" w:rsidRPr="006D318C" w:rsidRDefault="00C357AF" w:rsidP="00D13330">
      <w:pPr>
        <w:widowControl w:val="0"/>
        <w:suppressAutoHyphens/>
        <w:spacing w:after="0" w:line="240" w:lineRule="auto"/>
        <w:ind w:firstLine="709"/>
        <w:jc w:val="both"/>
        <w:rPr>
          <w:rFonts w:ascii="Arial Narrow" w:eastAsia="Calibri" w:hAnsi="Arial Narrow" w:cs="Times New Roman"/>
          <w:highlight w:val="yellow"/>
          <w:lang w:eastAsia="es-CR"/>
        </w:rPr>
      </w:pPr>
      <w:r w:rsidRPr="006D318C">
        <w:rPr>
          <w:rFonts w:ascii="Arial Narrow" w:eastAsia="Calibri" w:hAnsi="Arial Narrow" w:cs="Times New Roman"/>
          <w:highlight w:val="yellow"/>
          <w:lang w:eastAsia="es-CR"/>
        </w:rPr>
        <w:t xml:space="preserve"> </w:t>
      </w:r>
    </w:p>
    <w:p w:rsidR="00C357AF" w:rsidRPr="00622D78" w:rsidRDefault="00C357AF" w:rsidP="00D13330">
      <w:pPr>
        <w:widowControl w:val="0"/>
        <w:numPr>
          <w:ilvl w:val="0"/>
          <w:numId w:val="1"/>
        </w:numPr>
        <w:suppressAutoHyphens/>
        <w:spacing w:after="0" w:line="240" w:lineRule="auto"/>
        <w:ind w:left="0" w:firstLine="709"/>
        <w:jc w:val="both"/>
        <w:rPr>
          <w:rFonts w:ascii="Arial Narrow" w:eastAsia="Calibri" w:hAnsi="Arial Narrow" w:cs="Times New Roman"/>
          <w:lang w:eastAsia="es-CR"/>
        </w:rPr>
      </w:pPr>
      <w:r w:rsidRPr="00622D78">
        <w:rPr>
          <w:rFonts w:ascii="Arial Narrow" w:eastAsia="Calibri" w:hAnsi="Arial Narrow" w:cs="Times New Roman"/>
          <w:lang w:eastAsia="es-CR"/>
        </w:rPr>
        <w:t>Se adjunta un explicativo gráfico del procedimiento para inclusión de la información en el módulo de pase a fallo y generalidades para su correcto funcionamiento</w:t>
      </w:r>
      <w:r w:rsidR="00D13330" w:rsidRPr="00622D78">
        <w:rPr>
          <w:rFonts w:ascii="Arial Narrow" w:eastAsia="Calibri" w:hAnsi="Arial Narrow" w:cs="Times New Roman"/>
          <w:lang w:eastAsia="es-CR"/>
        </w:rPr>
        <w:t>, el cual se encuentra en el siguiente enlace</w:t>
      </w:r>
      <w:r w:rsidRPr="00622D78">
        <w:rPr>
          <w:rFonts w:ascii="Arial Narrow" w:eastAsia="Calibri" w:hAnsi="Arial Narrow" w:cs="Times New Roman"/>
          <w:lang w:eastAsia="es-CR"/>
        </w:rPr>
        <w:t>:</w:t>
      </w:r>
    </w:p>
    <w:p w:rsidR="00D13330" w:rsidRPr="00E72115" w:rsidRDefault="00D13330" w:rsidP="00D13330">
      <w:pPr>
        <w:widowControl w:val="0"/>
        <w:suppressAutoHyphens/>
        <w:spacing w:after="0" w:line="240" w:lineRule="auto"/>
        <w:ind w:left="709"/>
        <w:jc w:val="both"/>
        <w:rPr>
          <w:rFonts w:ascii="Arial Narrow" w:eastAsia="Calibri" w:hAnsi="Arial Narrow" w:cs="Times New Roman"/>
          <w:lang w:eastAsia="es-CR"/>
        </w:rPr>
      </w:pPr>
    </w:p>
    <w:bookmarkStart w:id="1" w:name="_MON_1773582109"/>
    <w:bookmarkEnd w:id="1"/>
    <w:p w:rsidR="00C357AF" w:rsidRPr="00E72115" w:rsidRDefault="00D00939" w:rsidP="00E72115">
      <w:pPr>
        <w:spacing w:after="0" w:line="240" w:lineRule="auto"/>
        <w:ind w:right="851"/>
        <w:jc w:val="center"/>
        <w:rPr>
          <w:rFonts w:ascii="Arial Narrow" w:eastAsia="Calibri" w:hAnsi="Arial Narrow" w:cs="Times New Roman"/>
          <w:lang w:eastAsia="es-CR"/>
        </w:rPr>
      </w:pPr>
      <w:r w:rsidRPr="00E72115">
        <w:rPr>
          <w:rFonts w:ascii="Arial Narrow" w:eastAsia="Calibri" w:hAnsi="Arial Narrow" w:cs="Times New Roman"/>
          <w:lang w:eastAsia="es-CR"/>
        </w:rPr>
        <w:object w:dxaOrig="1810" w:dyaOrig="1180" w14:anchorId="1094AA06">
          <v:shape id="_x0000_i1027" type="#_x0000_t75" style="width:90.5pt;height:59pt" o:ole="">
            <v:imagedata r:id="rId11" o:title=""/>
          </v:shape>
          <o:OLEObject Type="Embed" ProgID="Word.Document.12" ShapeID="_x0000_i1027" DrawAspect="Icon" ObjectID="_1809435344" r:id="rId12">
            <o:FieldCodes>\s</o:FieldCodes>
          </o:OLEObject>
        </w:object>
      </w:r>
    </w:p>
    <w:sectPr w:rsidR="00C357AF" w:rsidRPr="00E7211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7113BF"/>
    <w:multiLevelType w:val="hybridMultilevel"/>
    <w:tmpl w:val="83002DD6"/>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16cid:durableId="20689924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079"/>
    <w:rsid w:val="00012C59"/>
    <w:rsid w:val="00035111"/>
    <w:rsid w:val="00081E4B"/>
    <w:rsid w:val="000F4BE4"/>
    <w:rsid w:val="00100079"/>
    <w:rsid w:val="00101862"/>
    <w:rsid w:val="00122CD0"/>
    <w:rsid w:val="00145ACE"/>
    <w:rsid w:val="001F3199"/>
    <w:rsid w:val="001F7D92"/>
    <w:rsid w:val="002A6DEE"/>
    <w:rsid w:val="002D2EB3"/>
    <w:rsid w:val="003274CB"/>
    <w:rsid w:val="00331A5E"/>
    <w:rsid w:val="00334EC4"/>
    <w:rsid w:val="00416496"/>
    <w:rsid w:val="00444BAA"/>
    <w:rsid w:val="0045592B"/>
    <w:rsid w:val="00487CC5"/>
    <w:rsid w:val="00493865"/>
    <w:rsid w:val="004957D4"/>
    <w:rsid w:val="004B1786"/>
    <w:rsid w:val="004C3513"/>
    <w:rsid w:val="004C6B57"/>
    <w:rsid w:val="004F75EE"/>
    <w:rsid w:val="0051213D"/>
    <w:rsid w:val="00534E05"/>
    <w:rsid w:val="00534ECA"/>
    <w:rsid w:val="00567614"/>
    <w:rsid w:val="005E77B9"/>
    <w:rsid w:val="005E7E8B"/>
    <w:rsid w:val="00622D78"/>
    <w:rsid w:val="00660170"/>
    <w:rsid w:val="006C74BE"/>
    <w:rsid w:val="006D318C"/>
    <w:rsid w:val="006E2876"/>
    <w:rsid w:val="006F286B"/>
    <w:rsid w:val="007240FB"/>
    <w:rsid w:val="00751611"/>
    <w:rsid w:val="007708DE"/>
    <w:rsid w:val="00775B05"/>
    <w:rsid w:val="007E6408"/>
    <w:rsid w:val="00810B3D"/>
    <w:rsid w:val="008234D0"/>
    <w:rsid w:val="00863CBE"/>
    <w:rsid w:val="008A22CC"/>
    <w:rsid w:val="008A2A47"/>
    <w:rsid w:val="008D3818"/>
    <w:rsid w:val="00904A9A"/>
    <w:rsid w:val="0091331D"/>
    <w:rsid w:val="00917744"/>
    <w:rsid w:val="0092088A"/>
    <w:rsid w:val="00921140"/>
    <w:rsid w:val="009603C5"/>
    <w:rsid w:val="009B5B89"/>
    <w:rsid w:val="009B7494"/>
    <w:rsid w:val="00A6009D"/>
    <w:rsid w:val="00AD4B99"/>
    <w:rsid w:val="00B96541"/>
    <w:rsid w:val="00BB1258"/>
    <w:rsid w:val="00BD1E13"/>
    <w:rsid w:val="00BE4676"/>
    <w:rsid w:val="00C114E9"/>
    <w:rsid w:val="00C16AD3"/>
    <w:rsid w:val="00C357AF"/>
    <w:rsid w:val="00C704CD"/>
    <w:rsid w:val="00C77488"/>
    <w:rsid w:val="00CF0FAC"/>
    <w:rsid w:val="00D00939"/>
    <w:rsid w:val="00D053BF"/>
    <w:rsid w:val="00D13330"/>
    <w:rsid w:val="00D30B81"/>
    <w:rsid w:val="00DA5A8E"/>
    <w:rsid w:val="00DC576C"/>
    <w:rsid w:val="00E40925"/>
    <w:rsid w:val="00E72115"/>
    <w:rsid w:val="00F15064"/>
    <w:rsid w:val="00F66B30"/>
    <w:rsid w:val="00F7792F"/>
    <w:rsid w:val="00F833F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9E0D6"/>
  <w15:chartTrackingRefBased/>
  <w15:docId w15:val="{B7AB9150-1A66-4FB0-BEA0-28AF58DB5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aliases w:val="Títulos de Hallazgo e Introducción"/>
    <w:basedOn w:val="Normal"/>
    <w:next w:val="Textoindependiente"/>
    <w:link w:val="Ttulo2Car"/>
    <w:qFormat/>
    <w:rsid w:val="00D053BF"/>
    <w:pPr>
      <w:keepNext/>
      <w:tabs>
        <w:tab w:val="num" w:pos="0"/>
      </w:tabs>
      <w:suppressAutoHyphens/>
      <w:spacing w:before="120" w:after="120" w:line="480" w:lineRule="auto"/>
      <w:jc w:val="center"/>
      <w:outlineLvl w:val="1"/>
    </w:pPr>
    <w:rPr>
      <w:rFonts w:ascii="Times New Roman" w:eastAsia="Times New Roman" w:hAnsi="Times New Roman" w:cs="Times New Roman"/>
      <w:b/>
      <w:bCs/>
      <w:sz w:val="32"/>
      <w:szCs w:val="28"/>
      <w:u w:val="single"/>
      <w:lang w:val="es-ES" w:eastAsia="ar-SA"/>
    </w:rPr>
  </w:style>
  <w:style w:type="paragraph" w:styleId="Ttulo3">
    <w:name w:val="heading 3"/>
    <w:aliases w:val="Subtítulos de Hallazgo"/>
    <w:basedOn w:val="Normal"/>
    <w:next w:val="Normal"/>
    <w:link w:val="Ttulo3Car"/>
    <w:qFormat/>
    <w:rsid w:val="00BB1258"/>
    <w:pPr>
      <w:keepNext/>
      <w:suppressAutoHyphens/>
      <w:spacing w:after="0" w:line="240" w:lineRule="auto"/>
      <w:ind w:firstLine="709"/>
      <w:jc w:val="both"/>
      <w:outlineLvl w:val="2"/>
    </w:pPr>
    <w:rPr>
      <w:rFonts w:ascii="Times New Roman" w:eastAsia="Times New Roman" w:hAnsi="Times New Roman" w:cs="Arial"/>
      <w:bCs/>
      <w:color w:val="0000FF"/>
      <w:sz w:val="24"/>
      <w:szCs w:val="26"/>
      <w:lang w:val="es-ES_tradnl"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Títulos de Hallazgo e Introducción Car"/>
    <w:basedOn w:val="Fuentedeprrafopredeter"/>
    <w:link w:val="Ttulo2"/>
    <w:qFormat/>
    <w:rsid w:val="00D053BF"/>
    <w:rPr>
      <w:rFonts w:ascii="Times New Roman" w:eastAsia="Times New Roman" w:hAnsi="Times New Roman" w:cs="Times New Roman"/>
      <w:b/>
      <w:bCs/>
      <w:sz w:val="32"/>
      <w:szCs w:val="28"/>
      <w:u w:val="single"/>
      <w:lang w:val="es-ES" w:eastAsia="ar-SA"/>
    </w:rPr>
  </w:style>
  <w:style w:type="paragraph" w:styleId="Textoindependiente">
    <w:name w:val="Body Text"/>
    <w:basedOn w:val="Normal"/>
    <w:link w:val="TextoindependienteCar"/>
    <w:uiPriority w:val="99"/>
    <w:semiHidden/>
    <w:unhideWhenUsed/>
    <w:rsid w:val="00863CBE"/>
    <w:pPr>
      <w:spacing w:after="120"/>
    </w:pPr>
  </w:style>
  <w:style w:type="character" w:customStyle="1" w:styleId="TextoindependienteCar">
    <w:name w:val="Texto independiente Car"/>
    <w:basedOn w:val="Fuentedeprrafopredeter"/>
    <w:link w:val="Textoindependiente"/>
    <w:uiPriority w:val="99"/>
    <w:semiHidden/>
    <w:rsid w:val="00863CBE"/>
  </w:style>
  <w:style w:type="character" w:customStyle="1" w:styleId="Ttulo3Car">
    <w:name w:val="Título 3 Car"/>
    <w:aliases w:val="Subtítulos de Hallazgo Car"/>
    <w:basedOn w:val="Fuentedeprrafopredeter"/>
    <w:link w:val="Ttulo3"/>
    <w:qFormat/>
    <w:rsid w:val="00BB1258"/>
    <w:rPr>
      <w:rFonts w:ascii="Times New Roman" w:eastAsia="Times New Roman" w:hAnsi="Times New Roman" w:cs="Arial"/>
      <w:bCs/>
      <w:color w:val="0000FF"/>
      <w:sz w:val="24"/>
      <w:szCs w:val="26"/>
      <w:lang w:val="es-ES_tradnl" w:eastAsia="ar-SA"/>
    </w:rPr>
  </w:style>
  <w:style w:type="character" w:styleId="Hipervnculo">
    <w:name w:val="Hyperlink"/>
    <w:basedOn w:val="Fuentedeprrafopredeter"/>
    <w:uiPriority w:val="99"/>
    <w:unhideWhenUsed/>
    <w:rsid w:val="00C357AF"/>
    <w:rPr>
      <w:color w:val="0563C1"/>
      <w:u w:val="single"/>
    </w:rPr>
  </w:style>
  <w:style w:type="paragraph" w:styleId="NormalWeb">
    <w:name w:val="Normal (Web)"/>
    <w:basedOn w:val="Normal"/>
    <w:uiPriority w:val="99"/>
    <w:semiHidden/>
    <w:unhideWhenUsed/>
    <w:rsid w:val="00C357AF"/>
    <w:pPr>
      <w:spacing w:before="100" w:beforeAutospacing="1" w:after="100" w:afterAutospacing="1" w:line="240" w:lineRule="auto"/>
    </w:pPr>
    <w:rPr>
      <w:rFonts w:ascii="Calibri" w:hAnsi="Calibri" w:cs="Calibri"/>
      <w:lang w:eastAsia="es-CR"/>
    </w:rPr>
  </w:style>
  <w:style w:type="character" w:styleId="Hipervnculovisitado">
    <w:name w:val="FollowedHyperlink"/>
    <w:basedOn w:val="Fuentedeprrafopredeter"/>
    <w:uiPriority w:val="99"/>
    <w:semiHidden/>
    <w:unhideWhenUsed/>
    <w:rsid w:val="006C74BE"/>
    <w:rPr>
      <w:color w:val="954F72" w:themeColor="followedHyperlink"/>
      <w:u w:val="single"/>
    </w:rPr>
  </w:style>
  <w:style w:type="paragraph" w:styleId="Prrafodelista">
    <w:name w:val="List Paragraph"/>
    <w:basedOn w:val="Normal"/>
    <w:uiPriority w:val="34"/>
    <w:qFormat/>
    <w:rsid w:val="00DA5A8E"/>
    <w:pPr>
      <w:ind w:left="720"/>
      <w:contextualSpacing/>
    </w:pPr>
  </w:style>
  <w:style w:type="character" w:styleId="Mencinsinresolver">
    <w:name w:val="Unresolved Mention"/>
    <w:basedOn w:val="Fuentedeprrafopredeter"/>
    <w:uiPriority w:val="99"/>
    <w:semiHidden/>
    <w:unhideWhenUsed/>
    <w:rsid w:val="00DA5A8E"/>
    <w:rPr>
      <w:color w:val="605E5C"/>
      <w:shd w:val="clear" w:color="auto" w:fill="E1DFDD"/>
    </w:rPr>
  </w:style>
  <w:style w:type="table" w:styleId="Tablaconcuadrcula4-nfasis5">
    <w:name w:val="Grid Table 4 Accent 5"/>
    <w:basedOn w:val="Tablanormal"/>
    <w:uiPriority w:val="49"/>
    <w:rsid w:val="00E7211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Revisin">
    <w:name w:val="Revision"/>
    <w:hidden/>
    <w:uiPriority w:val="99"/>
    <w:semiHidden/>
    <w:rsid w:val="00E40925"/>
    <w:pPr>
      <w:spacing w:after="0" w:line="240" w:lineRule="auto"/>
    </w:pPr>
  </w:style>
  <w:style w:type="paragraph" w:customStyle="1" w:styleId="xmsonormal">
    <w:name w:val="x_msonormal"/>
    <w:basedOn w:val="Normal"/>
    <w:rsid w:val="00E40925"/>
    <w:pPr>
      <w:spacing w:after="0" w:line="240" w:lineRule="auto"/>
    </w:pPr>
    <w:rPr>
      <w:rFonts w:ascii="Calibri" w:eastAsia="Calibri" w:hAnsi="Calibri" w:cs="Calibri"/>
      <w:lang w:eastAsia="es-CR"/>
    </w:rPr>
  </w:style>
  <w:style w:type="table" w:styleId="Tablaconcuadrcula">
    <w:name w:val="Table Grid"/>
    <w:basedOn w:val="Tablanormal"/>
    <w:uiPriority w:val="39"/>
    <w:rsid w:val="009B5B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698663">
      <w:bodyDiv w:val="1"/>
      <w:marLeft w:val="0"/>
      <w:marRight w:val="0"/>
      <w:marTop w:val="0"/>
      <w:marBottom w:val="0"/>
      <w:divBdr>
        <w:top w:val="none" w:sz="0" w:space="0" w:color="auto"/>
        <w:left w:val="none" w:sz="0" w:space="0" w:color="auto"/>
        <w:bottom w:val="none" w:sz="0" w:space="0" w:color="auto"/>
        <w:right w:val="none" w:sz="0" w:space="0" w:color="auto"/>
      </w:divBdr>
    </w:div>
    <w:div w:id="223106264">
      <w:bodyDiv w:val="1"/>
      <w:marLeft w:val="0"/>
      <w:marRight w:val="0"/>
      <w:marTop w:val="0"/>
      <w:marBottom w:val="0"/>
      <w:divBdr>
        <w:top w:val="none" w:sz="0" w:space="0" w:color="auto"/>
        <w:left w:val="none" w:sz="0" w:space="0" w:color="auto"/>
        <w:bottom w:val="none" w:sz="0" w:space="0" w:color="auto"/>
        <w:right w:val="none" w:sz="0" w:space="0" w:color="auto"/>
      </w:divBdr>
    </w:div>
    <w:div w:id="363332383">
      <w:bodyDiv w:val="1"/>
      <w:marLeft w:val="0"/>
      <w:marRight w:val="0"/>
      <w:marTop w:val="0"/>
      <w:marBottom w:val="0"/>
      <w:divBdr>
        <w:top w:val="none" w:sz="0" w:space="0" w:color="auto"/>
        <w:left w:val="none" w:sz="0" w:space="0" w:color="auto"/>
        <w:bottom w:val="none" w:sz="0" w:space="0" w:color="auto"/>
        <w:right w:val="none" w:sz="0" w:space="0" w:color="auto"/>
      </w:divBdr>
    </w:div>
    <w:div w:id="468203198">
      <w:bodyDiv w:val="1"/>
      <w:marLeft w:val="0"/>
      <w:marRight w:val="0"/>
      <w:marTop w:val="0"/>
      <w:marBottom w:val="0"/>
      <w:divBdr>
        <w:top w:val="none" w:sz="0" w:space="0" w:color="auto"/>
        <w:left w:val="none" w:sz="0" w:space="0" w:color="auto"/>
        <w:bottom w:val="none" w:sz="0" w:space="0" w:color="auto"/>
        <w:right w:val="none" w:sz="0" w:space="0" w:color="auto"/>
      </w:divBdr>
    </w:div>
    <w:div w:id="680788693">
      <w:bodyDiv w:val="1"/>
      <w:marLeft w:val="0"/>
      <w:marRight w:val="0"/>
      <w:marTop w:val="0"/>
      <w:marBottom w:val="0"/>
      <w:divBdr>
        <w:top w:val="none" w:sz="0" w:space="0" w:color="auto"/>
        <w:left w:val="none" w:sz="0" w:space="0" w:color="auto"/>
        <w:bottom w:val="none" w:sz="0" w:space="0" w:color="auto"/>
        <w:right w:val="none" w:sz="0" w:space="0" w:color="auto"/>
      </w:divBdr>
    </w:div>
    <w:div w:id="913129598">
      <w:bodyDiv w:val="1"/>
      <w:marLeft w:val="0"/>
      <w:marRight w:val="0"/>
      <w:marTop w:val="0"/>
      <w:marBottom w:val="0"/>
      <w:divBdr>
        <w:top w:val="none" w:sz="0" w:space="0" w:color="auto"/>
        <w:left w:val="none" w:sz="0" w:space="0" w:color="auto"/>
        <w:bottom w:val="none" w:sz="0" w:space="0" w:color="auto"/>
        <w:right w:val="none" w:sz="0" w:space="0" w:color="auto"/>
      </w:divBdr>
    </w:div>
    <w:div w:id="973023401">
      <w:bodyDiv w:val="1"/>
      <w:marLeft w:val="0"/>
      <w:marRight w:val="0"/>
      <w:marTop w:val="0"/>
      <w:marBottom w:val="0"/>
      <w:divBdr>
        <w:top w:val="none" w:sz="0" w:space="0" w:color="auto"/>
        <w:left w:val="none" w:sz="0" w:space="0" w:color="auto"/>
        <w:bottom w:val="none" w:sz="0" w:space="0" w:color="auto"/>
        <w:right w:val="none" w:sz="0" w:space="0" w:color="auto"/>
      </w:divBdr>
    </w:div>
    <w:div w:id="1190875412">
      <w:bodyDiv w:val="1"/>
      <w:marLeft w:val="0"/>
      <w:marRight w:val="0"/>
      <w:marTop w:val="0"/>
      <w:marBottom w:val="0"/>
      <w:divBdr>
        <w:top w:val="none" w:sz="0" w:space="0" w:color="auto"/>
        <w:left w:val="none" w:sz="0" w:space="0" w:color="auto"/>
        <w:bottom w:val="none" w:sz="0" w:space="0" w:color="auto"/>
        <w:right w:val="none" w:sz="0" w:space="0" w:color="auto"/>
      </w:divBdr>
    </w:div>
    <w:div w:id="161193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ni_estadistica_np@poder-judicial.go.c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package" Target="embeddings/Microsoft_Word_Document.doc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4.emf"/><Relationship Id="rId5" Type="http://schemas.openxmlformats.org/officeDocument/2006/relationships/image" Target="media/image1.png"/><Relationship Id="rId10" Type="http://schemas.openxmlformats.org/officeDocument/2006/relationships/oleObject" Target="embeddings/Microsoft_Word_97_-_2003_Document.doc"/><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767</Words>
  <Characters>4222</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Secretaría General de la Corte - Comunicaciones - Nickole Salas Soto.</dc:creator>
  <cp:keywords/>
  <dc:description/>
  <cp:lastModifiedBy>Randall Orozco Salazar (Autorizado/Secretaría General de la Cor</cp:lastModifiedBy>
  <cp:revision>1</cp:revision>
  <dcterms:created xsi:type="dcterms:W3CDTF">2025-05-22T22:04:00Z</dcterms:created>
  <dcterms:modified xsi:type="dcterms:W3CDTF">2025-05-22T22:04:00Z</dcterms:modified>
</cp:coreProperties>
</file>