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68C95"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b/>
          <w:szCs w:val="24"/>
          <w:u w:val="single" w:color="000000"/>
          <w:lang w:val="es-ES_tradnl"/>
        </w:rPr>
        <w:t>CIRCULAR No.162-2017</w:t>
      </w:r>
    </w:p>
    <w:p w14:paraId="46BBDD9C"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szCs w:val="24"/>
          <w:u w:val="single" w:color="000000"/>
          <w:lang w:val="es-ES_tradnl"/>
        </w:rPr>
        <w:t>Asunto</w:t>
      </w:r>
      <w:r>
        <w:rPr>
          <w:rStyle w:val="app-page-detaildocumentanyCharacter"/>
          <w:rFonts w:eastAsia="Times New Roman" w:cs="Times New Roman"/>
          <w:szCs w:val="24"/>
          <w:lang w:val="es-ES_tradnl"/>
        </w:rPr>
        <w:t>: Atención de emergencia nacional por tormenta tropical Nate</w:t>
      </w:r>
    </w:p>
    <w:p w14:paraId="30318D54"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b/>
          <w:szCs w:val="24"/>
          <w:u w:val="single" w:color="000000"/>
          <w:lang w:val="es-ES_tradnl"/>
        </w:rPr>
        <w:t>A LAS OFICINAS JUDICIALES DEL PAÍS</w:t>
      </w:r>
    </w:p>
    <w:p w14:paraId="78079951"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b/>
          <w:szCs w:val="24"/>
          <w:u w:val="single" w:color="000000"/>
          <w:lang w:val="es-ES_tradnl"/>
        </w:rPr>
        <w:t>SE LES HACE SABER QUE</w:t>
      </w:r>
      <w:r>
        <w:rPr>
          <w:rStyle w:val="app-page-detaildocumentanyCharacter"/>
          <w:rFonts w:eastAsia="Times New Roman" w:cs="Times New Roman"/>
          <w:b/>
          <w:szCs w:val="24"/>
          <w:lang w:val="es-ES_tradnl"/>
        </w:rPr>
        <w:t>:</w:t>
      </w:r>
    </w:p>
    <w:p w14:paraId="5691B568" w14:textId="77777777" w:rsidR="00A17BAF" w:rsidRDefault="00A17BAF" w:rsidP="00A17BAF">
      <w:pPr>
        <w:pStyle w:val="app-page-detaildocumentany"/>
        <w:spacing w:before="120" w:after="120"/>
        <w:ind w:left="470" w:right="470"/>
        <w:jc w:val="both"/>
        <w:rPr>
          <w:rStyle w:val="app-page-detaildocumentanyCharacter"/>
          <w:rFonts w:eastAsia="Times New Roman" w:cs="Times New Roman"/>
          <w:szCs w:val="24"/>
          <w:lang w:val="es-ES_tradnl"/>
        </w:rPr>
      </w:pPr>
      <w:r>
        <w:rPr>
          <w:rStyle w:val="app-page-detaildocumentanyCharacter"/>
          <w:rFonts w:eastAsia="Times New Roman" w:cs="Times New Roman"/>
          <w:szCs w:val="24"/>
          <w:lang w:val="es-ES_tradnl"/>
        </w:rPr>
        <w:t>El Consejo Superior del Poder Judicial en sesión No. 91-17 celebrada el 5 de octubre de 2017, artículo único, ante la declaratoria de emergencia emitida por la Comisión Nacional de Emergencias, y el decreto de asueto por parte del Poder Ejecutivo los días 5 y 6 de octubre de 2017 (CP-376-2017), acordó lo siguiente:</w:t>
      </w:r>
    </w:p>
    <w:p w14:paraId="2EE92FB9" w14:textId="77777777" w:rsidR="00A17BAF" w:rsidRDefault="00A17BAF" w:rsidP="00A17BAF">
      <w:pPr>
        <w:pStyle w:val="app-page-detaildocumentany"/>
        <w:spacing w:before="120" w:after="120"/>
        <w:ind w:left="470" w:right="470"/>
        <w:jc w:val="both"/>
        <w:rPr>
          <w:rFonts w:eastAsia="Times New Roman" w:cs="Times New Roman"/>
          <w:szCs w:val="24"/>
          <w:lang w:val="es-CR"/>
        </w:rPr>
      </w:pPr>
    </w:p>
    <w:p w14:paraId="42D896FC" w14:textId="77777777"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ES_tradnl"/>
        </w:rPr>
        <w:t>1.</w:t>
      </w:r>
      <w:r>
        <w:rPr>
          <w:rStyle w:val="app-page-detaildocumentanyCharacter"/>
          <w:rFonts w:eastAsia="Times New Roman" w:cs="Times New Roman"/>
          <w:szCs w:val="24"/>
          <w:lang w:val="es-CR"/>
        </w:rPr>
        <w:t> </w:t>
      </w:r>
      <w:r>
        <w:rPr>
          <w:rStyle w:val="app-page-detaildocumentanyCharacter"/>
          <w:rFonts w:eastAsia="Times New Roman" w:cs="Times New Roman"/>
          <w:szCs w:val="24"/>
          <w:lang w:val="es-ES_tradnl"/>
        </w:rPr>
        <w:t>Suspender las diligencias judiciales y evacuar totalmente los edificios de forma inmediata, los días 5 y 6 de octubre de 2017, en todo el país.</w:t>
      </w:r>
    </w:p>
    <w:p w14:paraId="0A252608" w14:textId="77777777"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ES_tradnl"/>
        </w:rPr>
        <w:t>2.</w:t>
      </w:r>
      <w:r>
        <w:rPr>
          <w:rStyle w:val="app-page-detaildocumentanyCharacter"/>
          <w:rFonts w:eastAsia="Times New Roman" w:cs="Times New Roman"/>
          <w:szCs w:val="24"/>
          <w:lang w:val="es-CR"/>
        </w:rPr>
        <w:t> </w:t>
      </w:r>
      <w:r>
        <w:rPr>
          <w:rStyle w:val="app-page-detaildocumentanyCharacter"/>
          <w:rFonts w:eastAsia="Times New Roman" w:cs="Times New Roman"/>
          <w:szCs w:val="24"/>
          <w:lang w:val="es-ES_tradnl"/>
        </w:rPr>
        <w:t>No deben permanecer personas detenidas en las celdas de los Tribunales y se deben coordinar los traslados correspondientes.</w:t>
      </w:r>
    </w:p>
    <w:p w14:paraId="4E30A446" w14:textId="77777777" w:rsidR="00A17BAF" w:rsidRP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ES_tradnl"/>
        </w:rPr>
        <w:t xml:space="preserve">3. Deben ubicarse lugares aptos, idóneos y adecuados, para la protección de los bienes de la institución, como son vehículos, equipos de cómputo, equipos de comunicación, entre otros, así como la documentación (expedientes y otros). En los </w:t>
      </w:r>
      <w:r w:rsidRPr="00A17BAF">
        <w:rPr>
          <w:rStyle w:val="app-page-detaildocumentanyCharacter"/>
          <w:rFonts w:eastAsia="Times New Roman" w:cs="Times New Roman"/>
          <w:szCs w:val="24"/>
          <w:lang w:val="es-ES_tradnl"/>
        </w:rPr>
        <w:t>casos donde existan plantas eléctricas portátiles, deben estar preparadas para entrar a funcionar en cualquier momento.</w:t>
      </w:r>
    </w:p>
    <w:p w14:paraId="3B1AE114" w14:textId="77777777" w:rsidR="00A17BAF" w:rsidRPr="00A17BAF" w:rsidRDefault="00A17BAF" w:rsidP="00A17BAF">
      <w:pPr>
        <w:pStyle w:val="app-page-detaildocumentany"/>
        <w:spacing w:before="120" w:after="120"/>
        <w:ind w:left="470" w:right="470"/>
        <w:jc w:val="both"/>
        <w:rPr>
          <w:rFonts w:eastAsia="Times New Roman" w:cs="Times New Roman"/>
          <w:szCs w:val="24"/>
          <w:lang w:val="es-CR"/>
        </w:rPr>
      </w:pPr>
      <w:r w:rsidRPr="00A17BAF">
        <w:rPr>
          <w:rStyle w:val="app-page-detaildocumentanyCharacter"/>
          <w:rFonts w:eastAsia="Times New Roman" w:cs="Times New Roman"/>
          <w:szCs w:val="24"/>
          <w:lang w:val="es-ES_tradnl"/>
        </w:rPr>
        <w:t xml:space="preserve">4. Solicitar a la Dirección del OIJ, a los Consejos de Administración de Circuitos y a las personas administradoras regionales del país, que se mantengan monitoreando la situación y tomen las medidas de seguridad que sean necesarias. </w:t>
      </w:r>
    </w:p>
    <w:p w14:paraId="11399954" w14:textId="03AEC744" w:rsidR="00A17BAF" w:rsidRPr="00A17BAF" w:rsidRDefault="00A17BAF" w:rsidP="00A17BAF">
      <w:pPr>
        <w:pStyle w:val="app-page-detaildocumentany"/>
        <w:spacing w:before="120" w:after="120"/>
        <w:ind w:left="470" w:right="470"/>
        <w:jc w:val="both"/>
        <w:rPr>
          <w:rFonts w:eastAsia="Times New Roman" w:cs="Times New Roman"/>
          <w:szCs w:val="24"/>
          <w:lang w:val="es-CR"/>
        </w:rPr>
      </w:pPr>
      <w:r w:rsidRPr="00A17BAF">
        <w:rPr>
          <w:rStyle w:val="app-page-detaildocumentanyCharacter"/>
          <w:rFonts w:eastAsia="Times New Roman" w:cs="Times New Roman"/>
          <w:szCs w:val="24"/>
          <w:lang w:val="es-ES_tradnl"/>
        </w:rPr>
        <w:t xml:space="preserve">5.   </w:t>
      </w:r>
      <w:r w:rsidRPr="00A17BAF">
        <w:rPr>
          <w:rStyle w:val="app-page-detaildocumentanyCharacter"/>
          <w:rFonts w:eastAsia="Times New Roman" w:cs="Times New Roman"/>
          <w:szCs w:val="24"/>
          <w:lang w:val="es-CR"/>
        </w:rPr>
        <w:t>La Sala Constitucional tendrá disponible un magistrado y el personal de turno, conforme se hace los 365 días del año.</w:t>
      </w:r>
    </w:p>
    <w:p w14:paraId="69BBF5EB" w14:textId="028FFB67" w:rsidR="00A17BAF" w:rsidRPr="00A17BAF" w:rsidRDefault="00A17BAF" w:rsidP="00A17BAF">
      <w:pPr>
        <w:pStyle w:val="app-page-detaildocumentany"/>
        <w:spacing w:before="120" w:after="120"/>
        <w:ind w:left="470" w:right="470"/>
        <w:jc w:val="both"/>
        <w:rPr>
          <w:rFonts w:eastAsia="Times New Roman" w:cs="Times New Roman"/>
          <w:szCs w:val="24"/>
          <w:lang w:val="es-CR"/>
        </w:rPr>
      </w:pPr>
      <w:r w:rsidRPr="00A17BAF">
        <w:rPr>
          <w:rStyle w:val="app-page-detaildocumentanyCharacter"/>
          <w:rFonts w:eastAsia="Times New Roman" w:cs="Times New Roman"/>
          <w:szCs w:val="24"/>
          <w:lang w:val="es-CR"/>
        </w:rPr>
        <w:t>6.    Por la naturaleza de la función que realizan, la medida de cierre no aplica a las personas servidoras judiciales que laboran en el Organismo de Investigación Judicial. Será la Dirección General quien determine las medidas pertinentes.</w:t>
      </w:r>
    </w:p>
    <w:p w14:paraId="6AD6205F" w14:textId="3F799206" w:rsidR="00A17BAF" w:rsidRPr="00A17BAF" w:rsidRDefault="00A17BAF" w:rsidP="00A17BAF">
      <w:pPr>
        <w:pStyle w:val="app-page-detaildocumentany"/>
        <w:spacing w:before="120" w:after="120"/>
        <w:ind w:left="470" w:right="470"/>
        <w:jc w:val="both"/>
        <w:rPr>
          <w:rFonts w:eastAsia="Times New Roman" w:cs="Times New Roman"/>
          <w:szCs w:val="24"/>
          <w:lang w:val="es-CR"/>
        </w:rPr>
      </w:pPr>
      <w:r w:rsidRPr="00A17BAF">
        <w:rPr>
          <w:rStyle w:val="app-page-detaildocumentanyCharacter"/>
          <w:rFonts w:eastAsia="Times New Roman" w:cs="Times New Roman"/>
          <w:szCs w:val="24"/>
          <w:lang w:val="es-CR"/>
        </w:rPr>
        <w:t>7.    Los Consejos de Administración de los Circuitos, las personas administradoras regionales, deberán monitorear la situación del Circuito y tomar las medidas de seguridad que sean necesarias en resguardo de la vida de las personas y de los recursos públicos.</w:t>
      </w:r>
    </w:p>
    <w:p w14:paraId="33A4BAD9" w14:textId="35E3CBE5" w:rsidR="00A17BAF" w:rsidRPr="00A17BAF" w:rsidRDefault="00A17BAF" w:rsidP="00A17BAF">
      <w:pPr>
        <w:pStyle w:val="app-page-detaildocumentany"/>
        <w:spacing w:before="120" w:after="120"/>
        <w:ind w:left="470" w:right="470"/>
        <w:jc w:val="both"/>
        <w:rPr>
          <w:rFonts w:eastAsia="Times New Roman" w:cs="Times New Roman"/>
          <w:szCs w:val="24"/>
          <w:lang w:val="es-CR"/>
        </w:rPr>
      </w:pPr>
      <w:r w:rsidRPr="00A17BAF">
        <w:rPr>
          <w:rStyle w:val="app-page-detaildocumentanyCharacter"/>
          <w:rFonts w:eastAsia="Times New Roman" w:cs="Times New Roman"/>
          <w:szCs w:val="24"/>
          <w:lang w:val="es-CR"/>
        </w:rPr>
        <w:t>8.   Las personas juzgadoras en materia penal deberán estar disponibles, de ser requeridos para atender situaciones de emergencia y deberán proveer a las personas administradoras regionales los números de teléfono para ser ubicados.</w:t>
      </w:r>
    </w:p>
    <w:p w14:paraId="51A0E4AF" w14:textId="00FCE9B1" w:rsidR="00A17BAF" w:rsidRDefault="00A17BAF" w:rsidP="00A17BAF">
      <w:pPr>
        <w:pStyle w:val="app-page-detaildocumentany"/>
        <w:spacing w:before="120" w:after="120"/>
        <w:ind w:left="470" w:right="470"/>
        <w:jc w:val="both"/>
        <w:rPr>
          <w:rFonts w:eastAsia="Times New Roman" w:cs="Times New Roman"/>
          <w:szCs w:val="24"/>
          <w:lang w:val="es-CR"/>
        </w:rPr>
      </w:pPr>
      <w:r w:rsidRPr="00A17BAF">
        <w:rPr>
          <w:rStyle w:val="app-page-detaildocumentanyCharacter"/>
          <w:rFonts w:eastAsia="Times New Roman" w:cs="Times New Roman"/>
          <w:szCs w:val="24"/>
          <w:lang w:val="es-CR"/>
        </w:rPr>
        <w:t>9.   Comunicar a las autoridades judiciales que laboran en los despachos de turno extraordinario, flagrancias y las que deben atender la materia penal, violencia doméstica y penal juvenil, que durante los días de asueto rigen en principio las medidas dispuestas para la atención en asuetos</w:t>
      </w:r>
      <w:r>
        <w:rPr>
          <w:rStyle w:val="app-page-detaildocumentanyCharacter"/>
          <w:rFonts w:eastAsia="Times New Roman" w:cs="Times New Roman"/>
          <w:szCs w:val="24"/>
          <w:lang w:val="es-CR"/>
        </w:rPr>
        <w:t xml:space="preserve">, días feriados y fines de semana, con </w:t>
      </w:r>
      <w:r>
        <w:rPr>
          <w:rStyle w:val="app-page-detaildocumentanyCharacter"/>
          <w:rFonts w:eastAsia="Times New Roman" w:cs="Times New Roman"/>
          <w:szCs w:val="24"/>
          <w:lang w:val="es-CR"/>
        </w:rPr>
        <w:lastRenderedPageBreak/>
        <w:t>las salvedades que la situación de emergencia imponga, aplicando el sentido común y respetando las medidas de seguridad que se impongan en cada zona. Asimismo, al valorar los casos, atenderán aquellas situaciones urgentes, que requieran una decisión judicial para garantizar los derechos de las personas usuarias y los fines del proceso, o bien cuando se requiera tomar medidas para proteger la integridad de las personas.</w:t>
      </w:r>
    </w:p>
    <w:p w14:paraId="2471DCDA" w14:textId="0345599F"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CR"/>
        </w:rPr>
        <w:t>10.   El próximo fin de semana se atenderá bajo las reglas ya dispuestas por el Consejo Superior, considerando en todo caso las circunstancias que se presenten por la emergencia que se vive, y las disposiciones que emitan las autoridades competentes.</w:t>
      </w:r>
    </w:p>
    <w:p w14:paraId="3F32516A" w14:textId="0DF8913C"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CR"/>
        </w:rPr>
        <w:t xml:space="preserve">11.   En la materia de Pensiones Alimentarias, también rigen, durante estos días de emergencia, las medidas dispuestas para la atención en asuetos, días feriados y fines de semana, con las salvedades que la situación de emergencia imponga, aplicando las mismas reglas ya indicadas. </w:t>
      </w:r>
    </w:p>
    <w:p w14:paraId="086A2E85" w14:textId="31B44E9B"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CR"/>
        </w:rPr>
        <w:t>12.  La Presidencia de la Corte continuará atendiendo y coordinando las emergencias que se presenten. A esos efectos están a disposición los siguientes números telefónicos: 2295-3379 y 2295-3332, del Centro de Apoyo, Coordinación y Mejoramiento de la Función Jurisdiccional.</w:t>
      </w:r>
    </w:p>
    <w:p w14:paraId="6C876414" w14:textId="164502F0"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CR"/>
        </w:rPr>
        <w:t xml:space="preserve">13.  </w:t>
      </w:r>
      <w:proofErr w:type="gramStart"/>
      <w:r>
        <w:rPr>
          <w:rStyle w:val="app-page-detaildocumentanyCharacter"/>
          <w:rFonts w:eastAsia="Times New Roman" w:cs="Times New Roman"/>
          <w:szCs w:val="24"/>
          <w:lang w:val="es-CR"/>
        </w:rPr>
        <w:t>En razón del</w:t>
      </w:r>
      <w:proofErr w:type="gramEnd"/>
      <w:r>
        <w:rPr>
          <w:rStyle w:val="app-page-detaildocumentanyCharacter"/>
          <w:rFonts w:eastAsia="Times New Roman" w:cs="Times New Roman"/>
          <w:szCs w:val="24"/>
          <w:lang w:val="es-CR"/>
        </w:rPr>
        <w:t xml:space="preserve"> asueto decretado, se prorrogan los plazos de ley.</w:t>
      </w:r>
    </w:p>
    <w:p w14:paraId="21174336" w14:textId="77777777"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b/>
          <w:szCs w:val="24"/>
          <w:lang w:val="es-CR"/>
        </w:rPr>
        <w:t>San José, 5 de octubre de 2017</w:t>
      </w:r>
    </w:p>
    <w:p w14:paraId="147A307B" w14:textId="77777777"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CR"/>
        </w:rPr>
        <w:t> </w:t>
      </w:r>
    </w:p>
    <w:p w14:paraId="2EA2AB90"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szCs w:val="24"/>
          <w:lang w:val="es-ES"/>
        </w:rPr>
        <w:t> </w:t>
      </w:r>
    </w:p>
    <w:p w14:paraId="319C74BA"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b/>
          <w:i/>
          <w:szCs w:val="24"/>
          <w:lang w:val="es-ES"/>
        </w:rPr>
        <w:t xml:space="preserve">Licda. Andrea </w:t>
      </w:r>
      <w:proofErr w:type="spellStart"/>
      <w:r>
        <w:rPr>
          <w:rStyle w:val="app-page-detaildocumentanyCharacter"/>
          <w:rFonts w:eastAsia="Times New Roman" w:cs="Times New Roman"/>
          <w:b/>
          <w:i/>
          <w:szCs w:val="24"/>
          <w:lang w:val="es-ES"/>
        </w:rPr>
        <w:t>Renauld</w:t>
      </w:r>
      <w:proofErr w:type="spellEnd"/>
      <w:r>
        <w:rPr>
          <w:rStyle w:val="app-page-detaildocumentanyCharacter"/>
          <w:rFonts w:eastAsia="Times New Roman" w:cs="Times New Roman"/>
          <w:b/>
          <w:i/>
          <w:szCs w:val="24"/>
          <w:lang w:val="es-ES"/>
        </w:rPr>
        <w:t xml:space="preserve"> Castro</w:t>
      </w:r>
    </w:p>
    <w:p w14:paraId="5A36CD00"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b/>
          <w:i/>
          <w:szCs w:val="24"/>
          <w:lang w:val="es-ES"/>
        </w:rPr>
        <w:t xml:space="preserve">Secretaria General </w:t>
      </w:r>
      <w:proofErr w:type="spellStart"/>
      <w:r>
        <w:rPr>
          <w:rStyle w:val="app-page-detaildocumentanyCharacter"/>
          <w:rFonts w:eastAsia="Times New Roman" w:cs="Times New Roman"/>
          <w:b/>
          <w:i/>
          <w:szCs w:val="24"/>
          <w:lang w:val="es-ES"/>
        </w:rPr>
        <w:t>a.í</w:t>
      </w:r>
      <w:proofErr w:type="spellEnd"/>
      <w:r>
        <w:rPr>
          <w:rStyle w:val="app-page-detaildocumentanyCharacter"/>
          <w:rFonts w:eastAsia="Times New Roman" w:cs="Times New Roman"/>
          <w:b/>
          <w:i/>
          <w:szCs w:val="24"/>
          <w:lang w:val="es-ES"/>
        </w:rPr>
        <w:t>.</w:t>
      </w:r>
    </w:p>
    <w:p w14:paraId="03635325"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b/>
          <w:i/>
          <w:szCs w:val="24"/>
          <w:lang w:val="es-ES"/>
        </w:rPr>
        <w:t>Corte Suprema de Justicia</w:t>
      </w:r>
    </w:p>
    <w:p w14:paraId="14795343" w14:textId="77777777" w:rsidR="00A17BAF" w:rsidRDefault="00A17BAF" w:rsidP="00A17BAF">
      <w:pPr>
        <w:pStyle w:val="app-page-detaildocumentany"/>
        <w:spacing w:before="120" w:after="120"/>
        <w:ind w:left="470" w:right="470"/>
        <w:jc w:val="center"/>
        <w:rPr>
          <w:rFonts w:eastAsia="Times New Roman" w:cs="Times New Roman"/>
          <w:szCs w:val="24"/>
          <w:lang w:val="es-CR"/>
        </w:rPr>
      </w:pPr>
      <w:r>
        <w:rPr>
          <w:rStyle w:val="app-page-detaildocumentanyCharacter"/>
          <w:rFonts w:eastAsia="Times New Roman" w:cs="Times New Roman"/>
          <w:b/>
          <w:szCs w:val="24"/>
          <w:lang w:val="es-ES"/>
        </w:rPr>
        <w:t> </w:t>
      </w:r>
    </w:p>
    <w:p w14:paraId="0D7BFA40" w14:textId="77777777" w:rsidR="00A17BAF" w:rsidRDefault="00A17BAF" w:rsidP="00A17BAF">
      <w:pPr>
        <w:pStyle w:val="app-page-detaildocumentany"/>
        <w:spacing w:before="120" w:after="120"/>
        <w:ind w:left="470" w:right="470"/>
        <w:jc w:val="both"/>
        <w:rPr>
          <w:rFonts w:eastAsia="Times New Roman" w:cs="Times New Roman"/>
          <w:szCs w:val="24"/>
          <w:lang w:val="es-CR"/>
        </w:rPr>
      </w:pPr>
      <w:r>
        <w:rPr>
          <w:rStyle w:val="app-page-detaildocumentanyCharacter"/>
          <w:rFonts w:eastAsia="Times New Roman" w:cs="Times New Roman"/>
          <w:szCs w:val="24"/>
          <w:lang w:val="es-CR"/>
        </w:rPr>
        <w:t> </w:t>
      </w:r>
    </w:p>
    <w:p w14:paraId="46AEBC3B" w14:textId="708E6C27" w:rsidR="00A17BAF" w:rsidRPr="00A17BAF" w:rsidRDefault="00A17BAF" w:rsidP="00A17BAF">
      <w:pPr>
        <w:pStyle w:val="app-page-detaildocumentany"/>
        <w:spacing w:before="120" w:after="630"/>
        <w:ind w:left="470" w:right="470"/>
        <w:jc w:val="both"/>
        <w:rPr>
          <w:rFonts w:eastAsia="Times New Roman" w:cs="Times New Roman"/>
          <w:szCs w:val="24"/>
          <w:lang w:val="es-CR"/>
        </w:rPr>
      </w:pPr>
      <w:r>
        <w:rPr>
          <w:rStyle w:val="app-page-detaildocumentanyCharacter"/>
          <w:rFonts w:eastAsia="Times New Roman" w:cs="Times New Roman"/>
          <w:szCs w:val="24"/>
          <w:lang w:val="es-CR"/>
        </w:rPr>
        <w:t>Referencia 11881-17</w:t>
      </w:r>
    </w:p>
    <w:sectPr w:rsidR="00A17BAF" w:rsidRPr="00A17B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AF"/>
    <w:rsid w:val="00A17B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F638"/>
  <w15:chartTrackingRefBased/>
  <w15:docId w15:val="{84E78F7D-C39D-482F-BCAA-88035E1B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7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B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B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B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B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B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B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B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B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B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B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B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B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B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B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B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BAF"/>
    <w:rPr>
      <w:rFonts w:eastAsiaTheme="majorEastAsia" w:cstheme="majorBidi"/>
      <w:color w:val="272727" w:themeColor="text1" w:themeTint="D8"/>
    </w:rPr>
  </w:style>
  <w:style w:type="paragraph" w:styleId="Ttulo">
    <w:name w:val="Title"/>
    <w:basedOn w:val="Normal"/>
    <w:next w:val="Normal"/>
    <w:link w:val="TtuloCar"/>
    <w:uiPriority w:val="10"/>
    <w:qFormat/>
    <w:rsid w:val="00A17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B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B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B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BAF"/>
    <w:pPr>
      <w:spacing w:before="160"/>
      <w:jc w:val="center"/>
    </w:pPr>
    <w:rPr>
      <w:i/>
      <w:iCs/>
      <w:color w:val="404040" w:themeColor="text1" w:themeTint="BF"/>
    </w:rPr>
  </w:style>
  <w:style w:type="character" w:customStyle="1" w:styleId="CitaCar">
    <w:name w:val="Cita Car"/>
    <w:basedOn w:val="Fuentedeprrafopredeter"/>
    <w:link w:val="Cita"/>
    <w:uiPriority w:val="29"/>
    <w:rsid w:val="00A17BAF"/>
    <w:rPr>
      <w:i/>
      <w:iCs/>
      <w:color w:val="404040" w:themeColor="text1" w:themeTint="BF"/>
    </w:rPr>
  </w:style>
  <w:style w:type="paragraph" w:styleId="Prrafodelista">
    <w:name w:val="List Paragraph"/>
    <w:basedOn w:val="Normal"/>
    <w:uiPriority w:val="34"/>
    <w:qFormat/>
    <w:rsid w:val="00A17BAF"/>
    <w:pPr>
      <w:ind w:left="720"/>
      <w:contextualSpacing/>
    </w:pPr>
  </w:style>
  <w:style w:type="character" w:styleId="nfasisintenso">
    <w:name w:val="Intense Emphasis"/>
    <w:basedOn w:val="Fuentedeprrafopredeter"/>
    <w:uiPriority w:val="21"/>
    <w:qFormat/>
    <w:rsid w:val="00A17BAF"/>
    <w:rPr>
      <w:i/>
      <w:iCs/>
      <w:color w:val="0F4761" w:themeColor="accent1" w:themeShade="BF"/>
    </w:rPr>
  </w:style>
  <w:style w:type="paragraph" w:styleId="Citadestacada">
    <w:name w:val="Intense Quote"/>
    <w:basedOn w:val="Normal"/>
    <w:next w:val="Normal"/>
    <w:link w:val="CitadestacadaCar"/>
    <w:uiPriority w:val="30"/>
    <w:qFormat/>
    <w:rsid w:val="00A17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BAF"/>
    <w:rPr>
      <w:i/>
      <w:iCs/>
      <w:color w:val="0F4761" w:themeColor="accent1" w:themeShade="BF"/>
    </w:rPr>
  </w:style>
  <w:style w:type="character" w:styleId="Referenciaintensa">
    <w:name w:val="Intense Reference"/>
    <w:basedOn w:val="Fuentedeprrafopredeter"/>
    <w:uiPriority w:val="32"/>
    <w:qFormat/>
    <w:rsid w:val="00A17BAF"/>
    <w:rPr>
      <w:b/>
      <w:bCs/>
      <w:smallCaps/>
      <w:color w:val="0F4761" w:themeColor="accent1" w:themeShade="BF"/>
      <w:spacing w:val="5"/>
    </w:rPr>
  </w:style>
  <w:style w:type="paragraph" w:customStyle="1" w:styleId="app-page-detaildocumentany">
    <w:name w:val="app-page-detail_document_any"/>
    <w:uiPriority w:val="99"/>
    <w:rsid w:val="00A17BAF"/>
    <w:pPr>
      <w:autoSpaceDE w:val="0"/>
      <w:autoSpaceDN w:val="0"/>
      <w:adjustRightInd w:val="0"/>
      <w:spacing w:after="0" w:line="300" w:lineRule="atLeast"/>
    </w:pPr>
    <w:rPr>
      <w:rFonts w:ascii="Arial" w:hAnsi="Arial" w:cs="Arial"/>
      <w:color w:val="000000"/>
      <w:kern w:val="0"/>
      <w:sz w:val="21"/>
      <w:szCs w:val="21"/>
      <w:lang w:val="en-US"/>
    </w:rPr>
  </w:style>
  <w:style w:type="character" w:customStyle="1" w:styleId="app-page-detaildocumentanyCharacter">
    <w:name w:val="app-page-detail_document_any Character"/>
    <w:uiPriority w:val="99"/>
    <w:rsid w:val="00A17BAF"/>
    <w:rPr>
      <w:rFonts w:ascii="Arial" w:hAnsi="Arial" w:cs="Arial"/>
      <w:color w:val="000000"/>
      <w:sz w:val="21"/>
      <w:szCs w:val="21"/>
    </w:rPr>
  </w:style>
  <w:style w:type="paragraph" w:customStyle="1" w:styleId="app-page-wrapperapp-page-detaildocumenttitulo-contenido">
    <w:name w:val="app-page-wrapper_app-page-detail_document_titulo-contenido"/>
    <w:uiPriority w:val="99"/>
    <w:rsid w:val="00A17BAF"/>
    <w:pPr>
      <w:autoSpaceDE w:val="0"/>
      <w:autoSpaceDN w:val="0"/>
      <w:adjustRightInd w:val="0"/>
      <w:spacing w:after="0" w:line="240" w:lineRule="auto"/>
      <w:jc w:val="center"/>
    </w:pPr>
    <w:rPr>
      <w:rFonts w:ascii="Times New Roman" w:hAnsi="Times New Roman" w:cs="Times New Roman"/>
      <w:kern w:val="0"/>
      <w:sz w:val="33"/>
      <w:szCs w:val="3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3350</Characters>
  <Application>Microsoft Office Word</Application>
  <DocSecurity>0</DocSecurity>
  <Lines>27</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Elienai Díaz Obando</dc:creator>
  <cp:keywords/>
  <dc:description/>
  <cp:lastModifiedBy>Secretaría General de la Corte - Comunicaciones - Elienai Díaz Obando</cp:lastModifiedBy>
  <cp:revision>1</cp:revision>
  <dcterms:created xsi:type="dcterms:W3CDTF">2024-11-14T20:31:00Z</dcterms:created>
  <dcterms:modified xsi:type="dcterms:W3CDTF">2024-11-14T20:34:00Z</dcterms:modified>
</cp:coreProperties>
</file>