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F0ACB" w14:textId="77777777" w:rsidR="00F67F64" w:rsidRPr="001C083E" w:rsidRDefault="00F67F64" w:rsidP="00F67F64">
      <w:pPr>
        <w:autoSpaceDE w:val="0"/>
        <w:autoSpaceDN w:val="0"/>
        <w:adjustRightInd w:val="0"/>
        <w:spacing w:after="0" w:line="300" w:lineRule="atLeast"/>
        <w:ind w:left="470" w:right="470"/>
        <w:jc w:val="center"/>
        <w:rPr>
          <w:rFonts w:ascii="Arial" w:eastAsia="Times New Roman" w:hAnsi="Arial" w:cs="Times New Roman"/>
          <w:color w:val="000000"/>
          <w:kern w:val="0"/>
          <w:sz w:val="21"/>
        </w:rPr>
      </w:pPr>
      <w:r w:rsidRPr="001C083E">
        <w:rPr>
          <w:rFonts w:ascii="Arial" w:eastAsia="Times New Roman" w:hAnsi="Arial" w:cs="Times New Roman"/>
          <w:b/>
          <w:color w:val="000000"/>
          <w:kern w:val="0"/>
          <w:sz w:val="21"/>
          <w:u w:val="single" w:color="000000"/>
          <w:lang w:val="es-ES_tradnl"/>
        </w:rPr>
        <w:t>CIRCULAR No. 161-2017</w:t>
      </w:r>
    </w:p>
    <w:p w14:paraId="528683E5" w14:textId="44BE6783" w:rsidR="00F67F64" w:rsidRPr="001C083E" w:rsidRDefault="00F67F64" w:rsidP="00F67F64">
      <w:pPr>
        <w:autoSpaceDE w:val="0"/>
        <w:autoSpaceDN w:val="0"/>
        <w:adjustRightInd w:val="0"/>
        <w:spacing w:after="0" w:line="300" w:lineRule="atLeast"/>
        <w:ind w:left="470" w:right="470"/>
        <w:jc w:val="center"/>
        <w:rPr>
          <w:rFonts w:ascii="Arial" w:eastAsia="Times New Roman" w:hAnsi="Arial" w:cs="Times New Roman"/>
          <w:color w:val="000000"/>
          <w:kern w:val="0"/>
          <w:sz w:val="21"/>
        </w:rPr>
      </w:pPr>
    </w:p>
    <w:p w14:paraId="0D7EC15C" w14:textId="77777777" w:rsidR="00F67F64" w:rsidRPr="001C083E" w:rsidRDefault="00F67F64" w:rsidP="00F67F64">
      <w:pPr>
        <w:autoSpaceDE w:val="0"/>
        <w:autoSpaceDN w:val="0"/>
        <w:adjustRightInd w:val="0"/>
        <w:spacing w:after="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b/>
          <w:color w:val="000000"/>
          <w:kern w:val="0"/>
          <w:sz w:val="21"/>
          <w:u w:val="single" w:color="000000"/>
          <w:lang w:val="es-ES_tradnl"/>
        </w:rPr>
        <w:t>Asunto</w:t>
      </w:r>
      <w:r w:rsidRPr="001C083E">
        <w:rPr>
          <w:rFonts w:ascii="Arial" w:eastAsia="Times New Roman" w:hAnsi="Arial" w:cs="Times New Roman"/>
          <w:color w:val="000000"/>
          <w:kern w:val="0"/>
          <w:sz w:val="21"/>
          <w:lang w:val="es-ES_tradnl"/>
        </w:rPr>
        <w:t xml:space="preserve">: Atención de emergencia ante declaratoria de alerta roja </w:t>
      </w:r>
      <w:proofErr w:type="spellStart"/>
      <w:r w:rsidRPr="001C083E">
        <w:rPr>
          <w:rFonts w:ascii="Arial" w:eastAsia="Times New Roman" w:hAnsi="Arial" w:cs="Times New Roman"/>
          <w:color w:val="000000"/>
          <w:kern w:val="0"/>
          <w:sz w:val="21"/>
          <w:lang w:val="es-ES_tradnl"/>
        </w:rPr>
        <w:t>N°</w:t>
      </w:r>
      <w:proofErr w:type="spellEnd"/>
      <w:r w:rsidRPr="001C083E">
        <w:rPr>
          <w:rFonts w:ascii="Arial" w:eastAsia="Times New Roman" w:hAnsi="Arial" w:cs="Times New Roman"/>
          <w:color w:val="000000"/>
          <w:kern w:val="0"/>
          <w:sz w:val="21"/>
          <w:lang w:val="es-ES_tradnl"/>
        </w:rPr>
        <w:t xml:space="preserve"> 26-17 decretada por depresión tropical # 16.</w:t>
      </w:r>
    </w:p>
    <w:p w14:paraId="52CC9FBE" w14:textId="77777777" w:rsidR="00F67F64" w:rsidRPr="001C083E" w:rsidRDefault="00F67F64" w:rsidP="00F67F64">
      <w:pPr>
        <w:autoSpaceDE w:val="0"/>
        <w:autoSpaceDN w:val="0"/>
        <w:adjustRightInd w:val="0"/>
        <w:spacing w:after="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lang w:val="es-ES_tradnl"/>
        </w:rPr>
        <w:t> </w:t>
      </w:r>
    </w:p>
    <w:p w14:paraId="0F191424" w14:textId="77777777" w:rsidR="00F67F64" w:rsidRPr="001C083E" w:rsidRDefault="00F67F64" w:rsidP="00F67F64">
      <w:pPr>
        <w:autoSpaceDE w:val="0"/>
        <w:autoSpaceDN w:val="0"/>
        <w:adjustRightInd w:val="0"/>
        <w:spacing w:after="0" w:line="300" w:lineRule="atLeast"/>
        <w:ind w:left="470" w:right="470"/>
        <w:jc w:val="center"/>
        <w:rPr>
          <w:rFonts w:ascii="Arial" w:eastAsia="Times New Roman" w:hAnsi="Arial" w:cs="Times New Roman"/>
          <w:color w:val="000000"/>
          <w:kern w:val="0"/>
          <w:sz w:val="21"/>
        </w:rPr>
      </w:pPr>
      <w:r w:rsidRPr="001C083E">
        <w:rPr>
          <w:rFonts w:ascii="Arial" w:eastAsia="Times New Roman" w:hAnsi="Arial" w:cs="Times New Roman"/>
          <w:b/>
          <w:color w:val="000000"/>
          <w:kern w:val="0"/>
          <w:sz w:val="21"/>
          <w:u w:val="single" w:color="000000"/>
          <w:lang w:val="es-ES_tradnl"/>
        </w:rPr>
        <w:t> </w:t>
      </w:r>
    </w:p>
    <w:p w14:paraId="502673EE" w14:textId="77777777" w:rsidR="00F67F64" w:rsidRPr="001C083E" w:rsidRDefault="00F67F64" w:rsidP="00F67F64">
      <w:pPr>
        <w:autoSpaceDE w:val="0"/>
        <w:autoSpaceDN w:val="0"/>
        <w:adjustRightInd w:val="0"/>
        <w:spacing w:after="0" w:line="300" w:lineRule="atLeast"/>
        <w:ind w:left="470" w:right="470"/>
        <w:jc w:val="center"/>
        <w:rPr>
          <w:rFonts w:ascii="Arial" w:eastAsia="Times New Roman" w:hAnsi="Arial" w:cs="Times New Roman"/>
          <w:color w:val="000000"/>
          <w:kern w:val="0"/>
          <w:sz w:val="21"/>
        </w:rPr>
      </w:pPr>
      <w:r w:rsidRPr="001C083E">
        <w:rPr>
          <w:rFonts w:ascii="Arial" w:eastAsia="Times New Roman" w:hAnsi="Arial" w:cs="Times New Roman"/>
          <w:b/>
          <w:color w:val="000000"/>
          <w:kern w:val="0"/>
          <w:sz w:val="21"/>
          <w:u w:val="single" w:color="000000"/>
          <w:lang w:val="es-ES_tradnl"/>
        </w:rPr>
        <w:t>A LOS CONSEJOS DE ADMINISTRACIÓN DE CIRCUITO, ADMINISTRADORES REGIONALES Y A LAS OFICINAS JUDICIALES DEL PAÍS</w:t>
      </w:r>
    </w:p>
    <w:p w14:paraId="6E3A5CE8" w14:textId="77777777" w:rsidR="00F67F64" w:rsidRPr="001C083E" w:rsidRDefault="00F67F64" w:rsidP="00F67F64">
      <w:pPr>
        <w:autoSpaceDE w:val="0"/>
        <w:autoSpaceDN w:val="0"/>
        <w:adjustRightInd w:val="0"/>
        <w:spacing w:after="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lang w:val="es-ES_tradnl"/>
        </w:rPr>
        <w:t> </w:t>
      </w:r>
    </w:p>
    <w:p w14:paraId="500B1C41" w14:textId="77777777" w:rsidR="00F67F64" w:rsidRPr="001C083E" w:rsidRDefault="00F67F64" w:rsidP="00F67F64">
      <w:pPr>
        <w:autoSpaceDE w:val="0"/>
        <w:autoSpaceDN w:val="0"/>
        <w:adjustRightInd w:val="0"/>
        <w:spacing w:after="0" w:line="300" w:lineRule="atLeast"/>
        <w:ind w:left="470" w:right="470"/>
        <w:jc w:val="center"/>
        <w:rPr>
          <w:rFonts w:ascii="Arial" w:eastAsia="Times New Roman" w:hAnsi="Arial" w:cs="Times New Roman"/>
          <w:color w:val="000000"/>
          <w:kern w:val="0"/>
          <w:sz w:val="21"/>
        </w:rPr>
      </w:pPr>
      <w:r w:rsidRPr="001C083E">
        <w:rPr>
          <w:rFonts w:ascii="Arial" w:eastAsia="Times New Roman" w:hAnsi="Arial" w:cs="Times New Roman"/>
          <w:b/>
          <w:color w:val="000000"/>
          <w:kern w:val="0"/>
          <w:sz w:val="21"/>
          <w:u w:val="single" w:color="000000"/>
          <w:lang w:val="es-ES_tradnl"/>
        </w:rPr>
        <w:t>SE LES HACE SABER QUE</w:t>
      </w:r>
      <w:r w:rsidRPr="001C083E">
        <w:rPr>
          <w:rFonts w:ascii="Arial" w:eastAsia="Times New Roman" w:hAnsi="Arial" w:cs="Times New Roman"/>
          <w:b/>
          <w:color w:val="000000"/>
          <w:kern w:val="0"/>
          <w:sz w:val="21"/>
          <w:lang w:val="es-ES_tradnl"/>
        </w:rPr>
        <w:t>:</w:t>
      </w:r>
    </w:p>
    <w:p w14:paraId="5547B9B6" w14:textId="77777777" w:rsidR="00F67F64" w:rsidRPr="001C083E" w:rsidRDefault="00F67F64" w:rsidP="00F67F64">
      <w:pPr>
        <w:autoSpaceDE w:val="0"/>
        <w:autoSpaceDN w:val="0"/>
        <w:adjustRightInd w:val="0"/>
        <w:spacing w:after="0" w:line="300" w:lineRule="atLeast"/>
        <w:ind w:left="470" w:right="470"/>
        <w:jc w:val="center"/>
        <w:rPr>
          <w:rFonts w:ascii="Arial" w:eastAsia="Times New Roman" w:hAnsi="Arial" w:cs="Times New Roman"/>
          <w:color w:val="000000"/>
          <w:kern w:val="0"/>
          <w:sz w:val="21"/>
        </w:rPr>
      </w:pPr>
      <w:r w:rsidRPr="001C083E">
        <w:rPr>
          <w:rFonts w:ascii="Arial" w:eastAsia="Times New Roman" w:hAnsi="Arial" w:cs="Times New Roman"/>
          <w:b/>
          <w:color w:val="000000"/>
          <w:kern w:val="0"/>
          <w:sz w:val="21"/>
          <w:lang w:val="es-ES_tradnl"/>
        </w:rPr>
        <w:t> </w:t>
      </w:r>
    </w:p>
    <w:p w14:paraId="3BAC5BA0" w14:textId="77777777" w:rsidR="00F67F64" w:rsidRPr="00F67F64" w:rsidRDefault="00F67F64" w:rsidP="00F67F64">
      <w:pPr>
        <w:autoSpaceDE w:val="0"/>
        <w:autoSpaceDN w:val="0"/>
        <w:adjustRightInd w:val="0"/>
        <w:spacing w:after="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 xml:space="preserve">El Consejo Superior del Poder Judicial en sesión No. 90-17, celebrada el 4 de octubre de 2017, artículo Único, y ante la declaratoria de alerta roja y amarilla </w:t>
      </w:r>
      <w:proofErr w:type="spellStart"/>
      <w:r w:rsidRPr="00F67F64">
        <w:rPr>
          <w:rFonts w:ascii="Arial" w:eastAsia="Times New Roman" w:hAnsi="Arial" w:cs="Times New Roman"/>
          <w:color w:val="000000"/>
          <w:kern w:val="0"/>
          <w:sz w:val="21"/>
          <w:lang w:val="es-ES_tradnl"/>
        </w:rPr>
        <w:t>N°</w:t>
      </w:r>
      <w:proofErr w:type="spellEnd"/>
      <w:r w:rsidRPr="00F67F64">
        <w:rPr>
          <w:rFonts w:ascii="Arial" w:eastAsia="Times New Roman" w:hAnsi="Arial" w:cs="Times New Roman"/>
          <w:color w:val="000000"/>
          <w:kern w:val="0"/>
          <w:sz w:val="21"/>
          <w:lang w:val="es-ES_tradnl"/>
        </w:rPr>
        <w:t xml:space="preserve"> 26-2017, emitida por la Comisión Nacional de Prevención de Riesgos y Atención de Emergencias, por la Depresión Tropical #16, sobre el suroeste del Mar Caribe, la cual está afectando al país, acordó comunicarles lo siguiente:</w:t>
      </w:r>
    </w:p>
    <w:p w14:paraId="5E43E12A" w14:textId="77777777" w:rsidR="00F67F64" w:rsidRPr="00F67F64" w:rsidRDefault="00F67F64" w:rsidP="00F67F64">
      <w:pPr>
        <w:autoSpaceDE w:val="0"/>
        <w:autoSpaceDN w:val="0"/>
        <w:adjustRightInd w:val="0"/>
        <w:spacing w:after="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 </w:t>
      </w:r>
    </w:p>
    <w:p w14:paraId="6D21F281" w14:textId="77777777" w:rsidR="00F67F64" w:rsidRPr="00F67F64"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 xml:space="preserve">1.       Comisionar a los Consejos de Administración de Circuito, para que, con análisis de cada uno de los edificios y despachos judiciales, que estén en situación de emergencia, tomen las medidas pertinentes para determinar el cierre de las oficinas, la suspensión o traslado de diligencias judiciales al despacho más cercano; así </w:t>
      </w:r>
      <w:proofErr w:type="gramStart"/>
      <w:r w:rsidRPr="00F67F64">
        <w:rPr>
          <w:rFonts w:ascii="Arial" w:eastAsia="Times New Roman" w:hAnsi="Arial" w:cs="Times New Roman"/>
          <w:color w:val="000000"/>
          <w:kern w:val="0"/>
          <w:sz w:val="21"/>
          <w:lang w:val="es-ES_tradnl"/>
        </w:rPr>
        <w:t>como  la</w:t>
      </w:r>
      <w:proofErr w:type="gramEnd"/>
      <w:r w:rsidRPr="00F67F64">
        <w:rPr>
          <w:rFonts w:ascii="Arial" w:eastAsia="Times New Roman" w:hAnsi="Arial" w:cs="Times New Roman"/>
          <w:color w:val="000000"/>
          <w:kern w:val="0"/>
          <w:sz w:val="21"/>
          <w:lang w:val="es-ES_tradnl"/>
        </w:rPr>
        <w:t xml:space="preserve"> evacuación de los edificios cuando sea  necesario en aquellas  zonas en que se haya emitido alerta roja, y en tanto esta se mantenga.  </w:t>
      </w:r>
    </w:p>
    <w:p w14:paraId="4A612E6E" w14:textId="77777777" w:rsidR="00F67F64" w:rsidRPr="00F67F64"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Las decisiones que se tomen deberán ser comunicadas de forma inmediata a la Secretaría General de la Corte y al Despacho de la Presidencia.</w:t>
      </w:r>
    </w:p>
    <w:p w14:paraId="0D3F1DA3" w14:textId="77777777" w:rsidR="00F67F64" w:rsidRPr="00F67F64"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 xml:space="preserve">2.             Las jefaturas de las diferentes oficinas judiciales, de las zonas incluidas en las declaratorias de alerta roja, en coordinación con los Consejos de Administración de Circuito, deberán tomar medidas para salvaguardar la vida de las personas servidoras judiciales y personas usuarias. </w:t>
      </w:r>
      <w:proofErr w:type="gramStart"/>
      <w:r w:rsidRPr="00F67F64">
        <w:rPr>
          <w:rFonts w:ascii="Arial" w:eastAsia="Times New Roman" w:hAnsi="Arial" w:cs="Times New Roman"/>
          <w:color w:val="000000"/>
          <w:kern w:val="0"/>
          <w:sz w:val="21"/>
          <w:lang w:val="es-ES_tradnl"/>
        </w:rPr>
        <w:t>Asimismo</w:t>
      </w:r>
      <w:proofErr w:type="gramEnd"/>
      <w:r w:rsidRPr="00F67F64">
        <w:rPr>
          <w:rFonts w:ascii="Arial" w:eastAsia="Times New Roman" w:hAnsi="Arial" w:cs="Times New Roman"/>
          <w:color w:val="000000"/>
          <w:kern w:val="0"/>
          <w:sz w:val="21"/>
          <w:lang w:val="es-ES_tradnl"/>
        </w:rPr>
        <w:t xml:space="preserve"> les corresponde atender y coordinar lo que sea necesario ante emergencias familiares que tenga el personal judicial, y que sean derivadas del fenómeno climático.</w:t>
      </w:r>
    </w:p>
    <w:p w14:paraId="4960AA5D" w14:textId="4F7EC940" w:rsidR="00F67F64" w:rsidRPr="00F67F64"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 xml:space="preserve">3.    En zonas de emergencia, no deben permanecer personas detenidas en las celdas de los Tribunales, y por tanto se deben coordinar los traslados a los centros que correspondan. </w:t>
      </w:r>
    </w:p>
    <w:p w14:paraId="1C749BD0" w14:textId="42F3E1C5" w:rsidR="00F67F64" w:rsidRPr="00F67F64"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4..     Deben ubicarse lugares aptos, idóneos y adecuados, para la protección de los bienes de la institución, como son vehículos, equipos de cómputo, equipos de comunicación, entre otros, así como la documentación (expedientes y otros). En los casos donde existan plantas eléctricas portátiles, las mismas deben estar preparadas para entrar a funcionar en cualquier momento.</w:t>
      </w:r>
    </w:p>
    <w:p w14:paraId="408A2EDD" w14:textId="453D009A" w:rsidR="00F67F64" w:rsidRPr="00F67F64"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 xml:space="preserve">5.    Solicitar a la Dirección del OIJ, a los Consejos de Administración de Circuitos y a las personas administradoras regionales, de las zonas antes citadas, que se </w:t>
      </w:r>
      <w:r w:rsidRPr="00F67F64">
        <w:rPr>
          <w:rFonts w:ascii="Arial" w:eastAsia="Times New Roman" w:hAnsi="Arial" w:cs="Times New Roman"/>
          <w:color w:val="000000"/>
          <w:kern w:val="0"/>
          <w:sz w:val="21"/>
          <w:lang w:val="es-ES_tradnl"/>
        </w:rPr>
        <w:lastRenderedPageBreak/>
        <w:t xml:space="preserve">mantengan monitoreando la situación y tomen las medidas de seguridad que sean necesarias. </w:t>
      </w:r>
    </w:p>
    <w:p w14:paraId="1034A5E3" w14:textId="504CDBF3" w:rsidR="00F67F64" w:rsidRPr="00F67F64"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6.   Deberá crearse un comité local de emergencia, coordinado por la persona administradora del Circuito, para que esté en constante coordinación con la Dirección Ejecutiva y el Despacho de la Presidencia, con el fin de coordinar lo necesario con la Comisión de Crisis creada al efecto en el Poder Judicial.</w:t>
      </w:r>
    </w:p>
    <w:p w14:paraId="4ECCA186" w14:textId="012C5259" w:rsidR="00F67F64" w:rsidRPr="00F67F64"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7.  En caso de presentarse situaciones de emergencia de las personas servidoras judiciales que les impidan presentarse a laborar y ameriten ser sustituidas, se autoriza la sustitución hasta por un día.</w:t>
      </w:r>
    </w:p>
    <w:p w14:paraId="1B5D6407" w14:textId="79B23A29"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F67F64">
        <w:rPr>
          <w:rFonts w:ascii="Arial" w:eastAsia="Times New Roman" w:hAnsi="Arial" w:cs="Times New Roman"/>
          <w:color w:val="000000"/>
          <w:kern w:val="0"/>
          <w:sz w:val="21"/>
          <w:lang w:val="es-ES_tradnl"/>
        </w:rPr>
        <w:t>8.  Si la situación de emergencia se agrava, salvo que se imponga</w:t>
      </w:r>
      <w:r w:rsidRPr="001C083E">
        <w:rPr>
          <w:rFonts w:ascii="Arial" w:eastAsia="Times New Roman" w:hAnsi="Arial" w:cs="Times New Roman"/>
          <w:color w:val="000000"/>
          <w:kern w:val="0"/>
          <w:sz w:val="21"/>
          <w:lang w:val="es-ES_tradnl"/>
        </w:rPr>
        <w:t xml:space="preserve"> la necesidad del cierre de los edificios y su evacuación total, se</w:t>
      </w:r>
      <w:r w:rsidRPr="001C083E">
        <w:rPr>
          <w:rFonts w:ascii="Arial" w:eastAsia="Times New Roman" w:hAnsi="Arial" w:cs="Times New Roman"/>
          <w:color w:val="000000"/>
          <w:kern w:val="0"/>
          <w:sz w:val="21"/>
        </w:rPr>
        <w:t xml:space="preserve"> deben mantener, entre otros, los siguientes servicios esenciales:</w:t>
      </w:r>
    </w:p>
    <w:p w14:paraId="68D32BEB"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Levantamiento, práctica de autopsias y posterior entrega de cuerpos, así como los servicios del Complejo Médico Forense que impliquen atención urgente.</w:t>
      </w:r>
    </w:p>
    <w:p w14:paraId="0848CC3D"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Atención de denuncias.</w:t>
      </w:r>
    </w:p>
    <w:p w14:paraId="6BCFE8EB"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Solicitudes de imposición de una medida cautelar.</w:t>
      </w:r>
    </w:p>
    <w:p w14:paraId="22277862"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Cese, sustitución o prórroga de medidas cautelares prontas a vencer.</w:t>
      </w:r>
    </w:p>
    <w:p w14:paraId="5F420890"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Atención de solicitudes de medidas de protección.</w:t>
      </w:r>
    </w:p>
    <w:p w14:paraId="034F68AA"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Juicios con persona detenida, continuaciones de juicio, y asuntos prontos a prescribir.</w:t>
      </w:r>
    </w:p>
    <w:p w14:paraId="186EE7E6"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Intervenciones de las comunicaciones.</w:t>
      </w:r>
    </w:p>
    <w:p w14:paraId="71C3277D"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Mantenimientos de los sistemas informáticos y de la comunicación.</w:t>
      </w:r>
    </w:p>
    <w:p w14:paraId="66CEDB72"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Atención y resolución de solicitudes de apremio corporal y de impedimentos de salida del país.</w:t>
      </w:r>
    </w:p>
    <w:p w14:paraId="28C59A21"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Mantenimiento, actualización y comunicaciones relativas al Sistema de Obligados al Pago de Pensión Alimentaria (SOAP).</w:t>
      </w:r>
    </w:p>
    <w:p w14:paraId="3FB6A52D"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Traslados de personas privadas de libertad y custodia en celdas.</w:t>
      </w:r>
    </w:p>
    <w:p w14:paraId="5CEB8A3C"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Protección a víctimas y testigos.</w:t>
      </w:r>
    </w:p>
    <w:p w14:paraId="5323064C"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La disponibilidad que deben tener PISAV y Equipos de Respuesta Rápida a Víctimas de Violación.</w:t>
      </w:r>
    </w:p>
    <w:p w14:paraId="01B57E09"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Entrega de certificaciones de antecedentes penales.</w:t>
      </w:r>
    </w:p>
    <w:p w14:paraId="2AB0CC61"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color w:val="000000"/>
          <w:kern w:val="0"/>
          <w:sz w:val="21"/>
        </w:rPr>
        <w:t> </w:t>
      </w:r>
    </w:p>
    <w:p w14:paraId="5B9D660D"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b/>
          <w:color w:val="000000"/>
          <w:kern w:val="0"/>
          <w:sz w:val="21"/>
        </w:rPr>
        <w:t>San José, 4 de octubre de 2017</w:t>
      </w:r>
    </w:p>
    <w:p w14:paraId="4060F623" w14:textId="77777777" w:rsidR="00F67F64" w:rsidRPr="001C083E" w:rsidRDefault="00F67F64" w:rsidP="00F67F64">
      <w:pPr>
        <w:autoSpaceDE w:val="0"/>
        <w:autoSpaceDN w:val="0"/>
        <w:adjustRightInd w:val="0"/>
        <w:spacing w:after="120"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b/>
          <w:color w:val="000000"/>
          <w:kern w:val="0"/>
          <w:sz w:val="21"/>
        </w:rPr>
        <w:t> </w:t>
      </w:r>
    </w:p>
    <w:p w14:paraId="62CF6864" w14:textId="77777777" w:rsidR="00F67F64" w:rsidRPr="001C083E" w:rsidRDefault="00F67F64" w:rsidP="00F67F64">
      <w:pPr>
        <w:autoSpaceDE w:val="0"/>
        <w:autoSpaceDN w:val="0"/>
        <w:adjustRightInd w:val="0"/>
        <w:spacing w:line="300" w:lineRule="atLeast"/>
        <w:ind w:left="470" w:right="470"/>
        <w:jc w:val="both"/>
        <w:rPr>
          <w:rFonts w:ascii="Arial" w:eastAsia="Times New Roman" w:hAnsi="Arial" w:cs="Times New Roman"/>
          <w:color w:val="000000"/>
          <w:kern w:val="0"/>
          <w:sz w:val="21"/>
        </w:rPr>
      </w:pPr>
      <w:r w:rsidRPr="001C083E">
        <w:rPr>
          <w:rFonts w:ascii="Arial" w:eastAsia="Times New Roman" w:hAnsi="Arial" w:cs="Times New Roman"/>
          <w:b/>
          <w:color w:val="000000"/>
          <w:kern w:val="0"/>
          <w:sz w:val="21"/>
          <w:lang w:val="es-ES"/>
        </w:rPr>
        <w:lastRenderedPageBreak/>
        <w:t> </w:t>
      </w:r>
    </w:p>
    <w:p w14:paraId="49E4AFB3" w14:textId="77777777" w:rsidR="00F67F64" w:rsidRPr="001C083E" w:rsidRDefault="00F67F64" w:rsidP="00F67F64">
      <w:pPr>
        <w:autoSpaceDE w:val="0"/>
        <w:autoSpaceDN w:val="0"/>
        <w:adjustRightInd w:val="0"/>
        <w:spacing w:after="0" w:line="300" w:lineRule="atLeast"/>
        <w:ind w:left="470" w:right="470"/>
        <w:jc w:val="center"/>
        <w:rPr>
          <w:rFonts w:ascii="Arial" w:eastAsia="Times New Roman" w:hAnsi="Arial" w:cs="Times New Roman"/>
          <w:color w:val="000000"/>
          <w:kern w:val="0"/>
          <w:sz w:val="21"/>
        </w:rPr>
      </w:pPr>
      <w:r w:rsidRPr="001C083E">
        <w:rPr>
          <w:rFonts w:ascii="Arial" w:eastAsia="Times New Roman" w:hAnsi="Arial" w:cs="Times New Roman"/>
          <w:b/>
          <w:color w:val="000000"/>
          <w:kern w:val="0"/>
          <w:sz w:val="21"/>
          <w:lang w:val="es-ES"/>
        </w:rPr>
        <w:t>Licda. Silvia Navarro Romanini</w:t>
      </w:r>
    </w:p>
    <w:p w14:paraId="65354B07" w14:textId="77777777" w:rsidR="00F67F64" w:rsidRPr="001C083E" w:rsidRDefault="00F67F64" w:rsidP="00F67F64">
      <w:pPr>
        <w:autoSpaceDE w:val="0"/>
        <w:autoSpaceDN w:val="0"/>
        <w:adjustRightInd w:val="0"/>
        <w:spacing w:after="0" w:line="300" w:lineRule="atLeast"/>
        <w:ind w:left="470" w:right="470"/>
        <w:jc w:val="center"/>
        <w:rPr>
          <w:rFonts w:ascii="Arial" w:eastAsia="Times New Roman" w:hAnsi="Arial" w:cs="Times New Roman"/>
          <w:color w:val="000000"/>
          <w:kern w:val="0"/>
          <w:sz w:val="21"/>
        </w:rPr>
      </w:pPr>
      <w:r w:rsidRPr="001C083E">
        <w:rPr>
          <w:rFonts w:ascii="Arial" w:eastAsia="Times New Roman" w:hAnsi="Arial" w:cs="Times New Roman"/>
          <w:b/>
          <w:color w:val="000000"/>
          <w:kern w:val="0"/>
          <w:sz w:val="21"/>
          <w:lang w:val="es-ES"/>
        </w:rPr>
        <w:t>Secretaria General</w:t>
      </w:r>
    </w:p>
    <w:p w14:paraId="488C460D" w14:textId="77777777" w:rsidR="00F67F64" w:rsidRPr="001C083E" w:rsidRDefault="00F67F64" w:rsidP="00F67F64">
      <w:pPr>
        <w:autoSpaceDE w:val="0"/>
        <w:autoSpaceDN w:val="0"/>
        <w:adjustRightInd w:val="0"/>
        <w:spacing w:after="0" w:line="300" w:lineRule="atLeast"/>
        <w:ind w:left="470" w:right="470"/>
        <w:jc w:val="center"/>
        <w:rPr>
          <w:rFonts w:ascii="Arial" w:eastAsia="Times New Roman" w:hAnsi="Arial" w:cs="Times New Roman"/>
          <w:color w:val="000000"/>
          <w:kern w:val="0"/>
          <w:sz w:val="21"/>
        </w:rPr>
      </w:pPr>
      <w:r w:rsidRPr="001C083E">
        <w:rPr>
          <w:rFonts w:ascii="Arial" w:eastAsia="Times New Roman" w:hAnsi="Arial" w:cs="Times New Roman"/>
          <w:b/>
          <w:color w:val="000000"/>
          <w:kern w:val="0"/>
          <w:sz w:val="21"/>
          <w:lang w:val="es-ES"/>
        </w:rPr>
        <w:t>Corte Suprema de Justicia</w:t>
      </w:r>
    </w:p>
    <w:p w14:paraId="486839E3" w14:textId="77777777" w:rsidR="00F67F64" w:rsidRPr="001C083E" w:rsidRDefault="00F67F64" w:rsidP="00F67F64">
      <w:pPr>
        <w:autoSpaceDE w:val="0"/>
        <w:autoSpaceDN w:val="0"/>
        <w:adjustRightInd w:val="0"/>
        <w:spacing w:after="0" w:line="300" w:lineRule="atLeast"/>
        <w:ind w:left="470" w:right="470"/>
        <w:jc w:val="center"/>
        <w:rPr>
          <w:rFonts w:ascii="Arial" w:eastAsia="Times New Roman" w:hAnsi="Arial" w:cs="Times New Roman"/>
          <w:color w:val="000000"/>
          <w:kern w:val="0"/>
          <w:sz w:val="21"/>
        </w:rPr>
      </w:pPr>
      <w:r w:rsidRPr="001C083E">
        <w:rPr>
          <w:rFonts w:ascii="Arial" w:eastAsia="Times New Roman" w:hAnsi="Arial" w:cs="Times New Roman"/>
          <w:b/>
          <w:color w:val="000000"/>
          <w:kern w:val="0"/>
          <w:sz w:val="21"/>
          <w:lang w:val="es-ES"/>
        </w:rPr>
        <w:t> </w:t>
      </w:r>
    </w:p>
    <w:p w14:paraId="14F80E97" w14:textId="2E05A5B2" w:rsidR="00F67F64" w:rsidRDefault="00F67F64" w:rsidP="00F67F64">
      <w:pPr>
        <w:autoSpaceDE w:val="0"/>
        <w:autoSpaceDN w:val="0"/>
        <w:adjustRightInd w:val="0"/>
        <w:spacing w:after="0" w:line="300" w:lineRule="atLeast"/>
        <w:ind w:left="470" w:right="470"/>
        <w:jc w:val="both"/>
        <w:rPr>
          <w:rFonts w:ascii="Arial" w:eastAsia="Times New Roman" w:hAnsi="Arial" w:cs="Times New Roman"/>
          <w:b/>
          <w:color w:val="000000"/>
          <w:kern w:val="0"/>
          <w:sz w:val="21"/>
        </w:rPr>
      </w:pPr>
    </w:p>
    <w:p w14:paraId="38DA5148" w14:textId="77777777" w:rsidR="00F67F64" w:rsidRDefault="00F67F64"/>
    <w:sectPr w:rsidR="00F67F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64"/>
    <w:rsid w:val="00F67F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F620"/>
  <w15:chartTrackingRefBased/>
  <w15:docId w15:val="{3B3F8E32-211A-4C69-B064-3345A380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64"/>
  </w:style>
  <w:style w:type="paragraph" w:styleId="Ttulo1">
    <w:name w:val="heading 1"/>
    <w:basedOn w:val="Normal"/>
    <w:next w:val="Normal"/>
    <w:link w:val="Ttulo1Car"/>
    <w:uiPriority w:val="9"/>
    <w:qFormat/>
    <w:rsid w:val="00F67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7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7F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7F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7F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7F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7F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7F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7F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F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7F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7F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7F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7F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7F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7F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7F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7F64"/>
    <w:rPr>
      <w:rFonts w:eastAsiaTheme="majorEastAsia" w:cstheme="majorBidi"/>
      <w:color w:val="272727" w:themeColor="text1" w:themeTint="D8"/>
    </w:rPr>
  </w:style>
  <w:style w:type="paragraph" w:styleId="Ttulo">
    <w:name w:val="Title"/>
    <w:basedOn w:val="Normal"/>
    <w:next w:val="Normal"/>
    <w:link w:val="TtuloCar"/>
    <w:uiPriority w:val="10"/>
    <w:qFormat/>
    <w:rsid w:val="00F67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7F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7F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7F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7F64"/>
    <w:pPr>
      <w:spacing w:before="160"/>
      <w:jc w:val="center"/>
    </w:pPr>
    <w:rPr>
      <w:i/>
      <w:iCs/>
      <w:color w:val="404040" w:themeColor="text1" w:themeTint="BF"/>
    </w:rPr>
  </w:style>
  <w:style w:type="character" w:customStyle="1" w:styleId="CitaCar">
    <w:name w:val="Cita Car"/>
    <w:basedOn w:val="Fuentedeprrafopredeter"/>
    <w:link w:val="Cita"/>
    <w:uiPriority w:val="29"/>
    <w:rsid w:val="00F67F64"/>
    <w:rPr>
      <w:i/>
      <w:iCs/>
      <w:color w:val="404040" w:themeColor="text1" w:themeTint="BF"/>
    </w:rPr>
  </w:style>
  <w:style w:type="paragraph" w:styleId="Prrafodelista">
    <w:name w:val="List Paragraph"/>
    <w:basedOn w:val="Normal"/>
    <w:uiPriority w:val="34"/>
    <w:qFormat/>
    <w:rsid w:val="00F67F64"/>
    <w:pPr>
      <w:ind w:left="720"/>
      <w:contextualSpacing/>
    </w:pPr>
  </w:style>
  <w:style w:type="character" w:styleId="nfasisintenso">
    <w:name w:val="Intense Emphasis"/>
    <w:basedOn w:val="Fuentedeprrafopredeter"/>
    <w:uiPriority w:val="21"/>
    <w:qFormat/>
    <w:rsid w:val="00F67F64"/>
    <w:rPr>
      <w:i/>
      <w:iCs/>
      <w:color w:val="0F4761" w:themeColor="accent1" w:themeShade="BF"/>
    </w:rPr>
  </w:style>
  <w:style w:type="paragraph" w:styleId="Citadestacada">
    <w:name w:val="Intense Quote"/>
    <w:basedOn w:val="Normal"/>
    <w:next w:val="Normal"/>
    <w:link w:val="CitadestacadaCar"/>
    <w:uiPriority w:val="30"/>
    <w:qFormat/>
    <w:rsid w:val="00F67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7F64"/>
    <w:rPr>
      <w:i/>
      <w:iCs/>
      <w:color w:val="0F4761" w:themeColor="accent1" w:themeShade="BF"/>
    </w:rPr>
  </w:style>
  <w:style w:type="character" w:styleId="Referenciaintensa">
    <w:name w:val="Intense Reference"/>
    <w:basedOn w:val="Fuentedeprrafopredeter"/>
    <w:uiPriority w:val="32"/>
    <w:qFormat/>
    <w:rsid w:val="00F67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692</Words>
  <Characters>3809</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Elienai Díaz Obando</dc:creator>
  <cp:keywords/>
  <dc:description/>
  <cp:lastModifiedBy>Secretaría General de la Corte - Comunicaciones - Elienai Díaz Obando</cp:lastModifiedBy>
  <cp:revision>1</cp:revision>
  <dcterms:created xsi:type="dcterms:W3CDTF">2024-11-14T20:23:00Z</dcterms:created>
  <dcterms:modified xsi:type="dcterms:W3CDTF">2024-11-14T20:33:00Z</dcterms:modified>
</cp:coreProperties>
</file>