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4CCFB" w14:textId="77777777" w:rsidR="00301EA1" w:rsidRDefault="00301EA1" w:rsidP="00301EA1">
      <w:pPr>
        <w:pStyle w:val="app-page-detaildocumentany"/>
        <w:spacing w:before="100"/>
        <w:ind w:left="470" w:right="470"/>
        <w:jc w:val="center"/>
        <w:rPr>
          <w:rFonts w:eastAsia="Times New Roman" w:cs="Times New Roman"/>
          <w:szCs w:val="24"/>
        </w:rPr>
      </w:pPr>
      <w:r w:rsidRPr="00F2359B">
        <w:rPr>
          <w:rStyle w:val="app-page-detaildocumentanyCharacter"/>
          <w:rFonts w:eastAsia="Times New Roman" w:cs="Times New Roman"/>
          <w:b/>
          <w:szCs w:val="24"/>
          <w:u w:val="single" w:color="000000"/>
        </w:rPr>
        <w:t>CIRCULAR N° 121-2022</w:t>
      </w:r>
    </w:p>
    <w:p w14:paraId="2318951F" w14:textId="77777777" w:rsidR="00301EA1" w:rsidRDefault="00301EA1" w:rsidP="00301EA1">
      <w:pPr>
        <w:pStyle w:val="app-page-detaildocumentany"/>
        <w:spacing w:after="100"/>
        <w:ind w:left="470" w:right="470"/>
        <w:jc w:val="center"/>
        <w:rPr>
          <w:rFonts w:eastAsia="Times New Roman" w:cs="Times New Roman"/>
          <w:szCs w:val="24"/>
        </w:rPr>
      </w:pPr>
      <w:r>
        <w:rPr>
          <w:rStyle w:val="app-page-detaildocumentanyCharacter"/>
          <w:rFonts w:eastAsia="Times New Roman" w:cs="Times New Roman"/>
          <w:szCs w:val="24"/>
        </w:rPr>
        <w:t> </w:t>
      </w:r>
    </w:p>
    <w:p w14:paraId="011D9B3C" w14:textId="77777777" w:rsidR="00301EA1" w:rsidRDefault="00301EA1" w:rsidP="00301EA1">
      <w:pPr>
        <w:pStyle w:val="app-page-detaildocumentany"/>
        <w:spacing w:before="100"/>
        <w:ind w:left="470" w:right="470"/>
        <w:jc w:val="both"/>
        <w:rPr>
          <w:rFonts w:eastAsia="Times New Roman" w:cs="Times New Roman"/>
          <w:szCs w:val="24"/>
        </w:rPr>
      </w:pPr>
      <w:proofErr w:type="spellStart"/>
      <w:r>
        <w:rPr>
          <w:rStyle w:val="app-page-detaildocumentanyCharacter"/>
          <w:rFonts w:eastAsia="Times New Roman" w:cs="Times New Roman"/>
          <w:b/>
          <w:szCs w:val="24"/>
          <w:u w:val="single" w:color="000000"/>
        </w:rPr>
        <w:t>Asunto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: </w:t>
      </w:r>
      <w:r>
        <w:rPr>
          <w:rStyle w:val="app-page-detaildocumentanyCharacter"/>
          <w:rFonts w:eastAsia="Times New Roman" w:cs="Times New Roman"/>
          <w:szCs w:val="24"/>
        </w:rPr>
        <w:t xml:space="preserve">Cierre de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despachos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judiciales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en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segunda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audiencia del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viernes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1°de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julio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2022, en las zonas que se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verán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afectadas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ante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llegada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al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país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onda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tropical #13.</w:t>
      </w:r>
    </w:p>
    <w:p w14:paraId="67D8FF85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  <w:r>
        <w:rPr>
          <w:rStyle w:val="app-page-detaildocumentanyCharacter"/>
          <w:rFonts w:eastAsia="Times New Roman" w:cs="Times New Roman"/>
          <w:szCs w:val="24"/>
        </w:rPr>
        <w:t> </w:t>
      </w:r>
    </w:p>
    <w:p w14:paraId="0ACF9066" w14:textId="77777777" w:rsidR="00301EA1" w:rsidRDefault="00301EA1" w:rsidP="00301EA1">
      <w:pPr>
        <w:pStyle w:val="app-page-detaildocumentany"/>
        <w:ind w:left="470" w:right="470"/>
        <w:jc w:val="center"/>
        <w:rPr>
          <w:rStyle w:val="app-page-detaildocumentanyCharacter"/>
          <w:rFonts w:eastAsia="Times New Roman" w:cs="Times New Roman"/>
          <w:b/>
          <w:szCs w:val="24"/>
          <w:u w:val="single" w:color="000000"/>
        </w:rPr>
      </w:pPr>
      <w:r>
        <w:rPr>
          <w:rStyle w:val="app-page-detaildocumentanyCharacter"/>
          <w:rFonts w:eastAsia="Times New Roman" w:cs="Times New Roman"/>
          <w:b/>
          <w:szCs w:val="24"/>
          <w:u w:val="single" w:color="000000"/>
        </w:rPr>
        <w:t>A LOS DESPACHOS JUDICIALES DEL PAÍS, ABOGADOS, ABOGADAS Y PÚBLICO EN GENERAL</w:t>
      </w:r>
    </w:p>
    <w:p w14:paraId="027AF71E" w14:textId="77777777" w:rsidR="00301EA1" w:rsidRDefault="00301EA1" w:rsidP="00301EA1">
      <w:pPr>
        <w:pStyle w:val="app-page-detaildocumentany"/>
        <w:ind w:left="470" w:right="470"/>
        <w:jc w:val="center"/>
        <w:rPr>
          <w:rFonts w:eastAsia="Times New Roman" w:cs="Times New Roman"/>
          <w:szCs w:val="24"/>
        </w:rPr>
      </w:pPr>
    </w:p>
    <w:p w14:paraId="57E35A64" w14:textId="77777777" w:rsidR="00301EA1" w:rsidRDefault="00301EA1" w:rsidP="00301EA1">
      <w:pPr>
        <w:pStyle w:val="app-page-detaildocumentany"/>
        <w:spacing w:after="100"/>
        <w:ind w:left="470" w:right="470"/>
        <w:jc w:val="center"/>
        <w:rPr>
          <w:rFonts w:eastAsia="Times New Roman" w:cs="Times New Roman"/>
          <w:szCs w:val="24"/>
        </w:rPr>
      </w:pPr>
      <w:r>
        <w:rPr>
          <w:rStyle w:val="app-page-detaildocumentanyCharacter"/>
          <w:rFonts w:eastAsia="Times New Roman" w:cs="Times New Roman"/>
          <w:b/>
          <w:szCs w:val="24"/>
          <w:u w:val="single" w:color="000000"/>
        </w:rPr>
        <w:t>SE LES HACE SABER QUE:</w:t>
      </w:r>
    </w:p>
    <w:p w14:paraId="480F9727" w14:textId="77777777" w:rsidR="00301EA1" w:rsidRDefault="00301EA1" w:rsidP="00301EA1">
      <w:pPr>
        <w:pStyle w:val="app-page-detaildocumentany"/>
        <w:spacing w:before="100"/>
        <w:ind w:left="470" w:right="470"/>
        <w:jc w:val="both"/>
        <w:rPr>
          <w:rFonts w:eastAsia="Times New Roman" w:cs="Times New Roman"/>
          <w:szCs w:val="24"/>
        </w:rPr>
      </w:pPr>
      <w:bookmarkStart w:id="0" w:name="_Hlk51828980"/>
      <w:bookmarkEnd w:id="0"/>
      <w:r>
        <w:rPr>
          <w:rStyle w:val="app-page-detaildocumentanyCharacter"/>
          <w:rFonts w:eastAsia="Times New Roman" w:cs="Times New Roman"/>
          <w:szCs w:val="24"/>
        </w:rPr>
        <w:t> </w:t>
      </w:r>
    </w:p>
    <w:p w14:paraId="1926916E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  <w:r>
        <w:rPr>
          <w:rStyle w:val="app-page-detaildocumentanyCharacter"/>
          <w:rFonts w:eastAsia="Times New Roman" w:cs="Times New Roman"/>
          <w:szCs w:val="24"/>
        </w:rPr>
        <w:t xml:space="preserve">El Consejo Superior del Poder Judicial en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sesión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N° 55-2022,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celebrada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el 30 de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junio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2022,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artículo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LXXIII, ante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llegada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al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país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onda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tropical #13,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acordó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: </w:t>
      </w:r>
    </w:p>
    <w:p w14:paraId="77A5EFC4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</w:p>
    <w:p w14:paraId="33EC24FF" w14:textId="77777777" w:rsidR="00301EA1" w:rsidRDefault="00301EA1" w:rsidP="00301EA1">
      <w:pPr>
        <w:pStyle w:val="app-page-detaildocumentany"/>
        <w:numPr>
          <w:ilvl w:val="0"/>
          <w:numId w:val="1"/>
        </w:numPr>
        <w:ind w:left="550" w:right="470" w:hanging="355"/>
        <w:jc w:val="both"/>
        <w:rPr>
          <w:rFonts w:eastAsia="Times New Roman" w:cs="Times New Roman"/>
          <w:szCs w:val="24"/>
        </w:rPr>
      </w:pPr>
      <w:r>
        <w:rPr>
          <w:rStyle w:val="app-page-detaildocumentanyCharacter"/>
          <w:rFonts w:eastAsia="Times New Roman" w:cs="Times New Roman"/>
          <w:szCs w:val="24"/>
        </w:rPr>
        <w:t xml:space="preserve">Suspender las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labores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durante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segunda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audiencia del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viernes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1° de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julio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del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año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en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curso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en los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despachos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judiciales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las zonas de San Carlos, Upala, Los Chiles, La Cruz, Sarapiquí,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Guatuso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>, Liberia, Guácimo, Pococí, Siquirres y Matina.</w:t>
      </w:r>
    </w:p>
    <w:p w14:paraId="0554089B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</w:p>
    <w:p w14:paraId="03DADE1B" w14:textId="77777777" w:rsidR="00301EA1" w:rsidRDefault="00301EA1" w:rsidP="00301EA1">
      <w:pPr>
        <w:pStyle w:val="app-page-detaildocumentany"/>
        <w:numPr>
          <w:ilvl w:val="0"/>
          <w:numId w:val="2"/>
        </w:numPr>
        <w:ind w:left="550" w:right="470" w:hanging="355"/>
        <w:jc w:val="both"/>
        <w:rPr>
          <w:rFonts w:eastAsia="Times New Roman" w:cs="Times New Roman"/>
          <w:szCs w:val="24"/>
        </w:rPr>
      </w:pPr>
      <w:r>
        <w:rPr>
          <w:rStyle w:val="app-page-detaildocumentanyCharacter"/>
          <w:rFonts w:eastAsia="Times New Roman" w:cs="Times New Roman"/>
          <w:szCs w:val="24"/>
        </w:rPr>
        <w:t xml:space="preserve">Se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debe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valorar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permanencia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personas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detenidas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en las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celdas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los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despachos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judiciales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según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el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riesgo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y en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caso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requerirse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traslados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coordinar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lo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correspondiente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>.</w:t>
      </w:r>
    </w:p>
    <w:p w14:paraId="7E876355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</w:p>
    <w:p w14:paraId="2AFAB68E" w14:textId="77777777" w:rsidR="00301EA1" w:rsidRDefault="00301EA1" w:rsidP="00301EA1">
      <w:pPr>
        <w:pStyle w:val="app-page-detaildocumentany"/>
        <w:numPr>
          <w:ilvl w:val="0"/>
          <w:numId w:val="3"/>
        </w:numPr>
        <w:ind w:left="550" w:right="470" w:hanging="355"/>
        <w:jc w:val="both"/>
        <w:rPr>
          <w:rFonts w:eastAsia="Times New Roman" w:cs="Times New Roman"/>
          <w:szCs w:val="24"/>
        </w:rPr>
      </w:pPr>
      <w:r>
        <w:rPr>
          <w:rStyle w:val="app-page-detaildocumentanyCharacter"/>
          <w:rFonts w:eastAsia="Times New Roman" w:cs="Times New Roman"/>
          <w:szCs w:val="24"/>
        </w:rPr>
        <w:t xml:space="preserve">Deben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ubicarse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lugares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aptos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idóneos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y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adecuados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para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protección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los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bienes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institución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como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son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vehículos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equipos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cómputo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equipos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comunicación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entre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otros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así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como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documentación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(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expedientes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y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otros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). En los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casos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donde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existan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plantas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eléctricas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portátiles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deben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estar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preparadas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para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entrar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funcionar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en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cualquier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momento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>.</w:t>
      </w:r>
    </w:p>
    <w:p w14:paraId="6F3A3708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</w:p>
    <w:p w14:paraId="275E18C1" w14:textId="77777777" w:rsidR="00301EA1" w:rsidRPr="00301EA1" w:rsidRDefault="00301EA1" w:rsidP="00301EA1">
      <w:pPr>
        <w:pStyle w:val="app-page-detaildocumentany"/>
        <w:numPr>
          <w:ilvl w:val="0"/>
          <w:numId w:val="4"/>
        </w:numPr>
        <w:ind w:left="550" w:right="470" w:hanging="355"/>
        <w:jc w:val="both"/>
        <w:rPr>
          <w:rFonts w:eastAsia="Times New Roman" w:cs="Times New Roman"/>
          <w:szCs w:val="24"/>
        </w:rPr>
      </w:pPr>
      <w:proofErr w:type="spellStart"/>
      <w:r w:rsidRPr="00301EA1">
        <w:rPr>
          <w:rStyle w:val="app-page-detaildocumentanyCharacter"/>
          <w:rFonts w:eastAsia="Times New Roman" w:cs="Times New Roman"/>
          <w:szCs w:val="24"/>
        </w:rPr>
        <w:t>Solicitar</w:t>
      </w:r>
      <w:proofErr w:type="spellEnd"/>
      <w:r w:rsidRPr="00301EA1">
        <w:rPr>
          <w:rStyle w:val="app-page-detaildocumentanyCharacter"/>
          <w:rFonts w:eastAsia="Times New Roman" w:cs="Times New Roman"/>
          <w:szCs w:val="24"/>
        </w:rPr>
        <w:t xml:space="preserve"> a la Dirección del OIJ, a los </w:t>
      </w:r>
      <w:proofErr w:type="spellStart"/>
      <w:r w:rsidRPr="00301EA1">
        <w:rPr>
          <w:rStyle w:val="app-page-detaildocumentanyCharacter"/>
          <w:rFonts w:eastAsia="Times New Roman" w:cs="Times New Roman"/>
          <w:szCs w:val="24"/>
        </w:rPr>
        <w:t>Consejos</w:t>
      </w:r>
      <w:proofErr w:type="spellEnd"/>
      <w:r w:rsidRPr="00301EA1">
        <w:rPr>
          <w:rStyle w:val="app-page-detaildocumentanyCharacter"/>
          <w:rFonts w:eastAsia="Times New Roman" w:cs="Times New Roman"/>
          <w:szCs w:val="24"/>
        </w:rPr>
        <w:t xml:space="preserve"> de Administración de </w:t>
      </w:r>
      <w:proofErr w:type="spellStart"/>
      <w:r w:rsidRPr="00301EA1">
        <w:rPr>
          <w:rStyle w:val="app-page-detaildocumentanyCharacter"/>
          <w:rFonts w:eastAsia="Times New Roman" w:cs="Times New Roman"/>
          <w:szCs w:val="24"/>
        </w:rPr>
        <w:t>Circuitos</w:t>
      </w:r>
      <w:proofErr w:type="spellEnd"/>
      <w:r w:rsidRPr="00301EA1">
        <w:rPr>
          <w:rStyle w:val="app-page-detaildocumentanyCharacter"/>
          <w:rFonts w:eastAsia="Times New Roman" w:cs="Times New Roman"/>
          <w:szCs w:val="24"/>
        </w:rPr>
        <w:t xml:space="preserve"> y a las personas </w:t>
      </w:r>
      <w:proofErr w:type="spellStart"/>
      <w:r w:rsidRPr="00301EA1">
        <w:rPr>
          <w:rStyle w:val="app-page-detaildocumentanyCharacter"/>
          <w:rFonts w:eastAsia="Times New Roman" w:cs="Times New Roman"/>
          <w:szCs w:val="24"/>
        </w:rPr>
        <w:t>administradoras</w:t>
      </w:r>
      <w:proofErr w:type="spellEnd"/>
      <w:r w:rsidRPr="00301EA1"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 w:rsidRPr="00301EA1">
        <w:rPr>
          <w:rStyle w:val="app-page-detaildocumentanyCharacter"/>
          <w:rFonts w:eastAsia="Times New Roman" w:cs="Times New Roman"/>
          <w:szCs w:val="24"/>
        </w:rPr>
        <w:t>regionales</w:t>
      </w:r>
      <w:proofErr w:type="spellEnd"/>
      <w:r w:rsidRPr="00301EA1">
        <w:rPr>
          <w:rStyle w:val="app-page-detaildocumentanyCharacter"/>
          <w:rFonts w:eastAsia="Times New Roman" w:cs="Times New Roman"/>
          <w:szCs w:val="24"/>
        </w:rPr>
        <w:t xml:space="preserve"> del </w:t>
      </w:r>
      <w:proofErr w:type="spellStart"/>
      <w:r w:rsidRPr="00301EA1">
        <w:rPr>
          <w:rStyle w:val="app-page-detaildocumentanyCharacter"/>
          <w:rFonts w:eastAsia="Times New Roman" w:cs="Times New Roman"/>
          <w:szCs w:val="24"/>
        </w:rPr>
        <w:t>país</w:t>
      </w:r>
      <w:proofErr w:type="spellEnd"/>
      <w:r w:rsidRPr="00301EA1">
        <w:rPr>
          <w:rStyle w:val="app-page-detaildocumentanyCharacter"/>
          <w:rFonts w:eastAsia="Times New Roman" w:cs="Times New Roman"/>
          <w:szCs w:val="24"/>
        </w:rPr>
        <w:t xml:space="preserve">, que se </w:t>
      </w:r>
      <w:proofErr w:type="spellStart"/>
      <w:r w:rsidRPr="00301EA1">
        <w:rPr>
          <w:rStyle w:val="app-page-detaildocumentanyCharacter"/>
          <w:rFonts w:eastAsia="Times New Roman" w:cs="Times New Roman"/>
          <w:szCs w:val="24"/>
        </w:rPr>
        <w:t>mantengan</w:t>
      </w:r>
      <w:proofErr w:type="spellEnd"/>
      <w:r w:rsidRPr="00301EA1"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 w:rsidRPr="00301EA1">
        <w:rPr>
          <w:rStyle w:val="app-page-detaildocumentanyCharacter"/>
          <w:rFonts w:eastAsia="Times New Roman" w:cs="Times New Roman"/>
          <w:szCs w:val="24"/>
        </w:rPr>
        <w:t>monitoreando</w:t>
      </w:r>
      <w:proofErr w:type="spellEnd"/>
      <w:r w:rsidRPr="00301EA1">
        <w:rPr>
          <w:rStyle w:val="app-page-detaildocumentanyCharacter"/>
          <w:rFonts w:eastAsia="Times New Roman" w:cs="Times New Roman"/>
          <w:szCs w:val="24"/>
        </w:rPr>
        <w:t xml:space="preserve"> la </w:t>
      </w:r>
      <w:proofErr w:type="spellStart"/>
      <w:r w:rsidRPr="00301EA1">
        <w:rPr>
          <w:rStyle w:val="app-page-detaildocumentanyCharacter"/>
          <w:rFonts w:eastAsia="Times New Roman" w:cs="Times New Roman"/>
          <w:szCs w:val="24"/>
        </w:rPr>
        <w:t>situación</w:t>
      </w:r>
      <w:proofErr w:type="spellEnd"/>
      <w:r w:rsidRPr="00301EA1">
        <w:rPr>
          <w:rStyle w:val="app-page-detaildocumentanyCharacter"/>
          <w:rFonts w:eastAsia="Times New Roman" w:cs="Times New Roman"/>
          <w:szCs w:val="24"/>
        </w:rPr>
        <w:t xml:space="preserve"> y </w:t>
      </w:r>
      <w:proofErr w:type="spellStart"/>
      <w:r w:rsidRPr="00301EA1">
        <w:rPr>
          <w:rStyle w:val="app-page-detaildocumentanyCharacter"/>
          <w:rFonts w:eastAsia="Times New Roman" w:cs="Times New Roman"/>
          <w:szCs w:val="24"/>
        </w:rPr>
        <w:t>tomen</w:t>
      </w:r>
      <w:proofErr w:type="spellEnd"/>
      <w:r w:rsidRPr="00301EA1">
        <w:rPr>
          <w:rStyle w:val="app-page-detaildocumentanyCharacter"/>
          <w:rFonts w:eastAsia="Times New Roman" w:cs="Times New Roman"/>
          <w:szCs w:val="24"/>
        </w:rPr>
        <w:t xml:space="preserve"> las </w:t>
      </w:r>
      <w:proofErr w:type="spellStart"/>
      <w:r w:rsidRPr="00301EA1">
        <w:rPr>
          <w:rStyle w:val="app-page-detaildocumentanyCharacter"/>
          <w:rFonts w:eastAsia="Times New Roman" w:cs="Times New Roman"/>
          <w:szCs w:val="24"/>
        </w:rPr>
        <w:t>medidas</w:t>
      </w:r>
      <w:proofErr w:type="spellEnd"/>
      <w:r w:rsidRPr="00301EA1">
        <w:rPr>
          <w:rStyle w:val="app-page-detaildocumentanyCharacter"/>
          <w:rFonts w:eastAsia="Times New Roman" w:cs="Times New Roman"/>
          <w:szCs w:val="24"/>
        </w:rPr>
        <w:t xml:space="preserve"> de </w:t>
      </w:r>
      <w:proofErr w:type="spellStart"/>
      <w:r w:rsidRPr="00301EA1">
        <w:rPr>
          <w:rStyle w:val="app-page-detaildocumentanyCharacter"/>
          <w:rFonts w:eastAsia="Times New Roman" w:cs="Times New Roman"/>
          <w:szCs w:val="24"/>
        </w:rPr>
        <w:t>seguridad</w:t>
      </w:r>
      <w:proofErr w:type="spellEnd"/>
      <w:r w:rsidRPr="00301EA1">
        <w:rPr>
          <w:rStyle w:val="app-page-detaildocumentanyCharacter"/>
          <w:rFonts w:eastAsia="Times New Roman" w:cs="Times New Roman"/>
          <w:szCs w:val="24"/>
        </w:rPr>
        <w:t xml:space="preserve"> que </w:t>
      </w:r>
      <w:proofErr w:type="spellStart"/>
      <w:r w:rsidRPr="00301EA1">
        <w:rPr>
          <w:rStyle w:val="app-page-detaildocumentanyCharacter"/>
          <w:rFonts w:eastAsia="Times New Roman" w:cs="Times New Roman"/>
          <w:szCs w:val="24"/>
        </w:rPr>
        <w:t>sean</w:t>
      </w:r>
      <w:proofErr w:type="spellEnd"/>
      <w:r w:rsidRPr="00301EA1"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 w:rsidRPr="00301EA1">
        <w:rPr>
          <w:rStyle w:val="app-page-detaildocumentanyCharacter"/>
          <w:rFonts w:eastAsia="Times New Roman" w:cs="Times New Roman"/>
          <w:szCs w:val="24"/>
        </w:rPr>
        <w:t>necesarias</w:t>
      </w:r>
      <w:proofErr w:type="spellEnd"/>
      <w:r w:rsidRPr="00301EA1">
        <w:rPr>
          <w:rStyle w:val="app-page-detaildocumentanyCharacter"/>
          <w:rFonts w:eastAsia="Times New Roman" w:cs="Times New Roman"/>
          <w:szCs w:val="24"/>
        </w:rPr>
        <w:t>.</w:t>
      </w:r>
    </w:p>
    <w:p w14:paraId="5FE87EDA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</w:p>
    <w:p w14:paraId="755749C2" w14:textId="77777777" w:rsidR="00301EA1" w:rsidRDefault="00301EA1" w:rsidP="00301EA1">
      <w:pPr>
        <w:pStyle w:val="app-page-detaildocumentany"/>
        <w:numPr>
          <w:ilvl w:val="0"/>
          <w:numId w:val="5"/>
        </w:numPr>
        <w:ind w:left="550" w:right="470" w:hanging="355"/>
        <w:jc w:val="both"/>
        <w:rPr>
          <w:rFonts w:eastAsia="Times New Roman" w:cs="Times New Roman"/>
          <w:szCs w:val="24"/>
        </w:rPr>
      </w:pPr>
      <w:r>
        <w:rPr>
          <w:rStyle w:val="app-page-detaildocumentanyCharacter"/>
          <w:rFonts w:eastAsia="Times New Roman" w:cs="Times New Roman"/>
          <w:szCs w:val="24"/>
        </w:rPr>
        <w:t xml:space="preserve">Por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naturaleza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función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que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realizan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el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cierre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decretado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no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aplica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a las personas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servidoras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judiciales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que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laboran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en el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Organismo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Investigación Judicial.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Será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la Dirección General de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esa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dependencia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la que </w:t>
      </w:r>
      <w:proofErr w:type="gramStart"/>
      <w:r>
        <w:rPr>
          <w:rStyle w:val="app-page-detaildocumentanyCharacter"/>
          <w:rFonts w:eastAsia="Times New Roman" w:cs="Times New Roman"/>
          <w:szCs w:val="24"/>
        </w:rPr>
        <w:t>determine</w:t>
      </w:r>
      <w:proofErr w:type="gramEnd"/>
      <w:r>
        <w:rPr>
          <w:rStyle w:val="app-page-detaildocumentanyCharacter"/>
          <w:rFonts w:eastAsia="Times New Roman" w:cs="Times New Roman"/>
          <w:szCs w:val="24"/>
        </w:rPr>
        <w:t xml:space="preserve"> las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medidas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pertinentes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>.</w:t>
      </w:r>
    </w:p>
    <w:p w14:paraId="30B58C24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</w:p>
    <w:p w14:paraId="3FCE13E0" w14:textId="77777777" w:rsidR="00301EA1" w:rsidRDefault="00301EA1" w:rsidP="00301EA1">
      <w:pPr>
        <w:pStyle w:val="app-page-detaildocumentany"/>
        <w:numPr>
          <w:ilvl w:val="0"/>
          <w:numId w:val="6"/>
        </w:numPr>
        <w:ind w:left="550" w:right="470" w:hanging="355"/>
        <w:jc w:val="both"/>
        <w:rPr>
          <w:rFonts w:eastAsia="Times New Roman" w:cs="Times New Roman"/>
          <w:szCs w:val="24"/>
        </w:rPr>
      </w:pPr>
      <w:r>
        <w:rPr>
          <w:rStyle w:val="app-page-detaildocumentanyCharacter"/>
          <w:rFonts w:eastAsia="Times New Roman" w:cs="Times New Roman"/>
          <w:szCs w:val="24"/>
        </w:rPr>
        <w:t xml:space="preserve">Los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Consejos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Administración de Liberia, San Carlos, Heredia (Sarapiquí) Limón y Pococí,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así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las personas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administradoras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regionales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deberán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monitorear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situación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del Circuito y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tomar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las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medidas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seguridad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que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sean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necesarias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en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resguardo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vida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las personas y de los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recursos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públicos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>.</w:t>
      </w:r>
    </w:p>
    <w:p w14:paraId="5FDD4733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</w:p>
    <w:p w14:paraId="47014CAA" w14:textId="77777777" w:rsidR="00301EA1" w:rsidRDefault="00301EA1" w:rsidP="00301EA1">
      <w:pPr>
        <w:pStyle w:val="app-page-detaildocumentany"/>
        <w:numPr>
          <w:ilvl w:val="0"/>
          <w:numId w:val="7"/>
        </w:numPr>
        <w:ind w:left="550" w:right="470" w:hanging="355"/>
        <w:jc w:val="both"/>
        <w:rPr>
          <w:rFonts w:eastAsia="Times New Roman" w:cs="Times New Roman"/>
          <w:szCs w:val="24"/>
        </w:rPr>
      </w:pPr>
      <w:r>
        <w:rPr>
          <w:rStyle w:val="app-page-detaildocumentanyCharacter"/>
          <w:rFonts w:eastAsia="Times New Roman" w:cs="Times New Roman"/>
          <w:szCs w:val="24"/>
        </w:rPr>
        <w:lastRenderedPageBreak/>
        <w:t xml:space="preserve">Las personas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juzgadoras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en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materia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penal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deberán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estar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disponibles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de ser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requeridos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para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atender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situaciones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emergencia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y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deberán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proveer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a las personas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administradoras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regionales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los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números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teléfono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para ser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ubicados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>.</w:t>
      </w:r>
    </w:p>
    <w:p w14:paraId="17E6E722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</w:p>
    <w:p w14:paraId="103DC0DF" w14:textId="77777777" w:rsidR="00301EA1" w:rsidRDefault="00301EA1" w:rsidP="00301EA1">
      <w:pPr>
        <w:pStyle w:val="app-page-detaildocumentany"/>
        <w:numPr>
          <w:ilvl w:val="0"/>
          <w:numId w:val="8"/>
        </w:numPr>
        <w:ind w:left="550" w:right="470" w:hanging="355"/>
        <w:jc w:val="both"/>
        <w:rPr>
          <w:rFonts w:eastAsia="Times New Roman" w:cs="Times New Roman"/>
          <w:szCs w:val="24"/>
        </w:rPr>
      </w:pPr>
      <w:r>
        <w:rPr>
          <w:rStyle w:val="app-page-detaildocumentanyCharacter"/>
          <w:rFonts w:eastAsia="Times New Roman" w:cs="Times New Roman"/>
          <w:szCs w:val="24"/>
        </w:rPr>
        <w:t xml:space="preserve">En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materia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Pensiones Alimentarias y Violencia Doméstica, de las zonas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indicadas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también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rigen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durante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declaración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emergencia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las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medidas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dispuestas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para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atención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en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asuetos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días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feriados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y fines de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semana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con las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salvedades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que la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situación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emergencia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imponga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,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aplicando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las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mismas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reglas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ya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indicadas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>.</w:t>
      </w:r>
    </w:p>
    <w:p w14:paraId="2C1CE35C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</w:p>
    <w:p w14:paraId="6B4B0AAC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  <w:r>
        <w:rPr>
          <w:rStyle w:val="app-page-detaildocumentanyCharacter"/>
          <w:rFonts w:eastAsia="Times New Roman" w:cs="Times New Roman"/>
          <w:szCs w:val="24"/>
        </w:rPr>
        <w:t xml:space="preserve">Se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declara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acuerdo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firme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>.</w:t>
      </w:r>
    </w:p>
    <w:p w14:paraId="38E568EA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</w:p>
    <w:p w14:paraId="53F6995F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  <w:r>
        <w:rPr>
          <w:rStyle w:val="app-page-detaildocumentanyCharacter"/>
          <w:rFonts w:eastAsia="Times New Roman" w:cs="Times New Roman"/>
          <w:b/>
          <w:szCs w:val="24"/>
        </w:rPr>
        <w:t xml:space="preserve">De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conformidad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con la circular N° 67-09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emitida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por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la Secretaría de la Corte el 22 de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junio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de 2009, se le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comunica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que en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virtud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del principio de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gratuidad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que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rige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esta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materia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, la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publicación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está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exenta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de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todo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pago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de derechos. </w:t>
      </w:r>
    </w:p>
    <w:p w14:paraId="3666AC7A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</w:p>
    <w:p w14:paraId="1BF38B6E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Publíquese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una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sola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vez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en el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Boletín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 xml:space="preserve"> Judicial </w:t>
      </w:r>
    </w:p>
    <w:p w14:paraId="6938BCE5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</w:p>
    <w:p w14:paraId="40B39766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</w:p>
    <w:p w14:paraId="44C407B6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  <w:r>
        <w:rPr>
          <w:rStyle w:val="app-page-detaildocumentanyCharacter"/>
          <w:rFonts w:eastAsia="Times New Roman" w:cs="Times New Roman"/>
          <w:szCs w:val="24"/>
        </w:rPr>
        <w:t xml:space="preserve">San José, de 1° de </w:t>
      </w:r>
      <w:proofErr w:type="spellStart"/>
      <w:r>
        <w:rPr>
          <w:rStyle w:val="app-page-detaildocumentanyCharacter"/>
          <w:rFonts w:eastAsia="Times New Roman" w:cs="Times New Roman"/>
          <w:szCs w:val="24"/>
        </w:rPr>
        <w:t>julio</w:t>
      </w:r>
      <w:proofErr w:type="spellEnd"/>
      <w:r>
        <w:rPr>
          <w:rStyle w:val="app-page-detaildocumentanyCharacter"/>
          <w:rFonts w:eastAsia="Times New Roman" w:cs="Times New Roman"/>
          <w:szCs w:val="24"/>
        </w:rPr>
        <w:t xml:space="preserve"> de 2022.</w:t>
      </w:r>
    </w:p>
    <w:p w14:paraId="2F689AEC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</w:p>
    <w:p w14:paraId="5B0C265A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</w:p>
    <w:p w14:paraId="7C2823A2" w14:textId="77777777" w:rsid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szCs w:val="24"/>
        </w:rPr>
      </w:pPr>
    </w:p>
    <w:p w14:paraId="2AEBEEFF" w14:textId="77777777" w:rsidR="00301EA1" w:rsidRDefault="00301EA1" w:rsidP="00301EA1">
      <w:pPr>
        <w:pStyle w:val="app-page-detaildocumentany"/>
        <w:ind w:left="470" w:right="470"/>
        <w:jc w:val="center"/>
        <w:rPr>
          <w:rFonts w:eastAsia="Times New Roman" w:cs="Times New Roman"/>
          <w:szCs w:val="24"/>
        </w:rPr>
      </w:pP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Lic</w:t>
      </w:r>
      <w:proofErr w:type="spellEnd"/>
      <w:r>
        <w:rPr>
          <w:rStyle w:val="app-page-detaildocumentanyCharacter"/>
          <w:rFonts w:eastAsia="Times New Roman" w:cs="Times New Roman"/>
          <w:b/>
          <w:szCs w:val="24"/>
        </w:rPr>
        <w:t>. Carlos T.  Mora Rodríguez</w:t>
      </w:r>
    </w:p>
    <w:p w14:paraId="383C6AE7" w14:textId="77777777" w:rsidR="00301EA1" w:rsidRDefault="00301EA1" w:rsidP="00301EA1">
      <w:pPr>
        <w:pStyle w:val="app-page-detaildocumentany"/>
        <w:ind w:left="470" w:right="470"/>
        <w:jc w:val="center"/>
        <w:rPr>
          <w:rFonts w:eastAsia="Times New Roman" w:cs="Times New Roman"/>
          <w:szCs w:val="24"/>
        </w:rPr>
      </w:pPr>
      <w:r>
        <w:rPr>
          <w:rStyle w:val="app-page-detaildocumentanyCharacter"/>
          <w:rFonts w:eastAsia="Times New Roman" w:cs="Times New Roman"/>
          <w:b/>
          <w:szCs w:val="24"/>
        </w:rPr>
        <w:t xml:space="preserve">Subsecretario General </w:t>
      </w:r>
      <w:proofErr w:type="spellStart"/>
      <w:r>
        <w:rPr>
          <w:rStyle w:val="app-page-detaildocumentanyCharacter"/>
          <w:rFonts w:eastAsia="Times New Roman" w:cs="Times New Roman"/>
          <w:b/>
          <w:szCs w:val="24"/>
        </w:rPr>
        <w:t>Interino</w:t>
      </w:r>
      <w:proofErr w:type="spellEnd"/>
    </w:p>
    <w:p w14:paraId="00DDF797" w14:textId="77777777" w:rsidR="00301EA1" w:rsidRDefault="00301EA1" w:rsidP="00301EA1">
      <w:pPr>
        <w:pStyle w:val="app-page-detaildocumentany"/>
        <w:ind w:left="470" w:right="470"/>
        <w:jc w:val="center"/>
        <w:rPr>
          <w:rFonts w:eastAsia="Times New Roman" w:cs="Times New Roman"/>
          <w:szCs w:val="24"/>
        </w:rPr>
      </w:pPr>
      <w:r>
        <w:rPr>
          <w:rStyle w:val="app-page-detaildocumentanyCharacter"/>
          <w:rFonts w:eastAsia="Times New Roman" w:cs="Times New Roman"/>
          <w:b/>
          <w:szCs w:val="24"/>
        </w:rPr>
        <w:t>Corte Suprema de Justicia</w:t>
      </w:r>
    </w:p>
    <w:p w14:paraId="5E6FFCE6" w14:textId="77777777" w:rsidR="00301EA1" w:rsidRDefault="00301EA1" w:rsidP="00301EA1">
      <w:pPr>
        <w:pStyle w:val="app-page-detaildocumentany"/>
        <w:ind w:left="470" w:right="470"/>
        <w:jc w:val="center"/>
        <w:rPr>
          <w:rFonts w:eastAsia="Times New Roman" w:cs="Times New Roman"/>
          <w:szCs w:val="24"/>
        </w:rPr>
      </w:pPr>
    </w:p>
    <w:p w14:paraId="0945E15F" w14:textId="77777777" w:rsidR="00301EA1" w:rsidRP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bCs/>
          <w:szCs w:val="24"/>
        </w:rPr>
      </w:pPr>
    </w:p>
    <w:p w14:paraId="58E3A1F9" w14:textId="77777777" w:rsidR="00301EA1" w:rsidRPr="00301EA1" w:rsidRDefault="00301EA1" w:rsidP="00301EA1">
      <w:pPr>
        <w:pStyle w:val="app-page-detaildocumentany"/>
        <w:ind w:left="470" w:right="470"/>
        <w:jc w:val="both"/>
        <w:rPr>
          <w:rFonts w:eastAsia="Times New Roman" w:cs="Times New Roman"/>
          <w:bCs/>
          <w:szCs w:val="24"/>
        </w:rPr>
      </w:pPr>
      <w:r w:rsidRPr="00301EA1">
        <w:rPr>
          <w:rStyle w:val="app-page-detaildocumentanyCharacter"/>
          <w:rFonts w:eastAsia="Times New Roman" w:cs="Times New Roman"/>
          <w:bCs/>
          <w:szCs w:val="24"/>
        </w:rPr>
        <w:t>Ref 7637-2022</w:t>
      </w:r>
    </w:p>
    <w:p w14:paraId="4D0D9CDC" w14:textId="77777777" w:rsidR="00301EA1" w:rsidRDefault="00301EA1"/>
    <w:sectPr w:rsidR="00301E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00000002"/>
    <w:multiLevelType w:val="multilevel"/>
    <w:tmpl w:val="FFFFFFFF"/>
    <w:lvl w:ilvl="0">
      <w:start w:val="2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" w15:restartNumberingAfterBreak="0">
    <w:nsid w:val="00000003"/>
    <w:multiLevelType w:val="multilevel"/>
    <w:tmpl w:val="FFFFFFFF"/>
    <w:lvl w:ilvl="0">
      <w:start w:val="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" w15:restartNumberingAfterBreak="0">
    <w:nsid w:val="00000004"/>
    <w:multiLevelType w:val="multilevel"/>
    <w:tmpl w:val="FFFFFFFF"/>
    <w:lvl w:ilvl="0">
      <w:start w:val="4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 w15:restartNumberingAfterBreak="0">
    <w:nsid w:val="00000005"/>
    <w:multiLevelType w:val="multilevel"/>
    <w:tmpl w:val="FFFFFFFF"/>
    <w:lvl w:ilvl="0">
      <w:start w:val="5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5" w15:restartNumberingAfterBreak="0">
    <w:nsid w:val="00000006"/>
    <w:multiLevelType w:val="multilevel"/>
    <w:tmpl w:val="FFFFFFFF"/>
    <w:lvl w:ilvl="0">
      <w:start w:val="6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 w15:restartNumberingAfterBreak="0">
    <w:nsid w:val="00000007"/>
    <w:multiLevelType w:val="multilevel"/>
    <w:tmpl w:val="FFFFFFFF"/>
    <w:lvl w:ilvl="0">
      <w:start w:val="7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 w15:restartNumberingAfterBreak="0">
    <w:nsid w:val="00000008"/>
    <w:multiLevelType w:val="multilevel"/>
    <w:tmpl w:val="FFFFFFFF"/>
    <w:lvl w:ilvl="0">
      <w:start w:val="8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 w16cid:durableId="1123112067">
    <w:abstractNumId w:val="0"/>
  </w:num>
  <w:num w:numId="2" w16cid:durableId="1915357846">
    <w:abstractNumId w:val="1"/>
  </w:num>
  <w:num w:numId="3" w16cid:durableId="1541432777">
    <w:abstractNumId w:val="2"/>
  </w:num>
  <w:num w:numId="4" w16cid:durableId="276063409">
    <w:abstractNumId w:val="3"/>
  </w:num>
  <w:num w:numId="5" w16cid:durableId="645282814">
    <w:abstractNumId w:val="4"/>
  </w:num>
  <w:num w:numId="6" w16cid:durableId="1102339463">
    <w:abstractNumId w:val="5"/>
  </w:num>
  <w:num w:numId="7" w16cid:durableId="1081875533">
    <w:abstractNumId w:val="6"/>
  </w:num>
  <w:num w:numId="8" w16cid:durableId="17236020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EA1"/>
    <w:rsid w:val="00301EA1"/>
    <w:rsid w:val="00D1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6D5CD"/>
  <w15:chartTrackingRefBased/>
  <w15:docId w15:val="{97EBCDBF-5091-4CBD-A4FC-DA59BB4F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1E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1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1E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1E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1E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1E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1E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1E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1E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1E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1E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1E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1E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1E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1E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1E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1E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1E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1E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1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1E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1E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1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1E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1E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1E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1E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1E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1EA1"/>
    <w:rPr>
      <w:b/>
      <w:bCs/>
      <w:smallCaps/>
      <w:color w:val="0F4761" w:themeColor="accent1" w:themeShade="BF"/>
      <w:spacing w:val="5"/>
    </w:rPr>
  </w:style>
  <w:style w:type="paragraph" w:customStyle="1" w:styleId="app-page-detaildocumentany">
    <w:name w:val="app-page-detail_document_any"/>
    <w:uiPriority w:val="99"/>
    <w:rsid w:val="00301EA1"/>
    <w:pPr>
      <w:autoSpaceDE w:val="0"/>
      <w:autoSpaceDN w:val="0"/>
      <w:adjustRightInd w:val="0"/>
      <w:spacing w:after="0" w:line="300" w:lineRule="atLeast"/>
    </w:pPr>
    <w:rPr>
      <w:rFonts w:ascii="Arial" w:hAnsi="Arial" w:cs="Arial"/>
      <w:color w:val="000000"/>
      <w:kern w:val="0"/>
      <w:sz w:val="21"/>
      <w:szCs w:val="21"/>
      <w:lang w:val="en-US"/>
    </w:rPr>
  </w:style>
  <w:style w:type="character" w:customStyle="1" w:styleId="app-page-detaildocumentanyCharacter">
    <w:name w:val="app-page-detail_document_any Character"/>
    <w:uiPriority w:val="99"/>
    <w:rsid w:val="00301EA1"/>
    <w:rPr>
      <w:rFonts w:ascii="Arial" w:hAnsi="Arial" w:cs="Arial"/>
      <w:color w:val="000000"/>
      <w:sz w:val="21"/>
      <w:szCs w:val="21"/>
    </w:rPr>
  </w:style>
  <w:style w:type="paragraph" w:customStyle="1" w:styleId="app-page-wrapperapp-page-detaildocumenttitulo-contenido">
    <w:name w:val="app-page-wrapper_app-page-detail_document_titulo-contenido"/>
    <w:uiPriority w:val="99"/>
    <w:rsid w:val="00301EA1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kern w:val="0"/>
      <w:sz w:val="33"/>
      <w:szCs w:val="3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General de la Corte - Comunicaciones - Elienai Díaz Obando</dc:creator>
  <cp:keywords/>
  <dc:description/>
  <cp:lastModifiedBy>Secretaría General de la Corte - Comunicaciones - Elienai Díaz Obando</cp:lastModifiedBy>
  <cp:revision>2</cp:revision>
  <dcterms:created xsi:type="dcterms:W3CDTF">2024-11-14T20:37:00Z</dcterms:created>
  <dcterms:modified xsi:type="dcterms:W3CDTF">2024-11-14T20:40:00Z</dcterms:modified>
</cp:coreProperties>
</file>