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276C9" w:rsidRPr="006E7884" w:rsidRDefault="006E7884" w:rsidP="00E55B8C">
      <w:pPr>
        <w:ind w:left="851" w:right="991" w:hanging="851"/>
        <w:jc w:val="center"/>
        <w:rPr>
          <w:rFonts w:ascii="Book Antiqua" w:hAnsi="Book Antiqua" w:cs="Book Antiqua"/>
          <w:b/>
          <w:bCs/>
          <w:snapToGrid w:val="0"/>
        </w:rPr>
      </w:pPr>
      <w:r w:rsidRPr="006E7884">
        <w:rPr>
          <w:rFonts w:ascii="Book Antiqua" w:hAnsi="Book Antiqua" w:cs="Book Antiqua"/>
          <w:b/>
          <w:bCs/>
          <w:snapToGrid w:val="0"/>
        </w:rPr>
        <w:t>Explicativo de pase a fallo-Juzgados Agrarios en primera instancia</w:t>
      </w:r>
    </w:p>
    <w:p w:rsidR="001F7C24" w:rsidRDefault="001F7C24" w:rsidP="00E55B8C">
      <w:pPr>
        <w:ind w:left="851" w:right="991" w:hanging="851"/>
        <w:jc w:val="center"/>
        <w:rPr>
          <w:rFonts w:ascii="Book Antiqua" w:hAnsi="Book Antiqua" w:cs="Arial"/>
          <w:snapToGrid w:val="0"/>
        </w:rPr>
      </w:pPr>
    </w:p>
    <w:p w:rsidR="00E230DF" w:rsidRDefault="00EC1B8E" w:rsidP="00E55B8C">
      <w:pPr>
        <w:ind w:left="851" w:right="991" w:hanging="851"/>
        <w:rPr>
          <w:rFonts w:ascii="Book Antiqua" w:hAnsi="Book Antiqua" w:cs="Arial"/>
          <w:snapToGrid w:val="0"/>
        </w:rPr>
      </w:pPr>
      <w:r>
        <w:rPr>
          <w:noProof/>
        </w:rPr>
        <w:drawing>
          <wp:inline distT="0" distB="0" distL="0" distR="0" wp14:anchorId="39847008" wp14:editId="2D535E93">
            <wp:extent cx="5612130" cy="2907665"/>
            <wp:effectExtent l="0" t="0" r="7620" b="6985"/>
            <wp:docPr id="658494819" name="Imagen 1" descr="Escala de tiem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494819" name="Imagen 1" descr="Escala de tiempo&#10;&#10;Descripción generada automáticamente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07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C1B8E" w:rsidRDefault="00EC1B8E" w:rsidP="00E55B8C">
      <w:pPr>
        <w:ind w:left="851" w:right="991" w:hanging="851"/>
        <w:rPr>
          <w:rFonts w:ascii="Book Antiqua" w:hAnsi="Book Antiqua" w:cs="Arial"/>
          <w:snapToGrid w:val="0"/>
        </w:rPr>
      </w:pPr>
      <w:r>
        <w:rPr>
          <w:noProof/>
        </w:rPr>
        <w:drawing>
          <wp:inline distT="0" distB="0" distL="0" distR="0" wp14:anchorId="6996B428" wp14:editId="35607BAA">
            <wp:extent cx="5612130" cy="2250440"/>
            <wp:effectExtent l="0" t="0" r="7620" b="0"/>
            <wp:docPr id="1820742220" name="Imagen 1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742220" name="Imagen 1" descr="Imagen que contiene Texto&#10;&#10;Descripción generada automáticament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30DF" w:rsidRDefault="00E230DF" w:rsidP="006276C9">
      <w:pPr>
        <w:widowControl w:val="0"/>
        <w:spacing w:line="276" w:lineRule="auto"/>
        <w:jc w:val="both"/>
        <w:rPr>
          <w:rFonts w:ascii="Book Antiqua" w:hAnsi="Book Antiqua" w:cs="Book Antiqua"/>
          <w:b/>
          <w:bCs/>
          <w:snapToGrid w:val="0"/>
        </w:rPr>
      </w:pPr>
    </w:p>
    <w:p w:rsidR="006276C9" w:rsidRDefault="006276C9" w:rsidP="006276C9">
      <w:pPr>
        <w:widowControl w:val="0"/>
        <w:spacing w:line="276" w:lineRule="auto"/>
        <w:jc w:val="both"/>
        <w:rPr>
          <w:rFonts w:ascii="Book Antiqua" w:hAnsi="Book Antiqua" w:cs="Book Antiqua"/>
          <w:b/>
          <w:bCs/>
          <w:snapToGrid w:val="0"/>
        </w:rPr>
      </w:pPr>
      <w:r>
        <w:rPr>
          <w:rFonts w:ascii="Book Antiqua" w:hAnsi="Book Antiqua" w:cs="Book Antiqua"/>
          <w:b/>
          <w:bCs/>
          <w:snapToGrid w:val="0"/>
        </w:rPr>
        <w:t>Generalidades del proceso de registro de pase a fallo:</w:t>
      </w:r>
    </w:p>
    <w:p w:rsidR="00141E4D" w:rsidRDefault="00141E4D"/>
    <w:tbl>
      <w:tblPr>
        <w:tblW w:w="899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7"/>
        <w:gridCol w:w="8470"/>
      </w:tblGrid>
      <w:tr w:rsidR="00A832E9" w:rsidRPr="00800BF4" w:rsidTr="0071477E">
        <w:trPr>
          <w:trHeight w:val="300"/>
          <w:jc w:val="center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32E9" w:rsidRPr="00800BF4" w:rsidRDefault="00A832E9" w:rsidP="00800BF4">
            <w:pPr>
              <w:widowControl w:val="0"/>
              <w:spacing w:line="276" w:lineRule="auto"/>
              <w:jc w:val="center"/>
              <w:rPr>
                <w:rFonts w:ascii="Book Antiqua" w:eastAsia="Calibri" w:hAnsi="Book Antiqua" w:cs="Arial"/>
                <w:b/>
                <w:bCs/>
                <w:color w:val="FFFFFF" w:themeColor="background1"/>
              </w:rPr>
            </w:pPr>
            <w:r w:rsidRPr="00800BF4">
              <w:rPr>
                <w:rFonts w:ascii="Book Antiqua" w:eastAsia="Calibri" w:hAnsi="Book Antiqua" w:cs="Arial"/>
                <w:b/>
                <w:bCs/>
                <w:color w:val="FFFFFF" w:themeColor="background1"/>
              </w:rPr>
              <w:t xml:space="preserve"># </w:t>
            </w:r>
          </w:p>
        </w:tc>
        <w:tc>
          <w:tcPr>
            <w:tcW w:w="8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32E9" w:rsidRPr="00800BF4" w:rsidRDefault="00A832E9" w:rsidP="00800BF4">
            <w:pPr>
              <w:widowControl w:val="0"/>
              <w:spacing w:line="276" w:lineRule="auto"/>
              <w:jc w:val="center"/>
              <w:rPr>
                <w:rFonts w:ascii="Book Antiqua" w:eastAsia="Calibri" w:hAnsi="Book Antiqua" w:cs="Arial"/>
                <w:b/>
                <w:bCs/>
                <w:color w:val="FFFFFF" w:themeColor="background1"/>
              </w:rPr>
            </w:pPr>
            <w:r w:rsidRPr="00800BF4">
              <w:rPr>
                <w:rFonts w:ascii="Book Antiqua" w:eastAsia="Calibri" w:hAnsi="Book Antiqua" w:cs="Arial"/>
                <w:b/>
                <w:bCs/>
                <w:color w:val="FFFFFF" w:themeColor="background1"/>
              </w:rPr>
              <w:t>Generalidad</w:t>
            </w:r>
          </w:p>
        </w:tc>
      </w:tr>
      <w:tr w:rsidR="00A832E9" w:rsidRPr="00800BF4" w:rsidTr="0071477E">
        <w:trPr>
          <w:trHeight w:val="300"/>
          <w:jc w:val="center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32E9" w:rsidRPr="00D077AB" w:rsidRDefault="00010D5A" w:rsidP="00800BF4">
            <w:pPr>
              <w:widowControl w:val="0"/>
              <w:spacing w:line="276" w:lineRule="auto"/>
              <w:jc w:val="center"/>
              <w:rPr>
                <w:rFonts w:ascii="Book Antiqua" w:eastAsia="Calibri" w:hAnsi="Book Antiqua" w:cs="Arial"/>
                <w:b/>
                <w:bCs/>
              </w:rPr>
            </w:pPr>
            <w:r>
              <w:rPr>
                <w:rFonts w:ascii="Book Antiqua" w:eastAsia="Calibri" w:hAnsi="Book Antiqua" w:cs="Arial"/>
                <w:b/>
                <w:bCs/>
              </w:rPr>
              <w:t>1</w:t>
            </w:r>
          </w:p>
        </w:tc>
        <w:tc>
          <w:tcPr>
            <w:tcW w:w="8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32E9" w:rsidRPr="00D077AB" w:rsidRDefault="00A832E9" w:rsidP="0071477E">
            <w:pPr>
              <w:widowControl w:val="0"/>
              <w:spacing w:line="276" w:lineRule="auto"/>
              <w:jc w:val="both"/>
              <w:rPr>
                <w:rFonts w:ascii="Book Antiqua" w:hAnsi="Book Antiqua" w:cs="Book Antiqua"/>
                <w:snapToGrid w:val="0"/>
              </w:rPr>
            </w:pPr>
            <w:r w:rsidRPr="00D077AB">
              <w:rPr>
                <w:rFonts w:ascii="Book Antiqua" w:hAnsi="Book Antiqua" w:cs="Book Antiqua"/>
                <w:snapToGrid w:val="0"/>
              </w:rPr>
              <w:t xml:space="preserve">La tarea </w:t>
            </w:r>
            <w:r w:rsidRPr="00D077AB">
              <w:rPr>
                <w:rFonts w:ascii="Book Antiqua" w:hAnsi="Book Antiqua" w:cs="Book Antiqua"/>
                <w:i/>
                <w:iCs/>
                <w:snapToGrid w:val="0"/>
              </w:rPr>
              <w:t>“Exp. Listo para fallar e ingresar al libro fallo electrónico</w:t>
            </w:r>
            <w:r w:rsidRPr="00D077AB">
              <w:rPr>
                <w:rFonts w:ascii="Book Antiqua" w:hAnsi="Book Antiqua" w:cs="Book Antiqua"/>
                <w:snapToGrid w:val="0"/>
              </w:rPr>
              <w:t xml:space="preserve">” NO debe utilizarse a partir de la configuración de la mejora de pase a fallo por tareas.  </w:t>
            </w:r>
          </w:p>
          <w:p w:rsidR="00A832E9" w:rsidRPr="00D077AB" w:rsidRDefault="00A832E9" w:rsidP="0071477E">
            <w:pPr>
              <w:widowControl w:val="0"/>
              <w:spacing w:line="276" w:lineRule="auto"/>
              <w:jc w:val="both"/>
              <w:rPr>
                <w:rFonts w:ascii="Book Antiqua" w:hAnsi="Book Antiqua" w:cs="Book Antiqua"/>
                <w:snapToGrid w:val="0"/>
              </w:rPr>
            </w:pPr>
            <w:r w:rsidRPr="00D077AB">
              <w:rPr>
                <w:rFonts w:ascii="Book Antiqua" w:hAnsi="Book Antiqua" w:cs="Book Antiqua"/>
                <w:snapToGrid w:val="0"/>
              </w:rPr>
              <w:t xml:space="preserve">Por lo tanto, las oficinas que mantengan expedientes en la tarea </w:t>
            </w:r>
            <w:r w:rsidRPr="00D077AB">
              <w:rPr>
                <w:rFonts w:ascii="Book Antiqua" w:hAnsi="Book Antiqua" w:cs="Book Antiqua"/>
                <w:i/>
                <w:iCs/>
                <w:snapToGrid w:val="0"/>
              </w:rPr>
              <w:t>“Exp. Listo para fallar e ingresar al libro fallo electrónico”</w:t>
            </w:r>
            <w:r w:rsidRPr="00D077AB">
              <w:rPr>
                <w:rFonts w:ascii="Book Antiqua" w:hAnsi="Book Antiqua" w:cs="Book Antiqua"/>
                <w:snapToGrid w:val="0"/>
              </w:rPr>
              <w:t xml:space="preserve"> para evitar errores en los registros, deben trasladar los expedientes a la tarea de pase a fallo que corresponda</w:t>
            </w:r>
            <w:r w:rsidRPr="00D077AB">
              <w:rPr>
                <w:rFonts w:ascii="Book Antiqua" w:hAnsi="Book Antiqua" w:cs="Book Antiqua"/>
                <w:i/>
                <w:iCs/>
                <w:snapToGrid w:val="0"/>
              </w:rPr>
              <w:t xml:space="preserve">. </w:t>
            </w:r>
            <w:r w:rsidRPr="00D077AB">
              <w:rPr>
                <w:rFonts w:ascii="Book Antiqua" w:hAnsi="Book Antiqua" w:cs="Book Antiqua"/>
                <w:snapToGrid w:val="0"/>
              </w:rPr>
              <w:t xml:space="preserve"> </w:t>
            </w:r>
          </w:p>
          <w:p w:rsidR="00A832E9" w:rsidRPr="00D077AB" w:rsidRDefault="00A832E9" w:rsidP="0071477E">
            <w:pPr>
              <w:widowControl w:val="0"/>
              <w:spacing w:line="276" w:lineRule="auto"/>
              <w:jc w:val="both"/>
              <w:rPr>
                <w:rFonts w:ascii="Book Antiqua" w:hAnsi="Book Antiqua" w:cs="Book Antiqua"/>
                <w:snapToGrid w:val="0"/>
              </w:rPr>
            </w:pPr>
            <w:r w:rsidRPr="00D077AB">
              <w:rPr>
                <w:rFonts w:ascii="Book Antiqua" w:hAnsi="Book Antiqua" w:cs="Book Antiqua"/>
                <w:snapToGrid w:val="0"/>
              </w:rPr>
              <w:t xml:space="preserve">Una vez hecho lo anterior, deben desasociar del sistema la tarea </w:t>
            </w:r>
            <w:r w:rsidRPr="00D077AB">
              <w:rPr>
                <w:rFonts w:ascii="Book Antiqua" w:hAnsi="Book Antiqua" w:cs="Book Antiqua"/>
                <w:i/>
                <w:iCs/>
                <w:snapToGrid w:val="0"/>
              </w:rPr>
              <w:t>“Exp. Listo para fallar e ingresar al libro fallo electrónico”</w:t>
            </w:r>
            <w:r w:rsidRPr="00D077AB">
              <w:rPr>
                <w:rFonts w:ascii="Book Antiqua" w:hAnsi="Book Antiqua" w:cs="Book Antiqua"/>
                <w:snapToGrid w:val="0"/>
              </w:rPr>
              <w:t xml:space="preserve"> (para que ya no pueda utilizarse) e informar a DTI Regional para que corrobore que se realizó correctamente.</w:t>
            </w:r>
          </w:p>
        </w:tc>
      </w:tr>
      <w:tr w:rsidR="00A832E9" w:rsidRPr="00800BF4" w:rsidTr="0071477E">
        <w:trPr>
          <w:trHeight w:val="300"/>
          <w:jc w:val="center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32E9" w:rsidRPr="00D077AB" w:rsidRDefault="00B61C42" w:rsidP="00800BF4">
            <w:pPr>
              <w:widowControl w:val="0"/>
              <w:spacing w:line="276" w:lineRule="auto"/>
              <w:jc w:val="center"/>
              <w:rPr>
                <w:rFonts w:ascii="Book Antiqua" w:eastAsia="Calibri" w:hAnsi="Book Antiqua" w:cs="Arial"/>
                <w:b/>
                <w:bCs/>
              </w:rPr>
            </w:pPr>
            <w:r>
              <w:rPr>
                <w:rFonts w:ascii="Book Antiqua" w:eastAsia="Calibri" w:hAnsi="Book Antiqua" w:cs="Arial"/>
                <w:b/>
                <w:bCs/>
              </w:rPr>
              <w:t>2</w:t>
            </w:r>
          </w:p>
        </w:tc>
        <w:tc>
          <w:tcPr>
            <w:tcW w:w="8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32E9" w:rsidRPr="00D077AB" w:rsidRDefault="00A832E9" w:rsidP="0071477E">
            <w:pPr>
              <w:spacing w:line="276" w:lineRule="auto"/>
              <w:jc w:val="both"/>
              <w:rPr>
                <w:rFonts w:ascii="Book Antiqua" w:hAnsi="Book Antiqua" w:cs="Arial"/>
                <w:b/>
                <w:bCs/>
              </w:rPr>
            </w:pPr>
            <w:r w:rsidRPr="00D077AB">
              <w:rPr>
                <w:rFonts w:ascii="Book Antiqua" w:hAnsi="Book Antiqua" w:cs="Book Antiqua"/>
                <w:snapToGrid w:val="0"/>
              </w:rPr>
              <w:t>El registro de la información en el libro de pase a fallo y en el archivo de formato Excel se realizará de manera paralela</w:t>
            </w:r>
            <w:r w:rsidR="00B61C42">
              <w:rPr>
                <w:rFonts w:ascii="Book Antiqua" w:hAnsi="Book Antiqua" w:cs="Book Antiqua"/>
                <w:snapToGrid w:val="0"/>
              </w:rPr>
              <w:t xml:space="preserve"> por al menos 6 meses, pero</w:t>
            </w:r>
            <w:r w:rsidRPr="00D077AB">
              <w:rPr>
                <w:rFonts w:ascii="Book Antiqua" w:hAnsi="Book Antiqua" w:cs="Book Antiqua"/>
                <w:snapToGrid w:val="0"/>
              </w:rPr>
              <w:t xml:space="preserve"> hasta tanto el Subproceso de Estadística de la Dirección de Planificación valide que la información registrada coindice con la realidad de la oficina (uso adecuado de la mejora de pase a fallo del Escritorio Virtual) y comunique oficialmente a las oficinas que pueden cesar el registro paralelo.</w:t>
            </w:r>
          </w:p>
        </w:tc>
      </w:tr>
      <w:tr w:rsidR="00A832E9" w:rsidRPr="00800BF4" w:rsidTr="0071477E">
        <w:trPr>
          <w:trHeight w:val="300"/>
          <w:jc w:val="center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32E9" w:rsidRPr="00D077AB" w:rsidRDefault="00B61C42" w:rsidP="00800BF4">
            <w:pPr>
              <w:widowControl w:val="0"/>
              <w:spacing w:line="276" w:lineRule="auto"/>
              <w:jc w:val="center"/>
              <w:rPr>
                <w:rFonts w:ascii="Book Antiqua" w:eastAsia="Calibri" w:hAnsi="Book Antiqua" w:cs="Arial"/>
                <w:b/>
                <w:bCs/>
              </w:rPr>
            </w:pPr>
            <w:r>
              <w:rPr>
                <w:rFonts w:ascii="Book Antiqua" w:eastAsia="Calibri" w:hAnsi="Book Antiqua" w:cs="Arial"/>
                <w:b/>
                <w:bCs/>
              </w:rPr>
              <w:t>3</w:t>
            </w:r>
          </w:p>
        </w:tc>
        <w:tc>
          <w:tcPr>
            <w:tcW w:w="8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32E9" w:rsidRPr="00D077AB" w:rsidRDefault="00A832E9" w:rsidP="0071477E">
            <w:pPr>
              <w:widowControl w:val="0"/>
              <w:spacing w:line="276" w:lineRule="auto"/>
              <w:jc w:val="both"/>
              <w:rPr>
                <w:rFonts w:ascii="Book Antiqua" w:eastAsia="Calibri" w:hAnsi="Book Antiqua" w:cs="Arial"/>
              </w:rPr>
            </w:pPr>
            <w:r w:rsidRPr="00D077AB">
              <w:rPr>
                <w:rFonts w:ascii="Book Antiqua" w:eastAsia="Calibri" w:hAnsi="Book Antiqua" w:cs="Arial"/>
              </w:rPr>
              <w:t>No debe utilizarse la opción que da el Escritorio Virtual de firmar y simultáneamente hacer el cambio de ubicación, ya que eso genera una inconsistencia y el módulo de pase a fallo reportaría el expediente como pendiente indefinidamente.</w:t>
            </w:r>
          </w:p>
          <w:p w:rsidR="00A832E9" w:rsidRPr="00D077AB" w:rsidRDefault="00A832E9" w:rsidP="0071477E">
            <w:pPr>
              <w:spacing w:line="276" w:lineRule="auto"/>
              <w:jc w:val="both"/>
              <w:rPr>
                <w:rFonts w:ascii="Book Antiqua" w:eastAsia="Calibri" w:hAnsi="Book Antiqua" w:cs="Arial"/>
              </w:rPr>
            </w:pPr>
            <w:r w:rsidRPr="00D077AB">
              <w:rPr>
                <w:rFonts w:ascii="Book Antiqua" w:eastAsia="Calibri" w:hAnsi="Book Antiqua" w:cs="Arial"/>
              </w:rPr>
              <w:t>Deben hacerse los cambios de ubicación y tarea siempre en el Escritorio Virtual y no en el Sistema de Gestión, principalmente cuando se devuelve a trámite para indicar el motivo (la lista de motivos se visualiza en el Escritorio Virtual solamente).</w:t>
            </w:r>
          </w:p>
        </w:tc>
      </w:tr>
      <w:tr w:rsidR="00A832E9" w:rsidRPr="00062A4C" w:rsidTr="0071477E">
        <w:trPr>
          <w:trHeight w:val="300"/>
          <w:jc w:val="center"/>
        </w:trPr>
        <w:tc>
          <w:tcPr>
            <w:tcW w:w="89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32E9" w:rsidRPr="00062A4C" w:rsidRDefault="00A832E9" w:rsidP="00800BF4">
            <w:pPr>
              <w:widowControl w:val="0"/>
              <w:spacing w:line="276" w:lineRule="auto"/>
              <w:jc w:val="center"/>
            </w:pPr>
            <w:r w:rsidRPr="00800BF4">
              <w:rPr>
                <w:rFonts w:ascii="Book Antiqua" w:eastAsia="Calibri" w:hAnsi="Book Antiqua" w:cs="Arial"/>
                <w:b/>
                <w:bCs/>
                <w:color w:val="FFFFFF"/>
              </w:rPr>
              <w:t>Ingreso en módulo de pase a fallo una vez celebrada una audiencia por la persona juzgadora</w:t>
            </w:r>
          </w:p>
        </w:tc>
      </w:tr>
      <w:tr w:rsidR="00A832E9" w:rsidRPr="00062A4C" w:rsidTr="0071477E">
        <w:trPr>
          <w:trHeight w:val="300"/>
          <w:jc w:val="center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32E9" w:rsidRPr="00D077AB" w:rsidRDefault="00ED5AF7" w:rsidP="00800BF4">
            <w:pPr>
              <w:widowControl w:val="0"/>
              <w:spacing w:line="276" w:lineRule="auto"/>
              <w:jc w:val="center"/>
              <w:rPr>
                <w:rFonts w:ascii="Book Antiqua" w:eastAsia="Calibri" w:hAnsi="Book Antiqua" w:cs="Arial"/>
                <w:b/>
                <w:bCs/>
              </w:rPr>
            </w:pPr>
            <w:r>
              <w:rPr>
                <w:rFonts w:ascii="Book Antiqua" w:eastAsia="Calibri" w:hAnsi="Book Antiqua" w:cs="Arial"/>
                <w:b/>
                <w:bCs/>
              </w:rPr>
              <w:t>4</w:t>
            </w:r>
          </w:p>
        </w:tc>
        <w:tc>
          <w:tcPr>
            <w:tcW w:w="8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32E9" w:rsidRPr="00D077AB" w:rsidRDefault="00E55B8C" w:rsidP="00800BF4">
            <w:pPr>
              <w:widowControl w:val="0"/>
              <w:spacing w:line="276" w:lineRule="auto"/>
              <w:jc w:val="both"/>
            </w:pPr>
            <w:r w:rsidRPr="00D077AB">
              <w:rPr>
                <w:rFonts w:ascii="Book Antiqua" w:eastAsia="Calibri" w:hAnsi="Book Antiqua" w:cs="Arial"/>
              </w:rPr>
              <w:t>Cuando la persona juzgadora realiza una audiencia, previo a dictar la resolución que corresponda, debe cambiar el expediente de tarea en su buzón, hacer el cambio de la tarea a la que corresponda del módulo de pase a fallo “</w:t>
            </w:r>
            <w:r w:rsidRPr="00D077AB">
              <w:rPr>
                <w:rFonts w:ascii="Book Antiqua" w:eastAsia="Calibri" w:hAnsi="Book Antiqua" w:cs="Arial"/>
                <w:i/>
              </w:rPr>
              <w:t xml:space="preserve">Exp. listo para fallar- </w:t>
            </w:r>
            <w:proofErr w:type="spellStart"/>
            <w:r w:rsidRPr="00D077AB">
              <w:rPr>
                <w:rFonts w:ascii="Book Antiqua" w:eastAsia="Calibri" w:hAnsi="Book Antiqua" w:cs="Arial"/>
                <w:i/>
              </w:rPr>
              <w:t>xxxx</w:t>
            </w:r>
            <w:proofErr w:type="spellEnd"/>
            <w:r w:rsidRPr="00D077AB">
              <w:rPr>
                <w:rFonts w:ascii="Book Antiqua" w:eastAsia="Calibri" w:hAnsi="Book Antiqua" w:cs="Arial"/>
              </w:rPr>
              <w:t>” y una vez ahí generar el formato o plantilla y dictar la resolución. Lo anterior, a efectos de que se registre correctamente ese expediente en el módulo de pase a fallo del Escritorio Virtual y se le contabilice la sentencia dictada a la persona juzgadora.</w:t>
            </w:r>
          </w:p>
        </w:tc>
      </w:tr>
      <w:tr w:rsidR="00A832E9" w:rsidRPr="00800BF4" w:rsidTr="0071477E">
        <w:trPr>
          <w:trHeight w:val="300"/>
          <w:jc w:val="center"/>
        </w:trPr>
        <w:tc>
          <w:tcPr>
            <w:tcW w:w="899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E79" w:themeFill="accent5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32E9" w:rsidRPr="00800BF4" w:rsidRDefault="00A832E9" w:rsidP="00800BF4">
            <w:pPr>
              <w:widowControl w:val="0"/>
              <w:spacing w:line="276" w:lineRule="auto"/>
              <w:jc w:val="center"/>
              <w:rPr>
                <w:rFonts w:ascii="Book Antiqua" w:eastAsia="Calibri" w:hAnsi="Book Antiqua" w:cs="Arial"/>
                <w:b/>
                <w:bCs/>
                <w:color w:val="FFFFFF"/>
              </w:rPr>
            </w:pPr>
            <w:r w:rsidRPr="00800BF4">
              <w:rPr>
                <w:rFonts w:ascii="Book Antiqua" w:eastAsia="Calibri" w:hAnsi="Book Antiqua" w:cs="Arial"/>
                <w:b/>
                <w:bCs/>
                <w:color w:val="FFFFFF"/>
              </w:rPr>
              <w:t>Asuntos pendientes de dictar sentencia para ser atendidos por personas juzgadoras de apoyo</w:t>
            </w:r>
          </w:p>
        </w:tc>
      </w:tr>
      <w:tr w:rsidR="00A832E9" w:rsidRPr="00062A4C" w:rsidTr="0071477E">
        <w:trPr>
          <w:trHeight w:val="300"/>
          <w:jc w:val="center"/>
        </w:trPr>
        <w:tc>
          <w:tcPr>
            <w:tcW w:w="5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32E9" w:rsidRPr="00D077AB" w:rsidRDefault="009D5B85" w:rsidP="00800BF4">
            <w:pPr>
              <w:widowControl w:val="0"/>
              <w:spacing w:line="276" w:lineRule="auto"/>
              <w:jc w:val="center"/>
              <w:rPr>
                <w:rFonts w:ascii="Book Antiqua" w:eastAsia="Calibri" w:hAnsi="Book Antiqua" w:cs="Arial"/>
                <w:b/>
                <w:bCs/>
              </w:rPr>
            </w:pPr>
            <w:r>
              <w:rPr>
                <w:rFonts w:ascii="Book Antiqua" w:eastAsia="Calibri" w:hAnsi="Book Antiqua" w:cs="Arial"/>
                <w:b/>
                <w:bCs/>
              </w:rPr>
              <w:t>5</w:t>
            </w:r>
          </w:p>
        </w:tc>
        <w:tc>
          <w:tcPr>
            <w:tcW w:w="84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32E9" w:rsidRPr="00D077AB" w:rsidRDefault="00A832E9" w:rsidP="00800BF4">
            <w:pPr>
              <w:widowControl w:val="0"/>
              <w:spacing w:line="276" w:lineRule="auto"/>
              <w:jc w:val="both"/>
              <w:rPr>
                <w:rFonts w:ascii="Book Antiqua" w:eastAsia="Calibri" w:hAnsi="Book Antiqua" w:cs="Arial"/>
              </w:rPr>
            </w:pPr>
            <w:r w:rsidRPr="00D077AB">
              <w:rPr>
                <w:rFonts w:ascii="Book Antiqua" w:eastAsia="Calibri" w:hAnsi="Book Antiqua" w:cs="Arial"/>
              </w:rPr>
              <w:t>En caso de colaboración de parte del Centro de Apoyo, Coordinación y Mejoramiento de la Función Jurisdiccional, con planes de descongestionamiento, programa contra el retraso judicial, entre otros, o en caso de que un Juez o Jueza sea sustituido por vacaciones, incapacidad, permiso con o sin goce de salario, se solicita a la Administración Regional de la Zona, que lo sustituya con Personal Juzgador Supernumerario, se realiza la sustitución, Juez A por Juez Supernumerario, cuando se realiza ese cambio en el sistema, de forma automática el sistema asigna los expedientes que tenía el Juez A al Juez o Jueza Supernumerario que sustituye.</w:t>
            </w:r>
          </w:p>
          <w:p w:rsidR="00A832E9" w:rsidRPr="00D077AB" w:rsidRDefault="00A832E9" w:rsidP="00800BF4">
            <w:pPr>
              <w:widowControl w:val="0"/>
              <w:spacing w:line="276" w:lineRule="auto"/>
              <w:jc w:val="both"/>
              <w:rPr>
                <w:rFonts w:ascii="Book Antiqua" w:eastAsia="Calibri" w:hAnsi="Book Antiqua" w:cs="Arial"/>
              </w:rPr>
            </w:pPr>
            <w:r w:rsidRPr="00D077AB">
              <w:rPr>
                <w:rFonts w:ascii="Book Antiqua" w:eastAsia="Calibri" w:hAnsi="Book Antiqua" w:cs="Arial"/>
              </w:rPr>
              <w:t xml:space="preserve">De esta forma se realiza el registro en el módulo de pase a fallo del cambio en la persona responsable y documenta la Jueza o Juez que redacta finalmente la sentencia.  </w:t>
            </w:r>
          </w:p>
          <w:p w:rsidR="00A832E9" w:rsidRPr="00D077AB" w:rsidRDefault="00A832E9" w:rsidP="00800BF4">
            <w:pPr>
              <w:widowControl w:val="0"/>
              <w:spacing w:line="276" w:lineRule="auto"/>
              <w:jc w:val="both"/>
              <w:rPr>
                <w:rFonts w:ascii="Book Antiqua" w:eastAsia="Calibri" w:hAnsi="Book Antiqua" w:cs="Arial"/>
              </w:rPr>
            </w:pPr>
          </w:p>
          <w:p w:rsidR="00A832E9" w:rsidRPr="00D077AB" w:rsidRDefault="00A832E9" w:rsidP="00800BF4">
            <w:pPr>
              <w:widowControl w:val="0"/>
              <w:spacing w:line="276" w:lineRule="auto"/>
              <w:jc w:val="both"/>
              <w:rPr>
                <w:rFonts w:ascii="Book Antiqua" w:eastAsia="Calibri" w:hAnsi="Book Antiqua" w:cs="Arial"/>
              </w:rPr>
            </w:pPr>
            <w:r w:rsidRPr="00D077AB">
              <w:rPr>
                <w:rFonts w:ascii="Book Antiqua" w:eastAsia="Calibri" w:hAnsi="Book Antiqua" w:cs="Arial"/>
              </w:rPr>
              <w:t>Si no se trata de una sustitución sino de apoyo, el Coordinador Judicial únicamente debe hacer un cambio de ubicación en el sistema, mantiene la misma tarea de pase a fallo. El plazo sigue contando desde que se pasó a fallo, independientemente de que la persona juzgadora lo resuelva.</w:t>
            </w:r>
          </w:p>
          <w:p w:rsidR="00A832E9" w:rsidRPr="00D077AB" w:rsidRDefault="00A832E9" w:rsidP="00800BF4">
            <w:pPr>
              <w:widowControl w:val="0"/>
              <w:spacing w:line="276" w:lineRule="auto"/>
              <w:jc w:val="both"/>
              <w:rPr>
                <w:rFonts w:ascii="Book Antiqua" w:eastAsia="Calibri" w:hAnsi="Book Antiqua" w:cs="Arial"/>
              </w:rPr>
            </w:pPr>
            <w:r w:rsidRPr="00D077AB">
              <w:rPr>
                <w:rFonts w:ascii="Book Antiqua" w:eastAsia="Calibri" w:hAnsi="Book Antiqua" w:cs="Arial"/>
              </w:rPr>
              <w:t>El procedimiento por realizar es:</w:t>
            </w:r>
          </w:p>
          <w:p w:rsidR="00A832E9" w:rsidRPr="00D077AB" w:rsidRDefault="00A832E9" w:rsidP="00A832E9">
            <w:pPr>
              <w:pStyle w:val="Prrafodelista"/>
              <w:numPr>
                <w:ilvl w:val="0"/>
                <w:numId w:val="3"/>
              </w:numPr>
              <w:suppressAutoHyphens/>
              <w:autoSpaceDN w:val="0"/>
              <w:spacing w:line="276" w:lineRule="auto"/>
              <w:contextualSpacing w:val="0"/>
              <w:jc w:val="both"/>
              <w:rPr>
                <w:rFonts w:ascii="Book Antiqua" w:hAnsi="Book Antiqua"/>
                <w:lang w:eastAsia="en-US"/>
              </w:rPr>
            </w:pPr>
            <w:r w:rsidRPr="00D077AB">
              <w:rPr>
                <w:rFonts w:ascii="Book Antiqua" w:hAnsi="Book Antiqua"/>
                <w:lang w:eastAsia="en-US"/>
              </w:rPr>
              <w:t>Se identifican los expedientes a pasar.</w:t>
            </w:r>
          </w:p>
          <w:p w:rsidR="00A832E9" w:rsidRPr="00D077AB" w:rsidRDefault="00A832E9" w:rsidP="00A832E9">
            <w:pPr>
              <w:pStyle w:val="Prrafodelista"/>
              <w:widowControl w:val="0"/>
              <w:numPr>
                <w:ilvl w:val="0"/>
                <w:numId w:val="3"/>
              </w:numPr>
              <w:suppressAutoHyphens/>
              <w:autoSpaceDN w:val="0"/>
              <w:spacing w:line="276" w:lineRule="auto"/>
              <w:contextualSpacing w:val="0"/>
              <w:jc w:val="both"/>
            </w:pPr>
            <w:r w:rsidRPr="00D077AB">
              <w:rPr>
                <w:rFonts w:ascii="Book Antiqua" w:hAnsi="Book Antiqua"/>
                <w:lang w:eastAsia="en-US"/>
              </w:rPr>
              <w:t>Se le hace un cambio de ubicación y se le asigna a la persona juzgadora de apoyo, en la tarea “</w:t>
            </w:r>
            <w:r w:rsidRPr="00D077AB">
              <w:rPr>
                <w:rFonts w:ascii="Book Antiqua" w:hAnsi="Book Antiqua"/>
                <w:i/>
                <w:iCs/>
                <w:lang w:eastAsia="en-US"/>
              </w:rPr>
              <w:t>Exp. Listo para fallar-</w:t>
            </w:r>
            <w:proofErr w:type="spellStart"/>
            <w:r w:rsidR="00E55B8C" w:rsidRPr="00D077AB">
              <w:rPr>
                <w:rFonts w:ascii="Book Antiqua" w:hAnsi="Book Antiqua"/>
                <w:i/>
                <w:iCs/>
                <w:lang w:eastAsia="en-US"/>
              </w:rPr>
              <w:t>xxxx</w:t>
            </w:r>
            <w:proofErr w:type="spellEnd"/>
            <w:r w:rsidRPr="00D077AB">
              <w:rPr>
                <w:rFonts w:ascii="Book Antiqua" w:hAnsi="Book Antiqua"/>
                <w:lang w:eastAsia="en-US"/>
              </w:rPr>
              <w:t>” que corresponda (misma que tenía asignada la persona juzgadora titular).</w:t>
            </w:r>
            <w:r w:rsidRPr="00D077AB">
              <w:rPr>
                <w:rFonts w:ascii="Book Antiqua" w:hAnsi="Book Antiqua"/>
                <w:i/>
                <w:iCs/>
                <w:lang w:eastAsia="en-US"/>
              </w:rPr>
              <w:t xml:space="preserve">  </w:t>
            </w:r>
          </w:p>
        </w:tc>
      </w:tr>
    </w:tbl>
    <w:p w:rsidR="00A832E9" w:rsidRDefault="00A832E9"/>
    <w:sectPr w:rsidR="00A832E9" w:rsidSect="009B6214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2458B"/>
    <w:multiLevelType w:val="hybridMultilevel"/>
    <w:tmpl w:val="BEC06F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81B93"/>
    <w:multiLevelType w:val="hybridMultilevel"/>
    <w:tmpl w:val="BEC06F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116D7"/>
    <w:multiLevelType w:val="hybridMultilevel"/>
    <w:tmpl w:val="BEC06F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E5E40"/>
    <w:multiLevelType w:val="hybridMultilevel"/>
    <w:tmpl w:val="F48666E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717FB0"/>
    <w:multiLevelType w:val="multilevel"/>
    <w:tmpl w:val="CC98896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17A6F1C"/>
    <w:multiLevelType w:val="hybridMultilevel"/>
    <w:tmpl w:val="BEC06F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619F5"/>
    <w:multiLevelType w:val="hybridMultilevel"/>
    <w:tmpl w:val="BEC06F4C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>
      <w:start w:val="1"/>
      <w:numFmt w:val="lowerRoman"/>
      <w:lvlText w:val="%3."/>
      <w:lvlJc w:val="right"/>
      <w:pPr>
        <w:ind w:left="2160" w:hanging="180"/>
      </w:pPr>
    </w:lvl>
    <w:lvl w:ilvl="3" w:tplc="140A000F">
      <w:start w:val="1"/>
      <w:numFmt w:val="decimal"/>
      <w:lvlText w:val="%4."/>
      <w:lvlJc w:val="left"/>
      <w:pPr>
        <w:ind w:left="2880" w:hanging="360"/>
      </w:pPr>
    </w:lvl>
    <w:lvl w:ilvl="4" w:tplc="140A0019">
      <w:start w:val="1"/>
      <w:numFmt w:val="lowerLetter"/>
      <w:lvlText w:val="%5."/>
      <w:lvlJc w:val="left"/>
      <w:pPr>
        <w:ind w:left="3600" w:hanging="360"/>
      </w:pPr>
    </w:lvl>
    <w:lvl w:ilvl="5" w:tplc="140A001B">
      <w:start w:val="1"/>
      <w:numFmt w:val="lowerRoman"/>
      <w:lvlText w:val="%6."/>
      <w:lvlJc w:val="right"/>
      <w:pPr>
        <w:ind w:left="4320" w:hanging="180"/>
      </w:pPr>
    </w:lvl>
    <w:lvl w:ilvl="6" w:tplc="140A000F">
      <w:start w:val="1"/>
      <w:numFmt w:val="decimal"/>
      <w:lvlText w:val="%7."/>
      <w:lvlJc w:val="left"/>
      <w:pPr>
        <w:ind w:left="5040" w:hanging="360"/>
      </w:pPr>
    </w:lvl>
    <w:lvl w:ilvl="7" w:tplc="140A0019">
      <w:start w:val="1"/>
      <w:numFmt w:val="lowerLetter"/>
      <w:lvlText w:val="%8."/>
      <w:lvlJc w:val="left"/>
      <w:pPr>
        <w:ind w:left="5760" w:hanging="360"/>
      </w:pPr>
    </w:lvl>
    <w:lvl w:ilvl="8" w:tplc="140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F96D09"/>
    <w:multiLevelType w:val="hybridMultilevel"/>
    <w:tmpl w:val="BEC06F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0152B8"/>
    <w:multiLevelType w:val="hybridMultilevel"/>
    <w:tmpl w:val="BEC06F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D4611A"/>
    <w:multiLevelType w:val="hybridMultilevel"/>
    <w:tmpl w:val="BEC06F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4124384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2662092">
    <w:abstractNumId w:val="3"/>
  </w:num>
  <w:num w:numId="3" w16cid:durableId="21906210">
    <w:abstractNumId w:val="4"/>
  </w:num>
  <w:num w:numId="4" w16cid:durableId="2037848338">
    <w:abstractNumId w:val="6"/>
  </w:num>
  <w:num w:numId="5" w16cid:durableId="906496849">
    <w:abstractNumId w:val="8"/>
  </w:num>
  <w:num w:numId="6" w16cid:durableId="1619331703">
    <w:abstractNumId w:val="5"/>
  </w:num>
  <w:num w:numId="7" w16cid:durableId="564724663">
    <w:abstractNumId w:val="0"/>
  </w:num>
  <w:num w:numId="8" w16cid:durableId="1956475685">
    <w:abstractNumId w:val="2"/>
  </w:num>
  <w:num w:numId="9" w16cid:durableId="310984074">
    <w:abstractNumId w:val="1"/>
  </w:num>
  <w:num w:numId="10" w16cid:durableId="1341469820">
    <w:abstractNumId w:val="7"/>
  </w:num>
  <w:num w:numId="11" w16cid:durableId="17797153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6C9"/>
    <w:rsid w:val="00010D5A"/>
    <w:rsid w:val="0014093D"/>
    <w:rsid w:val="00141E4D"/>
    <w:rsid w:val="0019212C"/>
    <w:rsid w:val="001F4137"/>
    <w:rsid w:val="001F7C24"/>
    <w:rsid w:val="0022183D"/>
    <w:rsid w:val="0024613D"/>
    <w:rsid w:val="002F2EA0"/>
    <w:rsid w:val="00306A63"/>
    <w:rsid w:val="00324F59"/>
    <w:rsid w:val="00490853"/>
    <w:rsid w:val="004A1047"/>
    <w:rsid w:val="00593816"/>
    <w:rsid w:val="00594BF3"/>
    <w:rsid w:val="005B34CF"/>
    <w:rsid w:val="005B46BA"/>
    <w:rsid w:val="00610B03"/>
    <w:rsid w:val="006276C9"/>
    <w:rsid w:val="00666371"/>
    <w:rsid w:val="0068440B"/>
    <w:rsid w:val="006A68FB"/>
    <w:rsid w:val="006E7884"/>
    <w:rsid w:val="0071477E"/>
    <w:rsid w:val="0075072A"/>
    <w:rsid w:val="00783303"/>
    <w:rsid w:val="00832368"/>
    <w:rsid w:val="008E0D6F"/>
    <w:rsid w:val="00925F38"/>
    <w:rsid w:val="00967658"/>
    <w:rsid w:val="009B6214"/>
    <w:rsid w:val="009D5B85"/>
    <w:rsid w:val="00A318E2"/>
    <w:rsid w:val="00A832E9"/>
    <w:rsid w:val="00AE5898"/>
    <w:rsid w:val="00B26EA2"/>
    <w:rsid w:val="00B61C42"/>
    <w:rsid w:val="00BD1BEC"/>
    <w:rsid w:val="00C022C5"/>
    <w:rsid w:val="00D077AB"/>
    <w:rsid w:val="00D506F2"/>
    <w:rsid w:val="00D520C6"/>
    <w:rsid w:val="00E230DF"/>
    <w:rsid w:val="00E55B8C"/>
    <w:rsid w:val="00E84BC1"/>
    <w:rsid w:val="00EC1B8E"/>
    <w:rsid w:val="00ED5AF7"/>
    <w:rsid w:val="00F61B22"/>
    <w:rsid w:val="00FF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001D8"/>
  <w15:chartTrackingRefBased/>
  <w15:docId w15:val="{FEA06B20-0E51-4CD8-A80A-BD683883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6276C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276C9"/>
    <w:pPr>
      <w:spacing w:before="100" w:beforeAutospacing="1" w:after="100" w:afterAutospacing="1"/>
    </w:pPr>
    <w:rPr>
      <w:sz w:val="24"/>
      <w:szCs w:val="24"/>
      <w:lang w:eastAsia="es-CR"/>
    </w:rPr>
  </w:style>
  <w:style w:type="character" w:styleId="Hipervnculo">
    <w:name w:val="Hyperlink"/>
    <w:rsid w:val="00A832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 General de la Corte - Comunicaciones - Catalina Barquero Martínez.</dc:creator>
  <cp:keywords/>
  <dc:description/>
  <cp:lastModifiedBy>Secretaría General de la Corte - Comunicaciones - Andrea Campos Jiménez</cp:lastModifiedBy>
  <cp:revision>1</cp:revision>
  <dcterms:created xsi:type="dcterms:W3CDTF">2024-07-24T22:31:00Z</dcterms:created>
  <dcterms:modified xsi:type="dcterms:W3CDTF">2024-07-24T22:31:00Z</dcterms:modified>
</cp:coreProperties>
</file>