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6C9" w:rsidRPr="006E7884" w:rsidRDefault="006E7884" w:rsidP="00E55B8C">
      <w:pPr>
        <w:ind w:left="851" w:right="991" w:hanging="851"/>
        <w:jc w:val="center"/>
        <w:rPr>
          <w:rFonts w:ascii="Book Antiqua" w:hAnsi="Book Antiqua" w:cs="Book Antiqua"/>
          <w:b/>
          <w:bCs/>
          <w:snapToGrid w:val="0"/>
        </w:rPr>
      </w:pPr>
      <w:r w:rsidRPr="006E7884">
        <w:rPr>
          <w:rFonts w:ascii="Book Antiqua" w:hAnsi="Book Antiqua" w:cs="Book Antiqua"/>
          <w:b/>
          <w:bCs/>
          <w:snapToGrid w:val="0"/>
        </w:rPr>
        <w:t>Explicativo de pase a fallo-Juzgados Agrarios en primera instancia</w:t>
      </w:r>
    </w:p>
    <w:p w:rsidR="001F7C24" w:rsidRDefault="001F7C24" w:rsidP="00E55B8C">
      <w:pPr>
        <w:ind w:left="851" w:right="991" w:hanging="851"/>
        <w:jc w:val="center"/>
        <w:rPr>
          <w:rFonts w:ascii="Book Antiqua" w:hAnsi="Book Antiqua" w:cs="Arial"/>
          <w:snapToGrid w:val="0"/>
        </w:rPr>
      </w:pPr>
    </w:p>
    <w:p w:rsidR="00E230DF" w:rsidRDefault="00EC1B8E" w:rsidP="00E55B8C">
      <w:pPr>
        <w:ind w:left="851" w:right="991" w:hanging="851"/>
        <w:rPr>
          <w:rFonts w:ascii="Book Antiqua" w:hAnsi="Book Antiqua" w:cs="Arial"/>
          <w:snapToGrid w:val="0"/>
        </w:rPr>
      </w:pPr>
      <w:r>
        <w:rPr>
          <w:noProof/>
        </w:rPr>
        <w:drawing>
          <wp:inline distT="0" distB="0" distL="0" distR="0" wp14:anchorId="39847008" wp14:editId="2D535E93">
            <wp:extent cx="5612130" cy="2907665"/>
            <wp:effectExtent l="0" t="0" r="7620" b="6985"/>
            <wp:docPr id="658494819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94819" name="Imagen 1" descr="Escala de tiemp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B8E" w:rsidRDefault="00EC1B8E" w:rsidP="00E55B8C">
      <w:pPr>
        <w:ind w:left="851" w:right="991" w:hanging="851"/>
        <w:rPr>
          <w:rFonts w:ascii="Book Antiqua" w:hAnsi="Book Antiqua" w:cs="Arial"/>
          <w:snapToGrid w:val="0"/>
        </w:rPr>
      </w:pPr>
      <w:r>
        <w:rPr>
          <w:noProof/>
        </w:rPr>
        <w:drawing>
          <wp:inline distT="0" distB="0" distL="0" distR="0" wp14:anchorId="6996B428" wp14:editId="35607BAA">
            <wp:extent cx="5612130" cy="2250440"/>
            <wp:effectExtent l="0" t="0" r="7620" b="0"/>
            <wp:docPr id="182074222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42220" name="Imagen 1" descr="Imagen que contiene 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0DF" w:rsidRDefault="00E230DF" w:rsidP="006276C9">
      <w:pPr>
        <w:widowControl w:val="0"/>
        <w:spacing w:line="276" w:lineRule="auto"/>
        <w:jc w:val="both"/>
        <w:rPr>
          <w:rFonts w:ascii="Book Antiqua" w:hAnsi="Book Antiqua" w:cs="Book Antiqua"/>
          <w:b/>
          <w:bCs/>
          <w:snapToGrid w:val="0"/>
        </w:rPr>
      </w:pPr>
    </w:p>
    <w:p w:rsidR="006276C9" w:rsidRDefault="006276C9" w:rsidP="006276C9">
      <w:pPr>
        <w:widowControl w:val="0"/>
        <w:spacing w:line="276" w:lineRule="auto"/>
        <w:jc w:val="both"/>
        <w:rPr>
          <w:rFonts w:ascii="Book Antiqua" w:hAnsi="Book Antiqua" w:cs="Book Antiqua"/>
          <w:b/>
          <w:bCs/>
          <w:snapToGrid w:val="0"/>
        </w:rPr>
      </w:pPr>
      <w:r>
        <w:rPr>
          <w:rFonts w:ascii="Book Antiqua" w:hAnsi="Book Antiqua" w:cs="Book Antiqua"/>
          <w:b/>
          <w:bCs/>
          <w:snapToGrid w:val="0"/>
        </w:rPr>
        <w:t>Generalidades del proceso de registro de pase a fallo:</w:t>
      </w:r>
    </w:p>
    <w:p w:rsidR="00141E4D" w:rsidRDefault="00141E4D"/>
    <w:tbl>
      <w:tblPr>
        <w:tblW w:w="89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8470"/>
      </w:tblGrid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  <w:t>Generalidad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010D5A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1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” NO debe utilizarse a partir de la configuración de la mejora de pase a fallo por tareas.  </w:t>
            </w:r>
          </w:p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Por lo tanto, las oficinas que mantengan expedientes en 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electrónico”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para evitar errores en los registros, deben trasladar los expedientes a la tarea de pase a fallo que corresponda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 xml:space="preserve">. 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</w:t>
            </w:r>
          </w:p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Una vez hecho lo anterior, deben desasociar del sistema 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electrónico”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(para que ya no pueda utilizarse) e informar a DTI Regional para que corrobore que se realizó correctamente.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B61C42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2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>El registro de la información en el libro de pase a fallo y en el archivo de formato Excel se realizará de manera paralela</w:t>
            </w:r>
            <w:r w:rsidR="00B61C42">
              <w:rPr>
                <w:rFonts w:ascii="Book Antiqua" w:hAnsi="Book Antiqua" w:cs="Book Antiqua"/>
                <w:snapToGrid w:val="0"/>
              </w:rPr>
              <w:t xml:space="preserve"> por al menos 6 meses, pero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hasta tanto el Subproceso de Estadística de la Dirección de Planificación valide que la información registrada coindice con la realidad de la oficina (uso adecuado de la mejora de pase a fallo del Escritorio Virtual) y comunique oficialmente a las oficinas que pueden cesar el registro paralelo.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B61C42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3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No debe utilizarse la opción que da el Escritorio Virtual de firmar y simultáneamente hacer el cambio de ubicación, ya que eso genera una inconsistencia y el módulo de pase a fallo reportaría el expediente como pendiente indefinidamente.</w:t>
            </w:r>
          </w:p>
          <w:p w:rsidR="00A832E9" w:rsidRPr="00D077AB" w:rsidRDefault="00A832E9" w:rsidP="0071477E">
            <w:pPr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Deben hacerse los cambios de ubicación y tarea siempre en el Escritorio Virtual y no en el Sistema de Gestión, principalmente cuando se devuelve a trámite para indicar el motivo (la lista de motivos se visualiza en el Escritorio Virtual solamente).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8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062A4C" w:rsidRDefault="00A832E9" w:rsidP="00800BF4">
            <w:pPr>
              <w:widowControl w:val="0"/>
              <w:spacing w:line="276" w:lineRule="auto"/>
              <w:jc w:val="center"/>
            </w:pPr>
            <w:r w:rsidRPr="00800BF4">
              <w:rPr>
                <w:rFonts w:ascii="Book Antiqua" w:eastAsia="Calibri" w:hAnsi="Book Antiqua" w:cs="Arial"/>
                <w:b/>
                <w:bCs/>
                <w:color w:val="FFFFFF"/>
              </w:rPr>
              <w:t>Ingreso en módulo de pase a fallo una vez celebrada una audiencia por la persona juzgadora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ED5AF7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4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E55B8C" w:rsidP="00800BF4">
            <w:pPr>
              <w:widowControl w:val="0"/>
              <w:spacing w:line="276" w:lineRule="auto"/>
              <w:jc w:val="both"/>
            </w:pPr>
            <w:r w:rsidRPr="00D077AB">
              <w:rPr>
                <w:rFonts w:ascii="Book Antiqua" w:eastAsia="Calibri" w:hAnsi="Book Antiqua" w:cs="Arial"/>
              </w:rPr>
              <w:t>Cuando la persona juzgadora realiza una audiencia, previo a dictar la resolución que corresponda, debe cambiar el expediente de tarea en su buzón, hacer el cambio de la tarea a la que corresponda del módulo de pase a fallo “</w:t>
            </w:r>
            <w:r w:rsidRPr="00D077AB">
              <w:rPr>
                <w:rFonts w:ascii="Book Antiqua" w:eastAsia="Calibri" w:hAnsi="Book Antiqua" w:cs="Arial"/>
                <w:i/>
              </w:rPr>
              <w:t xml:space="preserve">Exp. listo para fallar- </w:t>
            </w:r>
            <w:proofErr w:type="spellStart"/>
            <w:r w:rsidRPr="00D077AB">
              <w:rPr>
                <w:rFonts w:ascii="Book Antiqua" w:eastAsia="Calibri" w:hAnsi="Book Antiqua" w:cs="Arial"/>
                <w:i/>
              </w:rPr>
              <w:t>xxxx</w:t>
            </w:r>
            <w:proofErr w:type="spellEnd"/>
            <w:r w:rsidRPr="00D077AB">
              <w:rPr>
                <w:rFonts w:ascii="Book Antiqua" w:eastAsia="Calibri" w:hAnsi="Book Antiqua" w:cs="Arial"/>
              </w:rPr>
              <w:t>” y una vez ahí generar el formato o plantilla y dictar la resolución. Lo anterior, a efectos de que se registre correctamente ese expediente en el módulo de pase a fallo del Escritorio Virtual y se le contabilice la sentencia dictada a la persona juzgadora.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8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/>
              </w:rPr>
              <w:t>Asuntos pendientes de dictar sentencia para ser atendidos por personas juzgadoras de apoyo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9D5B85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5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En caso de colaboración de parte del Centro de Apoyo, Coordinación y Mejoramiento de la Función Jurisdiccional, con planes de descongestionamiento, programa contra el retraso judicial, entre otros, o en caso de que un Juez o Jueza sea sustituido por vacaciones, incapacidad, permiso con o sin goce de salario, se solicita a la Administración Regional de la Zona, que lo sustituya con Personal Juzgador Supernumerario, se realiza la sustitución, Juez A por Juez Supernumerario, cuando se realiza ese cambio en el sistema, de forma automática el sistema asigna los expedientes que tenía el Juez A al Juez o Jueza Supernumerario que sustituye.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 xml:space="preserve">De esta forma se realiza el registro en el módulo de pase a fallo del cambio en la persona responsable y documenta la Jueza o Juez que redacta finalmente la sentencia.  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Si no se trata de una sustitución sino de apoyo, el Coordinador Judicial únicamente debe hacer un cambio de ubicación en el sistema, mantiene la misma tarea de pase a fallo. El plazo sigue contando desde que se pasó a fallo, independientemente de que la persona juzgadora lo resuelva.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El procedimiento por realizar es:</w:t>
            </w:r>
          </w:p>
          <w:p w:rsidR="00A832E9" w:rsidRPr="00D077AB" w:rsidRDefault="00A832E9" w:rsidP="00A832E9">
            <w:pPr>
              <w:pStyle w:val="Prrafodelista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 w:val="0"/>
              <w:jc w:val="both"/>
              <w:rPr>
                <w:rFonts w:ascii="Book Antiqua" w:hAnsi="Book Antiqua"/>
                <w:lang w:eastAsia="en-US"/>
              </w:rPr>
            </w:pPr>
            <w:r w:rsidRPr="00D077AB">
              <w:rPr>
                <w:rFonts w:ascii="Book Antiqua" w:hAnsi="Book Antiqua"/>
                <w:lang w:eastAsia="en-US"/>
              </w:rPr>
              <w:t>Se identifican los expedientes a pasar.</w:t>
            </w:r>
          </w:p>
          <w:p w:rsidR="00A832E9" w:rsidRPr="00D077AB" w:rsidRDefault="00A832E9" w:rsidP="00A832E9">
            <w:pPr>
              <w:pStyle w:val="Prrafodelista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 w:val="0"/>
              <w:jc w:val="both"/>
            </w:pPr>
            <w:r w:rsidRPr="00D077AB">
              <w:rPr>
                <w:rFonts w:ascii="Book Antiqua" w:hAnsi="Book Antiqua"/>
                <w:lang w:eastAsia="en-US"/>
              </w:rPr>
              <w:t>Se le hace un cambio de ubicación y se le asigna a la persona juzgadora de apoyo, en la tarea “</w:t>
            </w:r>
            <w:r w:rsidRPr="00D077AB">
              <w:rPr>
                <w:rFonts w:ascii="Book Antiqua" w:hAnsi="Book Antiqua"/>
                <w:i/>
                <w:iCs/>
                <w:lang w:eastAsia="en-US"/>
              </w:rPr>
              <w:t>Exp. Listo para fallar-</w:t>
            </w:r>
            <w:proofErr w:type="spellStart"/>
            <w:r w:rsidR="00E55B8C" w:rsidRPr="00D077AB">
              <w:rPr>
                <w:rFonts w:ascii="Book Antiqua" w:hAnsi="Book Antiqua"/>
                <w:i/>
                <w:iCs/>
                <w:lang w:eastAsia="en-US"/>
              </w:rPr>
              <w:t>xxxx</w:t>
            </w:r>
            <w:proofErr w:type="spellEnd"/>
            <w:r w:rsidRPr="00D077AB">
              <w:rPr>
                <w:rFonts w:ascii="Book Antiqua" w:hAnsi="Book Antiqua"/>
                <w:lang w:eastAsia="en-US"/>
              </w:rPr>
              <w:t>” que corresponda (misma que tenía asignada la persona juzgadora titular).</w:t>
            </w:r>
            <w:r w:rsidRPr="00D077AB">
              <w:rPr>
                <w:rFonts w:ascii="Book Antiqua" w:hAnsi="Book Antiqua"/>
                <w:i/>
                <w:iCs/>
                <w:lang w:eastAsia="en-US"/>
              </w:rPr>
              <w:t xml:space="preserve">  </w:t>
            </w:r>
          </w:p>
        </w:tc>
      </w:tr>
    </w:tbl>
    <w:p w:rsidR="00A832E9" w:rsidRDefault="00A832E9"/>
    <w:sectPr w:rsidR="00A832E9" w:rsidSect="009B62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458B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1B93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16D7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E40"/>
    <w:multiLevelType w:val="hybridMultilevel"/>
    <w:tmpl w:val="F48666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7FB0"/>
    <w:multiLevelType w:val="multilevel"/>
    <w:tmpl w:val="CC988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7A6F1C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9F5"/>
    <w:multiLevelType w:val="hybridMultilevel"/>
    <w:tmpl w:val="BEC06F4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96D09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152B8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4611A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38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662092">
    <w:abstractNumId w:val="3"/>
  </w:num>
  <w:num w:numId="3" w16cid:durableId="21906210">
    <w:abstractNumId w:val="4"/>
  </w:num>
  <w:num w:numId="4" w16cid:durableId="2037848338">
    <w:abstractNumId w:val="6"/>
  </w:num>
  <w:num w:numId="5" w16cid:durableId="906496849">
    <w:abstractNumId w:val="8"/>
  </w:num>
  <w:num w:numId="6" w16cid:durableId="1619331703">
    <w:abstractNumId w:val="5"/>
  </w:num>
  <w:num w:numId="7" w16cid:durableId="564724663">
    <w:abstractNumId w:val="0"/>
  </w:num>
  <w:num w:numId="8" w16cid:durableId="1956475685">
    <w:abstractNumId w:val="2"/>
  </w:num>
  <w:num w:numId="9" w16cid:durableId="310984074">
    <w:abstractNumId w:val="1"/>
  </w:num>
  <w:num w:numId="10" w16cid:durableId="1341469820">
    <w:abstractNumId w:val="7"/>
  </w:num>
  <w:num w:numId="11" w16cid:durableId="1779715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C9"/>
    <w:rsid w:val="00010D5A"/>
    <w:rsid w:val="0014093D"/>
    <w:rsid w:val="00141E4D"/>
    <w:rsid w:val="0019212C"/>
    <w:rsid w:val="001B0F28"/>
    <w:rsid w:val="001F4137"/>
    <w:rsid w:val="001F7C24"/>
    <w:rsid w:val="0022183D"/>
    <w:rsid w:val="0024613D"/>
    <w:rsid w:val="002F2EA0"/>
    <w:rsid w:val="00306A63"/>
    <w:rsid w:val="00324F59"/>
    <w:rsid w:val="00490853"/>
    <w:rsid w:val="004A1047"/>
    <w:rsid w:val="00593816"/>
    <w:rsid w:val="00594BF3"/>
    <w:rsid w:val="005B34CF"/>
    <w:rsid w:val="005B46BA"/>
    <w:rsid w:val="00610B03"/>
    <w:rsid w:val="006276C9"/>
    <w:rsid w:val="00666371"/>
    <w:rsid w:val="0068440B"/>
    <w:rsid w:val="006A68FB"/>
    <w:rsid w:val="006E7884"/>
    <w:rsid w:val="0071477E"/>
    <w:rsid w:val="00783303"/>
    <w:rsid w:val="00832368"/>
    <w:rsid w:val="008E0D6F"/>
    <w:rsid w:val="00967658"/>
    <w:rsid w:val="009B6214"/>
    <w:rsid w:val="009D5B85"/>
    <w:rsid w:val="00A318E2"/>
    <w:rsid w:val="00A832E9"/>
    <w:rsid w:val="00B22E2D"/>
    <w:rsid w:val="00B26EA2"/>
    <w:rsid w:val="00B61C42"/>
    <w:rsid w:val="00BD1BEC"/>
    <w:rsid w:val="00C022C5"/>
    <w:rsid w:val="00D077AB"/>
    <w:rsid w:val="00D506F2"/>
    <w:rsid w:val="00D520C6"/>
    <w:rsid w:val="00E230DF"/>
    <w:rsid w:val="00E55B8C"/>
    <w:rsid w:val="00E84BC1"/>
    <w:rsid w:val="00EC1B8E"/>
    <w:rsid w:val="00ED5AF7"/>
    <w:rsid w:val="00F61B22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01D8"/>
  <w15:chartTrackingRefBased/>
  <w15:docId w15:val="{FEA06B20-0E51-4CD8-A80A-BD68388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27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6C9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styleId="Hipervnculo">
    <w:name w:val="Hyperlink"/>
    <w:rsid w:val="00A8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Catalina Barquero Martínez.</dc:creator>
  <cp:keywords/>
  <dc:description/>
  <cp:lastModifiedBy>Secretaría General de la Corte - Comunicaciones - Andrea Campos Jiménez</cp:lastModifiedBy>
  <cp:revision>1</cp:revision>
  <dcterms:created xsi:type="dcterms:W3CDTF">2024-06-12T17:08:00Z</dcterms:created>
  <dcterms:modified xsi:type="dcterms:W3CDTF">2024-06-12T17:08:00Z</dcterms:modified>
</cp:coreProperties>
</file>