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10892" w:rsidRDefault="00110892" w:rsidP="00110892">
      <w:pPr>
        <w:spacing w:line="360" w:lineRule="auto"/>
        <w:jc w:val="center"/>
        <w:rPr>
          <w:rFonts w:ascii="Bookman Old Style" w:hAnsi="Bookman Old Style"/>
          <w:b/>
          <w:bCs/>
          <w:lang w:val="es-ES"/>
        </w:rPr>
      </w:pPr>
      <w:bookmarkStart w:id="0" w:name="_Hlk144393858"/>
      <w:r w:rsidRPr="006C1D94">
        <w:rPr>
          <w:rFonts w:ascii="Bookman Old Style" w:hAnsi="Bookman Old Style"/>
          <w:b/>
          <w:bCs/>
          <w:lang w:val="es-ES"/>
        </w:rPr>
        <w:t>PROTOCOLO DE ACTUACIÓN</w:t>
      </w:r>
      <w:r>
        <w:rPr>
          <w:rFonts w:ascii="Bookman Old Style" w:hAnsi="Bookman Old Style"/>
          <w:b/>
          <w:bCs/>
          <w:lang w:val="es-ES"/>
        </w:rPr>
        <w:t xml:space="preserve"> PARA LA MATERIA CIVIL Y DE COBRO JUDICIAL</w:t>
      </w:r>
      <w:r w:rsidRPr="006C1D94">
        <w:rPr>
          <w:rFonts w:ascii="Bookman Old Style" w:hAnsi="Bookman Old Style"/>
          <w:b/>
          <w:bCs/>
          <w:lang w:val="es-ES"/>
        </w:rPr>
        <w:t xml:space="preserve"> PARA</w:t>
      </w:r>
      <w:r w:rsidR="00CF228B">
        <w:rPr>
          <w:rFonts w:ascii="Bookman Old Style" w:hAnsi="Bookman Old Style"/>
          <w:b/>
          <w:bCs/>
          <w:lang w:val="es-ES"/>
        </w:rPr>
        <w:t xml:space="preserve"> EL USO </w:t>
      </w:r>
      <w:r w:rsidRPr="006C1D94">
        <w:rPr>
          <w:rFonts w:ascii="Bookman Old Style" w:hAnsi="Bookman Old Style"/>
          <w:b/>
          <w:bCs/>
          <w:lang w:val="es-ES"/>
        </w:rPr>
        <w:t>EFECTIV</w:t>
      </w:r>
      <w:r w:rsidR="00CF228B">
        <w:rPr>
          <w:rFonts w:ascii="Bookman Old Style" w:hAnsi="Bookman Old Style"/>
          <w:b/>
          <w:bCs/>
          <w:lang w:val="es-ES"/>
        </w:rPr>
        <w:t>O DE</w:t>
      </w:r>
      <w:r w:rsidRPr="006C1D94">
        <w:rPr>
          <w:rFonts w:ascii="Bookman Old Style" w:hAnsi="Bookman Old Style"/>
          <w:b/>
          <w:bCs/>
          <w:lang w:val="es-ES"/>
        </w:rPr>
        <w:t xml:space="preserve"> LA PLATAFORMA DE SERVICIOS INSTITUCIONAL ENTRE EL PODER JUDICIAL Y TRIBUNAL SUPREMO DE ELECCIONES</w:t>
      </w:r>
      <w:r w:rsidR="00CF228B">
        <w:rPr>
          <w:rFonts w:ascii="Bookman Old Style" w:hAnsi="Bookman Old Style"/>
          <w:b/>
          <w:bCs/>
          <w:lang w:val="es-ES"/>
        </w:rPr>
        <w:t xml:space="preserve"> EN LA CONSULTA DE CUENTA CEDULAR</w:t>
      </w:r>
      <w:r>
        <w:rPr>
          <w:rFonts w:ascii="Bookman Old Style" w:hAnsi="Bookman Old Style"/>
          <w:b/>
          <w:bCs/>
          <w:lang w:val="es-ES"/>
        </w:rPr>
        <w:t xml:space="preserve"> Y LA CONSULTA ELECTRÓNICA DE PERSONAS EXTRANJERAS DE LA DIRECCIÓN GENERAL DE MIGRACIÓN Y EXTRANJERÍA</w:t>
      </w:r>
    </w:p>
    <w:p w:rsidR="00C07418" w:rsidRDefault="00C07418" w:rsidP="00C07418">
      <w:pPr>
        <w:spacing w:line="360" w:lineRule="auto"/>
        <w:jc w:val="both"/>
        <w:rPr>
          <w:rFonts w:ascii="Bookman Old Style" w:hAnsi="Bookman Old Style"/>
          <w:b/>
          <w:bCs/>
          <w:lang w:val="es-ES"/>
        </w:rPr>
      </w:pPr>
    </w:p>
    <w:p w:rsidR="00A429F8" w:rsidRPr="00A429F8" w:rsidRDefault="00C07418" w:rsidP="00C07418">
      <w:pPr>
        <w:pStyle w:val="Default"/>
        <w:spacing w:line="360" w:lineRule="auto"/>
        <w:jc w:val="both"/>
        <w:rPr>
          <w:rFonts w:ascii="Bookman Old Style" w:hAnsi="Bookman Old Style" w:cs="Arial"/>
          <w:color w:val="242424"/>
          <w:sz w:val="22"/>
          <w:szCs w:val="22"/>
          <w:shd w:val="clear" w:color="auto" w:fill="FFFFFF"/>
        </w:rPr>
      </w:pPr>
      <w:r w:rsidRPr="00A429F8">
        <w:rPr>
          <w:rFonts w:ascii="Bookman Old Style" w:hAnsi="Bookman Old Style"/>
          <w:sz w:val="22"/>
          <w:szCs w:val="22"/>
        </w:rPr>
        <w:t xml:space="preserve">El Consejo Superior del Poder Judicial en sesión </w:t>
      </w:r>
      <w:r w:rsidR="00A1301C" w:rsidRPr="00A1301C">
        <w:rPr>
          <w:rFonts w:ascii="Bookman Old Style" w:hAnsi="Bookman Old Style"/>
          <w:sz w:val="22"/>
          <w:szCs w:val="22"/>
        </w:rPr>
        <w:t>04-2024 celebrada el 18 de enero de 2024</w:t>
      </w:r>
      <w:r w:rsidR="00A1301C">
        <w:rPr>
          <w:rFonts w:ascii="Bookman Old Style" w:hAnsi="Bookman Old Style"/>
          <w:sz w:val="22"/>
          <w:szCs w:val="22"/>
        </w:rPr>
        <w:t xml:space="preserve">, </w:t>
      </w:r>
      <w:r w:rsidRPr="00A429F8">
        <w:rPr>
          <w:rFonts w:ascii="Bookman Old Style" w:hAnsi="Bookman Old Style"/>
          <w:sz w:val="22"/>
          <w:szCs w:val="22"/>
        </w:rPr>
        <w:t xml:space="preserve">artículo </w:t>
      </w:r>
      <w:r w:rsidR="00A1301C" w:rsidRPr="00A1301C">
        <w:rPr>
          <w:rFonts w:ascii="Bookman Old Style" w:hAnsi="Bookman Old Style"/>
          <w:sz w:val="22"/>
          <w:szCs w:val="22"/>
        </w:rPr>
        <w:t>XLI</w:t>
      </w:r>
      <w:r w:rsidR="00A1301C">
        <w:rPr>
          <w:rFonts w:ascii="Bookman Old Style" w:hAnsi="Bookman Old Style"/>
          <w:sz w:val="22"/>
          <w:szCs w:val="22"/>
        </w:rPr>
        <w:t>,</w:t>
      </w:r>
      <w:r w:rsidRPr="00A429F8">
        <w:rPr>
          <w:rFonts w:ascii="Bookman Old Style" w:hAnsi="Bookman Old Style"/>
          <w:sz w:val="22"/>
          <w:szCs w:val="22"/>
        </w:rPr>
        <w:t xml:space="preserve"> a instancia de la Comisión de la Jurisdicción Civil y en </w:t>
      </w:r>
      <w:r w:rsidR="00A429F8">
        <w:rPr>
          <w:rFonts w:ascii="Bookman Old Style" w:hAnsi="Bookman Old Style" w:cstheme="minorHAnsi"/>
          <w:sz w:val="22"/>
          <w:szCs w:val="22"/>
        </w:rPr>
        <w:t>e</w:t>
      </w:r>
      <w:r w:rsidR="00A429F8" w:rsidRPr="00A429F8">
        <w:rPr>
          <w:rFonts w:ascii="Bookman Old Style" w:hAnsi="Bookman Old Style" w:cstheme="minorHAnsi"/>
          <w:sz w:val="22"/>
          <w:szCs w:val="22"/>
        </w:rPr>
        <w:t xml:space="preserve">jecución del </w:t>
      </w:r>
      <w:r w:rsidR="00A429F8">
        <w:rPr>
          <w:rFonts w:ascii="Bookman Old Style" w:hAnsi="Bookman Old Style" w:cstheme="minorHAnsi"/>
          <w:sz w:val="22"/>
          <w:szCs w:val="22"/>
        </w:rPr>
        <w:t>a</w:t>
      </w:r>
      <w:r w:rsidR="00A429F8" w:rsidRPr="00A429F8">
        <w:rPr>
          <w:rFonts w:ascii="Bookman Old Style" w:hAnsi="Bookman Old Style" w:cstheme="minorHAnsi"/>
          <w:sz w:val="22"/>
          <w:szCs w:val="22"/>
        </w:rPr>
        <w:t>cuerdo de</w:t>
      </w:r>
      <w:r w:rsidR="00A429F8">
        <w:rPr>
          <w:rFonts w:ascii="Bookman Old Style" w:hAnsi="Bookman Old Style" w:cstheme="minorHAnsi"/>
          <w:sz w:val="22"/>
          <w:szCs w:val="22"/>
        </w:rPr>
        <w:t xml:space="preserve"> este</w:t>
      </w:r>
      <w:r w:rsidR="00A429F8" w:rsidRPr="00A429F8">
        <w:rPr>
          <w:rFonts w:ascii="Bookman Old Style" w:hAnsi="Bookman Old Style" w:cstheme="minorHAnsi"/>
          <w:sz w:val="22"/>
          <w:szCs w:val="22"/>
        </w:rPr>
        <w:t xml:space="preserve"> Consejo comunicado por oficio </w:t>
      </w:r>
      <w:r w:rsidR="00A429F8" w:rsidRPr="00A429F8">
        <w:rPr>
          <w:rFonts w:ascii="Bookman Old Style" w:hAnsi="Bookman Old Style" w:cs="Arial"/>
          <w:color w:val="242424"/>
          <w:sz w:val="22"/>
          <w:szCs w:val="22"/>
          <w:shd w:val="clear" w:color="auto" w:fill="FFFFFF"/>
        </w:rPr>
        <w:t>1058-2023</w:t>
      </w:r>
      <w:r w:rsidR="00A429F8">
        <w:rPr>
          <w:rFonts w:ascii="Bookman Old Style" w:hAnsi="Bookman Old Style" w:cs="Arial"/>
          <w:color w:val="242424"/>
          <w:sz w:val="22"/>
          <w:szCs w:val="22"/>
          <w:shd w:val="clear" w:color="auto" w:fill="FFFFFF"/>
        </w:rPr>
        <w:t xml:space="preserve"> de la Secretaría General</w:t>
      </w:r>
      <w:r w:rsidR="00A429F8" w:rsidRPr="00A429F8">
        <w:rPr>
          <w:rFonts w:ascii="Bookman Old Style" w:hAnsi="Bookman Old Style" w:cs="Arial"/>
          <w:color w:val="242424"/>
          <w:sz w:val="22"/>
          <w:szCs w:val="22"/>
          <w:shd w:val="clear" w:color="auto" w:fill="FFFFFF"/>
        </w:rPr>
        <w:t xml:space="preserve"> donde se comunica el acuerdo tomado en sesión </w:t>
      </w:r>
      <w:proofErr w:type="spellStart"/>
      <w:r w:rsidR="00A429F8" w:rsidRPr="00A429F8">
        <w:rPr>
          <w:rFonts w:ascii="Bookman Old Style" w:hAnsi="Bookman Old Style" w:cs="Arial"/>
          <w:color w:val="242424"/>
          <w:sz w:val="22"/>
          <w:szCs w:val="22"/>
          <w:shd w:val="clear" w:color="auto" w:fill="FFFFFF"/>
        </w:rPr>
        <w:t>N°</w:t>
      </w:r>
      <w:proofErr w:type="spellEnd"/>
      <w:r w:rsidR="00A429F8" w:rsidRPr="00A429F8">
        <w:rPr>
          <w:rFonts w:ascii="Bookman Old Style" w:hAnsi="Bookman Old Style" w:cs="Arial"/>
          <w:color w:val="242424"/>
          <w:sz w:val="22"/>
          <w:szCs w:val="22"/>
          <w:shd w:val="clear" w:color="auto" w:fill="FFFFFF"/>
        </w:rPr>
        <w:t xml:space="preserve"> 4-2023 celebrada el 19 de enero de 2023, artículo XVIII, que  conoció el Informe</w:t>
      </w:r>
      <w:r w:rsidR="00A429F8">
        <w:rPr>
          <w:rFonts w:ascii="Bookman Old Style" w:hAnsi="Bookman Old Style" w:cs="Arial"/>
          <w:color w:val="242424"/>
          <w:sz w:val="22"/>
          <w:szCs w:val="22"/>
          <w:shd w:val="clear" w:color="auto" w:fill="FFFFFF"/>
        </w:rPr>
        <w:t xml:space="preserve"> de la Auditoría Judicial</w:t>
      </w:r>
      <w:r w:rsidR="00A429F8" w:rsidRPr="00A429F8">
        <w:rPr>
          <w:rFonts w:ascii="Bookman Old Style" w:hAnsi="Bookman Old Style" w:cs="Arial"/>
          <w:color w:val="242424"/>
          <w:sz w:val="22"/>
          <w:szCs w:val="22"/>
          <w:shd w:val="clear" w:color="auto" w:fill="FFFFFF"/>
        </w:rPr>
        <w:t xml:space="preserve"> N°1685-125-IAO-SAO-2022, </w:t>
      </w:r>
      <w:r w:rsidR="00A429F8">
        <w:rPr>
          <w:rFonts w:ascii="Bookman Old Style" w:hAnsi="Bookman Old Style" w:cs="Arial"/>
          <w:color w:val="242424"/>
          <w:sz w:val="22"/>
          <w:szCs w:val="22"/>
          <w:shd w:val="clear" w:color="auto" w:fill="FFFFFF"/>
        </w:rPr>
        <w:t>denominado</w:t>
      </w:r>
      <w:r w:rsidR="00A429F8" w:rsidRPr="00A429F8">
        <w:rPr>
          <w:rFonts w:ascii="Bookman Old Style" w:hAnsi="Bookman Old Style" w:cs="Arial"/>
          <w:color w:val="242424"/>
          <w:sz w:val="22"/>
          <w:szCs w:val="22"/>
          <w:shd w:val="clear" w:color="auto" w:fill="FFFFFF"/>
        </w:rPr>
        <w:t> </w:t>
      </w:r>
      <w:r w:rsidR="00A429F8" w:rsidRPr="00A429F8">
        <w:rPr>
          <w:rFonts w:ascii="Bookman Old Style" w:hAnsi="Bookman Old Style" w:cs="Arial"/>
          <w:i/>
          <w:iCs/>
          <w:color w:val="242424"/>
          <w:sz w:val="22"/>
          <w:szCs w:val="22"/>
          <w:shd w:val="clear" w:color="auto" w:fill="FFFFFF"/>
        </w:rPr>
        <w:t>“Evaluación Operativa del Juzgado Especializado de Cobro del Segundo Circuito Judicial de San José, Sección Segunda”</w:t>
      </w:r>
      <w:r w:rsidR="00A429F8" w:rsidRPr="00A429F8">
        <w:rPr>
          <w:rFonts w:ascii="Bookman Old Style" w:hAnsi="Bookman Old Style" w:cs="Arial"/>
          <w:color w:val="242424"/>
          <w:sz w:val="22"/>
          <w:szCs w:val="22"/>
          <w:shd w:val="clear" w:color="auto" w:fill="FFFFFF"/>
        </w:rPr>
        <w:t xml:space="preserve">, con la finalidad de hacer efectiva la aplicación técnica y operativa de lo instituido mediante </w:t>
      </w:r>
      <w:r w:rsidR="00A429F8">
        <w:rPr>
          <w:rFonts w:ascii="Bookman Old Style" w:hAnsi="Bookman Old Style" w:cs="Arial"/>
          <w:color w:val="242424"/>
          <w:sz w:val="22"/>
          <w:szCs w:val="22"/>
          <w:shd w:val="clear" w:color="auto" w:fill="FFFFFF"/>
        </w:rPr>
        <w:t>el</w:t>
      </w:r>
      <w:r w:rsidR="00A429F8" w:rsidRPr="00A429F8">
        <w:rPr>
          <w:rFonts w:ascii="Bookman Old Style" w:hAnsi="Bookman Old Style" w:cs="Arial"/>
          <w:color w:val="242424"/>
          <w:sz w:val="22"/>
          <w:szCs w:val="22"/>
          <w:shd w:val="clear" w:color="auto" w:fill="FFFFFF"/>
        </w:rPr>
        <w:t> Convenio</w:t>
      </w:r>
      <w:r w:rsidR="00A429F8">
        <w:rPr>
          <w:rFonts w:ascii="Bookman Old Style" w:hAnsi="Bookman Old Style" w:cs="Arial"/>
          <w:color w:val="242424"/>
          <w:sz w:val="22"/>
          <w:szCs w:val="22"/>
          <w:shd w:val="clear" w:color="auto" w:fill="FFFFFF"/>
        </w:rPr>
        <w:t xml:space="preserve"> </w:t>
      </w:r>
      <w:r w:rsidR="00A429F8" w:rsidRPr="00A429F8">
        <w:rPr>
          <w:rFonts w:ascii="Bookman Old Style" w:hAnsi="Bookman Old Style" w:cs="Arial"/>
          <w:color w:val="242424"/>
          <w:sz w:val="22"/>
          <w:szCs w:val="22"/>
          <w:shd w:val="clear" w:color="auto" w:fill="FFFFFF"/>
        </w:rPr>
        <w:t>entre el Tribunal Supremo de Elecciones y</w:t>
      </w:r>
      <w:r w:rsidR="00A429F8">
        <w:rPr>
          <w:rFonts w:ascii="Bookman Old Style" w:hAnsi="Bookman Old Style" w:cs="Arial"/>
          <w:color w:val="242424"/>
          <w:sz w:val="22"/>
          <w:szCs w:val="22"/>
          <w:shd w:val="clear" w:color="auto" w:fill="FFFFFF"/>
        </w:rPr>
        <w:t xml:space="preserve"> el</w:t>
      </w:r>
      <w:r w:rsidR="00A429F8" w:rsidRPr="00A429F8">
        <w:rPr>
          <w:rFonts w:ascii="Bookman Old Style" w:hAnsi="Bookman Old Style" w:cs="Arial"/>
          <w:color w:val="242424"/>
          <w:sz w:val="22"/>
          <w:szCs w:val="22"/>
          <w:shd w:val="clear" w:color="auto" w:fill="FFFFFF"/>
        </w:rPr>
        <w:t xml:space="preserve"> Poder Judicial para la utilización de la Plataforma de Servicios Institucional </w:t>
      </w:r>
      <w:r w:rsidR="00A429F8">
        <w:rPr>
          <w:rFonts w:ascii="Bookman Old Style" w:hAnsi="Bookman Old Style" w:cs="Arial"/>
          <w:color w:val="242424"/>
          <w:sz w:val="22"/>
          <w:szCs w:val="22"/>
          <w:shd w:val="clear" w:color="auto" w:fill="FFFFFF"/>
        </w:rPr>
        <w:t>del Tribunal Supremo de Elecciones</w:t>
      </w:r>
      <w:r w:rsidR="00A429F8" w:rsidRPr="00A429F8">
        <w:rPr>
          <w:rFonts w:ascii="Bookman Old Style" w:hAnsi="Bookman Old Style" w:cs="Arial"/>
          <w:color w:val="242424"/>
          <w:sz w:val="22"/>
          <w:szCs w:val="22"/>
          <w:shd w:val="clear" w:color="auto" w:fill="FFFFFF"/>
        </w:rPr>
        <w:t>, emite los siguientes lineamientos:</w:t>
      </w:r>
    </w:p>
    <w:p w:rsidR="00A429F8" w:rsidRPr="00A429F8" w:rsidRDefault="00A429F8" w:rsidP="00C07418">
      <w:pPr>
        <w:pStyle w:val="Default"/>
        <w:spacing w:line="360" w:lineRule="auto"/>
        <w:jc w:val="both"/>
        <w:rPr>
          <w:rFonts w:ascii="Bookman Old Style" w:hAnsi="Bookman Old Style" w:cs="Arial"/>
          <w:i/>
          <w:iCs/>
          <w:color w:val="242424"/>
          <w:sz w:val="22"/>
          <w:szCs w:val="22"/>
          <w:shd w:val="clear" w:color="auto" w:fill="FFFFFF"/>
        </w:rPr>
      </w:pPr>
    </w:p>
    <w:p w:rsidR="00A429F8" w:rsidRPr="00A429F8" w:rsidRDefault="00A429F8" w:rsidP="00A429F8">
      <w:pPr>
        <w:pStyle w:val="Default"/>
        <w:spacing w:line="360" w:lineRule="auto"/>
        <w:jc w:val="center"/>
        <w:rPr>
          <w:rFonts w:ascii="Bookman Old Style" w:hAnsi="Bookman Old Style"/>
          <w:sz w:val="22"/>
          <w:szCs w:val="22"/>
          <w:shd w:val="clear" w:color="auto" w:fill="FFFFFF"/>
        </w:rPr>
      </w:pPr>
      <w:r w:rsidRPr="00A429F8">
        <w:rPr>
          <w:rFonts w:ascii="Bookman Old Style" w:hAnsi="Bookman Old Style"/>
          <w:b/>
          <w:bCs/>
          <w:sz w:val="22"/>
          <w:szCs w:val="22"/>
          <w:u w:val="single"/>
        </w:rPr>
        <w:t xml:space="preserve">A TODOS LOS DESPACHOS </w:t>
      </w:r>
      <w:r>
        <w:rPr>
          <w:rFonts w:ascii="Bookman Old Style" w:hAnsi="Bookman Old Style"/>
          <w:b/>
          <w:bCs/>
          <w:sz w:val="22"/>
          <w:szCs w:val="22"/>
          <w:u w:val="single"/>
        </w:rPr>
        <w:t xml:space="preserve">QUE CONOCEN MATERIA </w:t>
      </w:r>
      <w:r w:rsidRPr="00A429F8">
        <w:rPr>
          <w:rFonts w:ascii="Bookman Old Style" w:hAnsi="Bookman Old Style"/>
          <w:b/>
          <w:bCs/>
          <w:sz w:val="22"/>
          <w:szCs w:val="22"/>
          <w:u w:val="single"/>
        </w:rPr>
        <w:t>CIVIL Y DE COBRO JUDICIAL</w:t>
      </w:r>
    </w:p>
    <w:p w:rsidR="00C07418" w:rsidRDefault="00C07418" w:rsidP="00C07418">
      <w:pPr>
        <w:spacing w:line="360" w:lineRule="auto"/>
        <w:jc w:val="both"/>
        <w:rPr>
          <w:rFonts w:ascii="Bookman Old Style" w:hAnsi="Bookman Old Style"/>
          <w:b/>
          <w:bCs/>
          <w:lang w:val="es-ES"/>
        </w:rPr>
      </w:pPr>
    </w:p>
    <w:p w:rsidR="00110892" w:rsidRPr="006C1D94" w:rsidRDefault="00110892" w:rsidP="00A429F8">
      <w:pPr>
        <w:spacing w:line="360" w:lineRule="auto"/>
        <w:jc w:val="both"/>
        <w:rPr>
          <w:rFonts w:ascii="Bookman Old Style" w:hAnsi="Bookman Old Style"/>
          <w:b/>
          <w:bCs/>
          <w:lang w:val="es-ES"/>
        </w:rPr>
      </w:pPr>
      <w:r>
        <w:rPr>
          <w:rFonts w:ascii="Bookman Old Style" w:hAnsi="Bookman Old Style"/>
          <w:b/>
          <w:bCs/>
          <w:lang w:val="es-ES"/>
        </w:rPr>
        <w:t>EXPOSICIÓN DE MOTIVOS Y ÁMBITO DE APLICACIÓN</w:t>
      </w:r>
      <w:r w:rsidRPr="006C1D94">
        <w:rPr>
          <w:rFonts w:ascii="Bookman Old Style" w:hAnsi="Bookman Old Style"/>
          <w:b/>
          <w:bCs/>
          <w:lang w:val="es-ES"/>
        </w:rPr>
        <w:t>:</w:t>
      </w:r>
    </w:p>
    <w:p w:rsidR="00110892" w:rsidRPr="00143E80" w:rsidRDefault="00A429F8" w:rsidP="00110892">
      <w:pPr>
        <w:spacing w:line="360" w:lineRule="auto"/>
        <w:jc w:val="both"/>
        <w:rPr>
          <w:rFonts w:ascii="Bookman Old Style" w:hAnsi="Bookman Old Style"/>
        </w:rPr>
      </w:pPr>
      <w:r>
        <w:rPr>
          <w:rFonts w:ascii="Bookman Old Style" w:hAnsi="Bookman Old Style"/>
        </w:rPr>
        <w:t xml:space="preserve">En </w:t>
      </w:r>
      <w:r w:rsidR="00110892">
        <w:rPr>
          <w:rFonts w:ascii="Bookman Old Style" w:hAnsi="Bookman Old Style"/>
        </w:rPr>
        <w:t>el a</w:t>
      </w:r>
      <w:r w:rsidR="00110892" w:rsidRPr="006C1D94">
        <w:rPr>
          <w:rFonts w:ascii="Bookman Old Style" w:hAnsi="Bookman Old Style"/>
        </w:rPr>
        <w:t xml:space="preserve">cuerdo tomado por el Consejo Superior del Poder Judicial, </w:t>
      </w:r>
      <w:r w:rsidR="00110892" w:rsidRPr="00143E80">
        <w:rPr>
          <w:rFonts w:ascii="Bookman Old Style" w:hAnsi="Bookman Old Style"/>
        </w:rPr>
        <w:t xml:space="preserve">en sesión N° 4-2023 celebrada el 19 de enero de 2023, artículo XVIII, se dispuso: Analizar la viabilidad de hacer efectiva la aplicación técnica y operativa de lo instituido mediante adenda al Convenio para la utilización de la Plataforma de Servicios Institucional (PSI), para el Sector Público entre el Tribunal Supremo de Elecciones y Poder Judicial. </w:t>
      </w:r>
    </w:p>
    <w:p w:rsidR="00110892" w:rsidRPr="006C1D94" w:rsidRDefault="00110892" w:rsidP="00110892">
      <w:pPr>
        <w:pStyle w:val="Default"/>
        <w:spacing w:line="360" w:lineRule="auto"/>
        <w:jc w:val="both"/>
        <w:rPr>
          <w:rFonts w:ascii="Bookman Old Style" w:hAnsi="Bookman Old Style"/>
          <w:sz w:val="22"/>
          <w:szCs w:val="22"/>
        </w:rPr>
      </w:pPr>
    </w:p>
    <w:p w:rsidR="00110892" w:rsidRPr="006C1D94" w:rsidRDefault="00110892" w:rsidP="00110892">
      <w:pPr>
        <w:pStyle w:val="Default"/>
        <w:spacing w:line="360" w:lineRule="auto"/>
        <w:jc w:val="both"/>
        <w:rPr>
          <w:rFonts w:ascii="Bookman Old Style" w:hAnsi="Bookman Old Style"/>
          <w:sz w:val="22"/>
          <w:szCs w:val="22"/>
        </w:rPr>
      </w:pPr>
      <w:r w:rsidRPr="00876BCD">
        <w:rPr>
          <w:rFonts w:ascii="Bookman Old Style" w:hAnsi="Bookman Old Style"/>
          <w:sz w:val="22"/>
          <w:szCs w:val="22"/>
        </w:rPr>
        <w:t>El Convenio para la utilización de la Plataforma de Servicios Institucional (PSI), para el Sector Público entre el Tribunal Supremo de Elecciones y Poder Judicial, fue aprobado por el Consejo Superior en sesión de 44 – 2017 del 09 de mayo de 2017,</w:t>
      </w:r>
      <w:r w:rsidRPr="006C1D94">
        <w:rPr>
          <w:rFonts w:ascii="Bookman Old Style" w:hAnsi="Bookman Old Style"/>
          <w:sz w:val="22"/>
          <w:szCs w:val="22"/>
        </w:rPr>
        <w:t xml:space="preserve"> artículo XLVIII, </w:t>
      </w:r>
      <w:r>
        <w:rPr>
          <w:rFonts w:ascii="Bookman Old Style" w:hAnsi="Bookman Old Style"/>
          <w:sz w:val="22"/>
          <w:szCs w:val="22"/>
        </w:rPr>
        <w:t xml:space="preserve">donde se </w:t>
      </w:r>
      <w:r w:rsidRPr="006C1D94">
        <w:rPr>
          <w:rFonts w:ascii="Bookman Old Style" w:hAnsi="Bookman Old Style"/>
          <w:sz w:val="22"/>
          <w:szCs w:val="22"/>
        </w:rPr>
        <w:t>autorizó al Poder Judicial y</w:t>
      </w:r>
      <w:r w:rsidR="001907FC">
        <w:rPr>
          <w:rFonts w:ascii="Bookman Old Style" w:hAnsi="Bookman Old Style"/>
          <w:sz w:val="22"/>
          <w:szCs w:val="22"/>
        </w:rPr>
        <w:t xml:space="preserve"> a</w:t>
      </w:r>
      <w:r w:rsidRPr="006C1D94">
        <w:rPr>
          <w:rFonts w:ascii="Bookman Old Style" w:hAnsi="Bookman Old Style"/>
          <w:sz w:val="22"/>
          <w:szCs w:val="22"/>
        </w:rPr>
        <w:t xml:space="preserve"> sus dependencias a consultar puntualmente datos personales de acceso irrestricto [públicos], así como aquellos restringidos [privados] contenidos en la base de datos del Registro Civil. Además, mediante adenda avalada por ese mismo Órgano Superior en sesión 78 – 2018 del 04 de setiembre de 2018, artículo LXXV, considerando las exigencias de las reformas procesales, </w:t>
      </w:r>
      <w:r>
        <w:rPr>
          <w:rFonts w:ascii="Bookman Old Style" w:hAnsi="Bookman Old Style"/>
          <w:sz w:val="22"/>
          <w:szCs w:val="22"/>
        </w:rPr>
        <w:t xml:space="preserve">se </w:t>
      </w:r>
      <w:r w:rsidRPr="006C1D94">
        <w:rPr>
          <w:rFonts w:ascii="Bookman Old Style" w:hAnsi="Bookman Old Style"/>
          <w:sz w:val="22"/>
          <w:szCs w:val="22"/>
        </w:rPr>
        <w:t xml:space="preserve">modificó la cláusula segunda, en términos de que la información de carácter restringida podrá ser consultada por </w:t>
      </w:r>
      <w:proofErr w:type="gramStart"/>
      <w:r w:rsidRPr="006C1D94">
        <w:rPr>
          <w:rFonts w:ascii="Bookman Old Style" w:hAnsi="Bookman Old Style"/>
          <w:sz w:val="22"/>
          <w:szCs w:val="22"/>
        </w:rPr>
        <w:t>los jueces</w:t>
      </w:r>
      <w:r>
        <w:rPr>
          <w:rFonts w:ascii="Bookman Old Style" w:hAnsi="Bookman Old Style"/>
          <w:sz w:val="22"/>
          <w:szCs w:val="22"/>
        </w:rPr>
        <w:t xml:space="preserve"> y juezas</w:t>
      </w:r>
      <w:proofErr w:type="gramEnd"/>
      <w:r w:rsidRPr="006C1D94">
        <w:rPr>
          <w:rFonts w:ascii="Bookman Old Style" w:hAnsi="Bookman Old Style"/>
          <w:sz w:val="22"/>
          <w:szCs w:val="22"/>
        </w:rPr>
        <w:t xml:space="preserve"> de la República y el personal que éstos autoricen.</w:t>
      </w:r>
    </w:p>
    <w:p w:rsidR="00110892" w:rsidRDefault="00110892" w:rsidP="00110892">
      <w:pPr>
        <w:spacing w:line="360" w:lineRule="auto"/>
        <w:jc w:val="both"/>
        <w:rPr>
          <w:rFonts w:ascii="Bookman Old Style" w:hAnsi="Bookman Old Style"/>
        </w:rPr>
      </w:pPr>
    </w:p>
    <w:p w:rsidR="00110892" w:rsidRPr="006C1D94" w:rsidRDefault="00110892" w:rsidP="00110892">
      <w:pPr>
        <w:spacing w:line="360" w:lineRule="auto"/>
        <w:jc w:val="both"/>
        <w:rPr>
          <w:rFonts w:ascii="Bookman Old Style" w:hAnsi="Bookman Old Style" w:cs="Verdana"/>
          <w:color w:val="323130"/>
          <w:u w:color="323130"/>
          <w:lang w:val="es-ES_tradnl"/>
        </w:rPr>
      </w:pPr>
      <w:r>
        <w:rPr>
          <w:rFonts w:ascii="Bookman Old Style" w:hAnsi="Bookman Old Style"/>
        </w:rPr>
        <w:t xml:space="preserve">Sumado a </w:t>
      </w:r>
      <w:r w:rsidR="00A429F8">
        <w:rPr>
          <w:rFonts w:ascii="Bookman Old Style" w:hAnsi="Bookman Old Style"/>
        </w:rPr>
        <w:t>lo anterior</w:t>
      </w:r>
      <w:r>
        <w:rPr>
          <w:rFonts w:ascii="Bookman Old Style" w:hAnsi="Bookman Old Style"/>
        </w:rPr>
        <w:t>, este protocolo se sustenta en las circulares de simplificación de trámites a la persona usuaria, concretamente las c</w:t>
      </w:r>
      <w:r w:rsidRPr="006C1D94">
        <w:rPr>
          <w:rFonts w:ascii="Bookman Old Style" w:hAnsi="Bookman Old Style" w:cs="Verdana"/>
          <w:color w:val="323130"/>
          <w:u w:color="323130"/>
          <w:lang w:val="es-ES_tradnl"/>
        </w:rPr>
        <w:t>ircular</w:t>
      </w:r>
      <w:r>
        <w:rPr>
          <w:rFonts w:ascii="Bookman Old Style" w:hAnsi="Bookman Old Style" w:cs="Verdana"/>
          <w:color w:val="323130"/>
          <w:u w:color="323130"/>
          <w:lang w:val="es-ES_tradnl"/>
        </w:rPr>
        <w:t>es</w:t>
      </w:r>
      <w:r w:rsidRPr="006C1D94">
        <w:rPr>
          <w:rFonts w:ascii="Bookman Old Style" w:hAnsi="Bookman Old Style" w:cs="Verdana"/>
          <w:color w:val="323130"/>
          <w:u w:color="323130"/>
          <w:lang w:val="es-ES_tradnl"/>
        </w:rPr>
        <w:t xml:space="preserve"> 89-2018 y 84-2017 de la Secretaría General de la Corte Suprema de Justicia, </w:t>
      </w:r>
      <w:r>
        <w:rPr>
          <w:rFonts w:ascii="Bookman Old Style" w:hAnsi="Bookman Old Style" w:cs="Verdana"/>
          <w:color w:val="323130"/>
          <w:u w:color="323130"/>
          <w:lang w:val="es-ES_tradnl"/>
        </w:rPr>
        <w:t xml:space="preserve">las cuales a su vez </w:t>
      </w:r>
      <w:r w:rsidRPr="006C1D94">
        <w:rPr>
          <w:rFonts w:ascii="Bookman Old Style" w:hAnsi="Bookman Old Style" w:cs="Verdana"/>
          <w:color w:val="323130"/>
          <w:u w:color="323130"/>
          <w:lang w:val="es-ES_tradnl"/>
        </w:rPr>
        <w:t xml:space="preserve">tienen su génesis en la Ley 8220 sobre “Protección al Ciudadano del Exceso de Requisitos y Trámites Administrativos”, que en su artículo 2 establece: </w:t>
      </w:r>
    </w:p>
    <w:p w:rsidR="00110892" w:rsidRPr="006C1D94" w:rsidRDefault="00110892" w:rsidP="00110892">
      <w:pPr>
        <w:spacing w:line="360" w:lineRule="auto"/>
        <w:jc w:val="both"/>
        <w:rPr>
          <w:rFonts w:ascii="Bookman Old Style" w:hAnsi="Bookman Old Style" w:cs="Verdana"/>
          <w:color w:val="323130"/>
          <w:u w:color="323130"/>
          <w:lang w:val="es-ES_tradnl"/>
        </w:rPr>
      </w:pPr>
      <w:r w:rsidRPr="006C1D94">
        <w:rPr>
          <w:rFonts w:ascii="Bookman Old Style" w:hAnsi="Bookman Old Style" w:cs="Verdana"/>
          <w:i/>
          <w:iCs/>
          <w:color w:val="323130"/>
          <w:u w:color="323130"/>
          <w:lang w:val="es-ES_tradnl"/>
        </w:rPr>
        <w:t xml:space="preserve">La información que presenta un administrado ante una entidad, órgano o funcionario de la Administración Pública, no podrá ser requerida de nuevo por estos, para ese mismo trámite u otro en esa misma entidad u órgano. </w:t>
      </w:r>
      <w:r w:rsidRPr="006C1D94">
        <w:rPr>
          <w:rFonts w:ascii="Bookman Old Style" w:hAnsi="Bookman Old Style" w:cs="Verdana"/>
          <w:b/>
          <w:bCs/>
          <w:i/>
          <w:iCs/>
          <w:color w:val="323130"/>
          <w:u w:color="323130"/>
          <w:lang w:val="es-ES_tradnl"/>
        </w:rPr>
        <w:t xml:space="preserve">De igual manera, ninguna entidad, órgano o funcionario público, podrá solicitar al administrado, información que una o varias de sus mismas oficinas emitan o posean. </w:t>
      </w:r>
      <w:r w:rsidRPr="006C1D94">
        <w:rPr>
          <w:rFonts w:ascii="Bookman Old Style" w:hAnsi="Bookman Old Style" w:cs="Verdana"/>
          <w:color w:val="323130"/>
          <w:u w:color="323130"/>
          <w:lang w:val="es-ES_tradnl"/>
        </w:rPr>
        <w:t xml:space="preserve">Lo destacado no es del original. </w:t>
      </w:r>
      <w:r w:rsidR="001907FC">
        <w:rPr>
          <w:rFonts w:ascii="Bookman Old Style" w:hAnsi="Bookman Old Style" w:cs="Verdana"/>
          <w:color w:val="323130"/>
          <w:u w:color="323130"/>
          <w:lang w:val="es-ES_tradnl"/>
        </w:rPr>
        <w:t>Lo anterior, en</w:t>
      </w:r>
      <w:r w:rsidRPr="006C1D94">
        <w:rPr>
          <w:rFonts w:ascii="Bookman Old Style" w:hAnsi="Bookman Old Style" w:cs="Verdana"/>
          <w:color w:val="323130"/>
          <w:u w:color="323130"/>
          <w:lang w:val="es-ES_tradnl"/>
        </w:rPr>
        <w:t xml:space="preserve"> consonancia con lo dispuesto en el artículo 35.1.6 del Código Procesal Civil en cuanto indica: </w:t>
      </w:r>
      <w:r w:rsidRPr="006C1D94">
        <w:rPr>
          <w:rFonts w:ascii="Bookman Old Style" w:hAnsi="Bookman Old Style"/>
          <w:i/>
          <w:iCs/>
          <w:color w:val="000000"/>
        </w:rPr>
        <w:t>Cuando la prueba conste en un registro público, con acceso por medios informáticos, la parte interesada en esta prueba señalará la forma de identificarla en el registro, para que el juez que deba recibirla pueda acceder a ella en el momento en que la necesite y poner las constancias respectivas en la tramitación del proceso.</w:t>
      </w:r>
    </w:p>
    <w:p w:rsidR="00110892" w:rsidRDefault="00110892" w:rsidP="00110892">
      <w:pPr>
        <w:spacing w:line="360" w:lineRule="auto"/>
        <w:jc w:val="both"/>
        <w:rPr>
          <w:rFonts w:ascii="Bookman Old Style" w:hAnsi="Bookman Old Style"/>
        </w:rPr>
      </w:pPr>
      <w:r w:rsidRPr="006C1D94">
        <w:rPr>
          <w:rFonts w:ascii="Bookman Old Style" w:hAnsi="Bookman Old Style"/>
        </w:rPr>
        <w:t>Con base en lo anterior</w:t>
      </w:r>
      <w:r>
        <w:rPr>
          <w:rFonts w:ascii="Bookman Old Style" w:hAnsi="Bookman Old Style"/>
        </w:rPr>
        <w:t>,</w:t>
      </w:r>
      <w:r w:rsidRPr="006C1D94">
        <w:rPr>
          <w:rFonts w:ascii="Bookman Old Style" w:hAnsi="Bookman Old Style"/>
        </w:rPr>
        <w:t xml:space="preserve"> se emite el siguiente </w:t>
      </w:r>
      <w:r>
        <w:rPr>
          <w:rFonts w:ascii="Bookman Old Style" w:hAnsi="Bookman Old Style"/>
        </w:rPr>
        <w:t>p</w:t>
      </w:r>
      <w:r w:rsidRPr="006C1D94">
        <w:rPr>
          <w:rFonts w:ascii="Bookman Old Style" w:hAnsi="Bookman Old Style"/>
        </w:rPr>
        <w:t xml:space="preserve">rotocolo con el fin de generar seguridad y confianza en </w:t>
      </w:r>
      <w:r w:rsidR="001907FC">
        <w:rPr>
          <w:rFonts w:ascii="Bookman Old Style" w:hAnsi="Bookman Old Style"/>
        </w:rPr>
        <w:t>el uso efectivo</w:t>
      </w:r>
      <w:r w:rsidRPr="006C1D94">
        <w:rPr>
          <w:rFonts w:ascii="Bookman Old Style" w:hAnsi="Bookman Old Style"/>
        </w:rPr>
        <w:t xml:space="preserve"> de la Plataforma de Servicios Institucionales del TSE</w:t>
      </w:r>
      <w:r>
        <w:rPr>
          <w:rFonts w:ascii="Bookman Old Style" w:hAnsi="Bookman Old Style"/>
        </w:rPr>
        <w:t xml:space="preserve"> en la Materia </w:t>
      </w:r>
      <w:r w:rsidR="001907FC">
        <w:rPr>
          <w:rFonts w:ascii="Bookman Old Style" w:hAnsi="Bookman Old Style"/>
        </w:rPr>
        <w:t>C</w:t>
      </w:r>
      <w:r>
        <w:rPr>
          <w:rFonts w:ascii="Bookman Old Style" w:hAnsi="Bookman Old Style"/>
        </w:rPr>
        <w:t>ivil y de Cobro judicial, procurando el trámite expedito de las notificaciones personales iniciales, reconocido como un punto crítico que genera rezago judicial en esas materias.</w:t>
      </w:r>
      <w:r w:rsidRPr="006C1D94">
        <w:rPr>
          <w:rFonts w:ascii="Bookman Old Style" w:hAnsi="Bookman Old Style"/>
        </w:rPr>
        <w:t xml:space="preserve"> </w:t>
      </w:r>
      <w:r>
        <w:rPr>
          <w:rFonts w:ascii="Bookman Old Style" w:hAnsi="Bookman Old Style"/>
        </w:rPr>
        <w:t>En lo compatible se aplicará también a la Consulta Electrónica de Persona Extranjera de la Dirección General de Migración y Extranjería.</w:t>
      </w:r>
    </w:p>
    <w:p w:rsidR="00110892" w:rsidRPr="006C1D94" w:rsidRDefault="00110892" w:rsidP="00110892">
      <w:pPr>
        <w:spacing w:line="360" w:lineRule="auto"/>
        <w:jc w:val="both"/>
        <w:rPr>
          <w:rFonts w:ascii="Bookman Old Style" w:hAnsi="Bookman Old Style"/>
          <w:b/>
          <w:bCs/>
        </w:rPr>
      </w:pPr>
      <w:r w:rsidRPr="006C1D94">
        <w:rPr>
          <w:rFonts w:ascii="Bookman Old Style" w:hAnsi="Bookman Old Style"/>
          <w:b/>
          <w:bCs/>
        </w:rPr>
        <w:t>ARTÍCULO 1. DEFINICIÓN:</w:t>
      </w:r>
    </w:p>
    <w:p w:rsidR="00110892" w:rsidRPr="006C1D94" w:rsidRDefault="00110892" w:rsidP="00110892">
      <w:pPr>
        <w:spacing w:line="360" w:lineRule="auto"/>
        <w:ind w:right="851"/>
        <w:jc w:val="both"/>
        <w:rPr>
          <w:rFonts w:ascii="Bookman Old Style" w:hAnsi="Bookman Old Style"/>
        </w:rPr>
      </w:pPr>
      <w:r w:rsidRPr="006C1D94">
        <w:rPr>
          <w:rFonts w:ascii="Bookman Old Style" w:hAnsi="Bookman Old Style"/>
        </w:rPr>
        <w:t>El convenio</w:t>
      </w:r>
      <w:r>
        <w:rPr>
          <w:rFonts w:ascii="Bookman Old Style" w:hAnsi="Bookman Old Style"/>
        </w:rPr>
        <w:t xml:space="preserve"> </w:t>
      </w:r>
      <w:r w:rsidRPr="00876BCD">
        <w:rPr>
          <w:rFonts w:ascii="Bookman Old Style" w:hAnsi="Bookman Old Style"/>
        </w:rPr>
        <w:t>aprobado por el Consejo Superior en sesión de 44 – 2017 del 09 de mayo de 2017,</w:t>
      </w:r>
      <w:r w:rsidRPr="006C1D94">
        <w:rPr>
          <w:rFonts w:ascii="Bookman Old Style" w:hAnsi="Bookman Old Style"/>
        </w:rPr>
        <w:t xml:space="preserve"> artículo XLVIII</w:t>
      </w:r>
      <w:r>
        <w:rPr>
          <w:rFonts w:ascii="Bookman Old Style" w:hAnsi="Bookman Old Style"/>
        </w:rPr>
        <w:t>, con adenda del 4 de setiembre del 2018,</w:t>
      </w:r>
      <w:r w:rsidRPr="006C1D94">
        <w:rPr>
          <w:rFonts w:ascii="Bookman Old Style" w:hAnsi="Bookman Old Style"/>
        </w:rPr>
        <w:t xml:space="preserve"> tiene por objeto </w:t>
      </w:r>
      <w:bookmarkStart w:id="1" w:name="_Hlk22906768"/>
      <w:r w:rsidRPr="006C1D94">
        <w:rPr>
          <w:rFonts w:ascii="Bookman Old Style" w:hAnsi="Bookman Old Style"/>
        </w:rPr>
        <w:t>consolidar el compromiso del Poder Judicial y del TSE para la implementación de acciones conjuntas que potencien el desarrollo y la utilización de las soluciones de identificación de personas a través de las tecnologías digitales basados en las soluciones y capacidad instalada con que cuenta el TSE y que permitan garantizar un adecuado proceso de determinación de la identidad ciudadana en los servicios que ofrecen las instituciones del sector público</w:t>
      </w:r>
      <w:bookmarkEnd w:id="1"/>
      <w:r w:rsidRPr="006C1D94">
        <w:rPr>
          <w:rFonts w:ascii="Bookman Old Style" w:hAnsi="Bookman Old Style"/>
        </w:rPr>
        <w:t>.</w:t>
      </w:r>
    </w:p>
    <w:p w:rsidR="00110892" w:rsidRPr="006C1D94" w:rsidRDefault="00110892" w:rsidP="00110892">
      <w:pPr>
        <w:spacing w:line="360" w:lineRule="auto"/>
        <w:jc w:val="both"/>
        <w:rPr>
          <w:rFonts w:ascii="Bookman Old Style" w:hAnsi="Bookman Old Style"/>
        </w:rPr>
      </w:pPr>
    </w:p>
    <w:p w:rsidR="00110892" w:rsidRPr="006C1D94" w:rsidRDefault="00110892" w:rsidP="00110892">
      <w:pPr>
        <w:spacing w:line="360" w:lineRule="auto"/>
        <w:jc w:val="both"/>
        <w:rPr>
          <w:rFonts w:ascii="Bookman Old Style" w:hAnsi="Bookman Old Style"/>
          <w:b/>
          <w:bCs/>
        </w:rPr>
      </w:pPr>
      <w:r w:rsidRPr="006C1D94">
        <w:rPr>
          <w:rFonts w:ascii="Bookman Old Style" w:hAnsi="Bookman Old Style"/>
          <w:b/>
          <w:bCs/>
        </w:rPr>
        <w:t>ARTÍCULO 2. OBJETIVOS DEL CONVENIO ENTRE EL TSE Y EL PODER JUDICIAL</w:t>
      </w:r>
      <w:r>
        <w:rPr>
          <w:rFonts w:ascii="Bookman Old Style" w:hAnsi="Bookman Old Style"/>
          <w:b/>
          <w:bCs/>
        </w:rPr>
        <w:t xml:space="preserve"> Y DEL PRESENTE PROTOCOLO</w:t>
      </w:r>
    </w:p>
    <w:p w:rsidR="00110892" w:rsidRPr="006C1D94" w:rsidRDefault="00110892" w:rsidP="00110892">
      <w:pPr>
        <w:pStyle w:val="Prrafodelista"/>
        <w:numPr>
          <w:ilvl w:val="1"/>
          <w:numId w:val="1"/>
        </w:numPr>
        <w:spacing w:after="0" w:line="360" w:lineRule="auto"/>
        <w:ind w:right="851"/>
        <w:jc w:val="both"/>
        <w:rPr>
          <w:rFonts w:ascii="Bookman Old Style" w:hAnsi="Bookman Old Style"/>
        </w:rPr>
      </w:pPr>
      <w:r>
        <w:rPr>
          <w:rFonts w:ascii="Bookman Old Style" w:hAnsi="Bookman Old Style"/>
        </w:rPr>
        <w:t xml:space="preserve">. Obtener el </w:t>
      </w:r>
      <w:r w:rsidRPr="006C1D94">
        <w:rPr>
          <w:rFonts w:ascii="Bookman Old Style" w:hAnsi="Bookman Old Style"/>
        </w:rPr>
        <w:t xml:space="preserve">máximo aprovechamiento de los recursos del Estado, contención del gasto público y con la finalidad de eliminar duplicidad de gastos entre entidades públicas según principios de economía, eficiencia y eficacia, promover en su propia Institución y órganos adscritos la utilización de tecnologías para la verificación de la identidad de personas con base en un único repositorio nacional civil y servicios de identificación biométrica civil a cargo del TSE. </w:t>
      </w:r>
    </w:p>
    <w:p w:rsidR="00110892" w:rsidRPr="006C1D94" w:rsidRDefault="00110892" w:rsidP="00110892">
      <w:pPr>
        <w:spacing w:line="360" w:lineRule="auto"/>
        <w:jc w:val="both"/>
        <w:rPr>
          <w:rFonts w:ascii="Bookman Old Style" w:hAnsi="Bookman Old Style"/>
        </w:rPr>
      </w:pPr>
    </w:p>
    <w:p w:rsidR="00110892" w:rsidRPr="006C1D94" w:rsidRDefault="00110892" w:rsidP="00110892">
      <w:pPr>
        <w:spacing w:line="360" w:lineRule="auto"/>
        <w:jc w:val="both"/>
        <w:rPr>
          <w:rFonts w:ascii="Bookman Old Style" w:hAnsi="Bookman Old Style"/>
          <w:b/>
          <w:bCs/>
        </w:rPr>
      </w:pPr>
      <w:r w:rsidRPr="006C1D94">
        <w:rPr>
          <w:rFonts w:ascii="Bookman Old Style" w:hAnsi="Bookman Old Style"/>
          <w:b/>
          <w:bCs/>
        </w:rPr>
        <w:t>ARTÍCULO 3. PERMISOS Y HABILITACIONES</w:t>
      </w:r>
    </w:p>
    <w:p w:rsidR="00110892" w:rsidRDefault="00110892" w:rsidP="00110892">
      <w:pPr>
        <w:spacing w:line="360" w:lineRule="auto"/>
        <w:jc w:val="both"/>
        <w:rPr>
          <w:rFonts w:ascii="Bookman Old Style" w:hAnsi="Bookman Old Style"/>
        </w:rPr>
      </w:pPr>
      <w:r>
        <w:rPr>
          <w:rFonts w:ascii="Bookman Old Style" w:hAnsi="Bookman Old Style"/>
        </w:rPr>
        <w:t xml:space="preserve">3.1. El permiso para acceder a la </w:t>
      </w:r>
      <w:r w:rsidRPr="006C1D94">
        <w:rPr>
          <w:rFonts w:ascii="Bookman Old Style" w:hAnsi="Bookman Old Style"/>
          <w:i/>
          <w:iCs/>
        </w:rPr>
        <w:t xml:space="preserve">Plataforma de Servicios Institucional (PSI), para el Sector Público </w:t>
      </w:r>
      <w:r>
        <w:rPr>
          <w:rFonts w:ascii="Bookman Old Style" w:hAnsi="Bookman Old Style"/>
          <w:i/>
          <w:iCs/>
        </w:rPr>
        <w:t>del</w:t>
      </w:r>
      <w:r w:rsidRPr="006C1D94">
        <w:rPr>
          <w:rFonts w:ascii="Bookman Old Style" w:hAnsi="Bookman Old Style"/>
          <w:i/>
          <w:iCs/>
        </w:rPr>
        <w:t xml:space="preserve"> Tribunal Supremo de Elecciones </w:t>
      </w:r>
      <w:r>
        <w:rPr>
          <w:rFonts w:ascii="Bookman Old Style" w:hAnsi="Bookman Old Style"/>
          <w:i/>
          <w:iCs/>
        </w:rPr>
        <w:t>(</w:t>
      </w:r>
      <w:r>
        <w:rPr>
          <w:rFonts w:ascii="Bookman Old Style" w:hAnsi="Bookman Old Style"/>
        </w:rPr>
        <w:t xml:space="preserve">Información del Ciudadano) estará autorizado para las personas juzgadoras por el mero hecho de su nombramiento aprobado en el sistema de Proposición de Nombramientos (PIN) en un puesto de juez o jueza o porque </w:t>
      </w:r>
      <w:r w:rsidR="001907FC">
        <w:rPr>
          <w:rFonts w:ascii="Bookman Old Style" w:hAnsi="Bookman Old Style"/>
        </w:rPr>
        <w:t>la persona juzgadora</w:t>
      </w:r>
      <w:r>
        <w:rPr>
          <w:rFonts w:ascii="Bookman Old Style" w:hAnsi="Bookman Old Style"/>
        </w:rPr>
        <w:t xml:space="preserve"> cuenta con una acción de personal aprobada en el Sistema de Gestión Humana (SIGA-GH). También estarán habilitados por el mero hecho de su nombramiento registrado en dichos sistemas las personas coordinadoras judiciales de los despachos jurisdiccionales</w:t>
      </w:r>
      <w:r w:rsidR="00AB0DC3">
        <w:rPr>
          <w:rFonts w:ascii="Bookman Old Style" w:hAnsi="Bookman Old Style"/>
        </w:rPr>
        <w:t xml:space="preserve">, para lo cual el Consejo de </w:t>
      </w:r>
      <w:proofErr w:type="gramStart"/>
      <w:r w:rsidR="00AB0DC3">
        <w:rPr>
          <w:rFonts w:ascii="Bookman Old Style" w:hAnsi="Bookman Old Style"/>
        </w:rPr>
        <w:t>Jueces y Juezas</w:t>
      </w:r>
      <w:proofErr w:type="gramEnd"/>
      <w:r w:rsidR="00AB0DC3">
        <w:rPr>
          <w:rFonts w:ascii="Bookman Old Style" w:hAnsi="Bookman Old Style"/>
        </w:rPr>
        <w:t xml:space="preserve"> tendrá la facultad de asignar tal función a dicho cargo, sin que ello releve el permiso de las personas juzgadoras, o reservar la función únicamente para las personas juzgadoras del despacho</w:t>
      </w:r>
      <w:r>
        <w:rPr>
          <w:rFonts w:ascii="Bookman Old Style" w:hAnsi="Bookman Old Style"/>
        </w:rPr>
        <w:t xml:space="preserve">.  </w:t>
      </w:r>
    </w:p>
    <w:p w:rsidR="003939E6" w:rsidRDefault="00110892" w:rsidP="00110892">
      <w:pPr>
        <w:spacing w:line="360" w:lineRule="auto"/>
        <w:jc w:val="both"/>
        <w:rPr>
          <w:rFonts w:ascii="Bookman Old Style" w:hAnsi="Bookman Old Style"/>
        </w:rPr>
      </w:pPr>
      <w:r>
        <w:rPr>
          <w:rFonts w:ascii="Bookman Old Style" w:hAnsi="Bookman Old Style"/>
        </w:rPr>
        <w:t>3.2. En caso de que a pesar de estar aprobado el nombramiento del juez o</w:t>
      </w:r>
      <w:r w:rsidR="001907FC">
        <w:rPr>
          <w:rFonts w:ascii="Bookman Old Style" w:hAnsi="Bookman Old Style"/>
        </w:rPr>
        <w:t xml:space="preserve"> de</w:t>
      </w:r>
      <w:r>
        <w:rPr>
          <w:rFonts w:ascii="Bookman Old Style" w:hAnsi="Bookman Old Style"/>
        </w:rPr>
        <w:t xml:space="preserve"> la jueza no se admita el ingreso al Sistema de Consulta, se deberá reportar a la Dirección de Tecnología de la Información.</w:t>
      </w:r>
    </w:p>
    <w:p w:rsidR="00BB42BC" w:rsidRDefault="00BB42BC" w:rsidP="00110892">
      <w:pPr>
        <w:spacing w:line="360" w:lineRule="auto"/>
        <w:jc w:val="both"/>
        <w:rPr>
          <w:rFonts w:ascii="Bookman Old Style" w:hAnsi="Bookman Old Style"/>
        </w:rPr>
      </w:pPr>
      <w:r>
        <w:rPr>
          <w:rFonts w:ascii="Bookman Old Style" w:hAnsi="Bookman Old Style"/>
        </w:rPr>
        <w:t xml:space="preserve">3.3. En caso de que la persona juzgadora cese su nombramiento, y posteriormente regrese a un nombramiento de juez o de jueza, debe de procederse conforme con lo anterior con el fin de habilitar nuevamente los permisos. </w:t>
      </w:r>
    </w:p>
    <w:p w:rsidR="00BB42BC" w:rsidRDefault="00BB42BC" w:rsidP="00BB42BC">
      <w:pPr>
        <w:spacing w:line="360" w:lineRule="auto"/>
        <w:jc w:val="both"/>
        <w:rPr>
          <w:rFonts w:ascii="Bookman Old Style" w:hAnsi="Bookman Old Style"/>
        </w:rPr>
      </w:pPr>
      <w:r>
        <w:rPr>
          <w:rFonts w:ascii="Bookman Old Style" w:hAnsi="Bookman Old Style"/>
        </w:rPr>
        <w:t>3.4. En caso de detectar</w:t>
      </w:r>
      <w:r w:rsidR="00845814">
        <w:rPr>
          <w:rFonts w:ascii="Bookman Old Style" w:hAnsi="Bookman Old Style"/>
        </w:rPr>
        <w:t>se</w:t>
      </w:r>
      <w:r>
        <w:rPr>
          <w:rFonts w:ascii="Bookman Old Style" w:hAnsi="Bookman Old Style"/>
        </w:rPr>
        <w:t xml:space="preserve"> alguna anomalía en la utilización del sistema,</w:t>
      </w:r>
      <w:r w:rsidR="00442256">
        <w:rPr>
          <w:rFonts w:ascii="Bookman Old Style" w:hAnsi="Bookman Old Style"/>
        </w:rPr>
        <w:t xml:space="preserve"> para obtener datos no requeridos por las partes o que no sean para los fines de la notificación, o intromisión en datos de personas ajenas a los procesos gestionados, </w:t>
      </w:r>
      <w:r>
        <w:rPr>
          <w:rFonts w:ascii="Bookman Old Style" w:hAnsi="Bookman Old Style"/>
        </w:rPr>
        <w:t xml:space="preserve">la persona juzgadora a cargo deberá requerir una bitácora de uso del sistema al Tribunal Supremo de Elecciones por los medios oficiales, brindando para tal efecto un rango de fechas sobre el histórico de uso requerido. Para tal efecto, esa bitácora debe </w:t>
      </w:r>
      <w:r w:rsidR="00442256">
        <w:rPr>
          <w:rFonts w:ascii="Bookman Old Style" w:hAnsi="Bookman Old Style"/>
        </w:rPr>
        <w:t xml:space="preserve">de </w:t>
      </w:r>
      <w:r>
        <w:rPr>
          <w:rFonts w:ascii="Bookman Old Style" w:hAnsi="Bookman Old Style"/>
        </w:rPr>
        <w:t xml:space="preserve">solicitarse a la Sección de Infraestructura Tecnológica del Tribunal Supremo de Elecciones al correo electrónico: </w:t>
      </w:r>
      <w:hyperlink r:id="rId7" w:history="1">
        <w:r w:rsidRPr="003019AD">
          <w:rPr>
            <w:rStyle w:val="Hipervnculo"/>
            <w:rFonts w:ascii="Bookman Old Style" w:hAnsi="Bookman Old Style"/>
          </w:rPr>
          <w:t>infraestructurati@tse.go.cr</w:t>
        </w:r>
      </w:hyperlink>
      <w:r>
        <w:rPr>
          <w:rFonts w:ascii="Bookman Old Style" w:hAnsi="Bookman Old Style"/>
        </w:rPr>
        <w:t>.</w:t>
      </w:r>
    </w:p>
    <w:p w:rsidR="00110892" w:rsidRPr="006C1D94" w:rsidRDefault="00442256" w:rsidP="00110892">
      <w:pPr>
        <w:spacing w:line="360" w:lineRule="auto"/>
        <w:jc w:val="both"/>
        <w:rPr>
          <w:rFonts w:ascii="Bookman Old Style" w:hAnsi="Bookman Old Style"/>
        </w:rPr>
      </w:pPr>
      <w:r>
        <w:rPr>
          <w:rFonts w:ascii="Bookman Old Style" w:hAnsi="Bookman Old Style"/>
        </w:rPr>
        <w:t xml:space="preserve">Además, </w:t>
      </w:r>
      <w:r w:rsidR="00110892">
        <w:rPr>
          <w:rFonts w:ascii="Bookman Old Style" w:hAnsi="Bookman Old Style"/>
        </w:rPr>
        <w:t xml:space="preserve">la persona funcionaria </w:t>
      </w:r>
      <w:r>
        <w:rPr>
          <w:rFonts w:ascii="Bookman Old Style" w:hAnsi="Bookman Old Style"/>
        </w:rPr>
        <w:t xml:space="preserve">que presuntamente ha cometido esa infracción </w:t>
      </w:r>
      <w:r w:rsidR="00110892" w:rsidRPr="006C1D94">
        <w:rPr>
          <w:rFonts w:ascii="Bookman Old Style" w:hAnsi="Bookman Old Style"/>
        </w:rPr>
        <w:t>deberá ser reportada ante las instancias disciplinarias respectivas.</w:t>
      </w:r>
    </w:p>
    <w:p w:rsidR="00110892" w:rsidRPr="006C1D94" w:rsidRDefault="00110892" w:rsidP="00110892">
      <w:pPr>
        <w:spacing w:line="360" w:lineRule="auto"/>
        <w:jc w:val="both"/>
        <w:rPr>
          <w:rFonts w:ascii="Bookman Old Style" w:hAnsi="Bookman Old Style"/>
          <w:b/>
          <w:bCs/>
        </w:rPr>
      </w:pPr>
      <w:r w:rsidRPr="006C1D94">
        <w:rPr>
          <w:rFonts w:ascii="Bookman Old Style" w:hAnsi="Bookman Old Style"/>
          <w:b/>
          <w:bCs/>
        </w:rPr>
        <w:t>ARTÍCULO 4. OBLIGATORIEDAD DE UTILIZACIÓN</w:t>
      </w:r>
    </w:p>
    <w:p w:rsidR="00110892" w:rsidRPr="006C1D94" w:rsidRDefault="00110892" w:rsidP="00110892">
      <w:pPr>
        <w:spacing w:line="360" w:lineRule="auto"/>
        <w:jc w:val="both"/>
        <w:rPr>
          <w:rFonts w:ascii="Bookman Old Style" w:hAnsi="Bookman Old Style"/>
        </w:rPr>
      </w:pPr>
      <w:r>
        <w:rPr>
          <w:rFonts w:ascii="Bookman Old Style" w:hAnsi="Bookman Old Style"/>
        </w:rPr>
        <w:t xml:space="preserve">4.1. </w:t>
      </w:r>
      <w:r w:rsidRPr="006C1D94">
        <w:rPr>
          <w:rFonts w:ascii="Bookman Old Style" w:hAnsi="Bookman Old Style"/>
        </w:rPr>
        <w:t>Una vez que las partes requieran la dirección de la cuenta cedular para notificar personalmente a la parte contraria,</w:t>
      </w:r>
      <w:r>
        <w:rPr>
          <w:rFonts w:ascii="Bookman Old Style" w:hAnsi="Bookman Old Style"/>
        </w:rPr>
        <w:t xml:space="preserve"> con base en la normativa de simplificación de trámites supracitada,</w:t>
      </w:r>
      <w:r w:rsidRPr="006C1D94">
        <w:rPr>
          <w:rFonts w:ascii="Bookman Old Style" w:hAnsi="Bookman Old Style"/>
        </w:rPr>
        <w:t xml:space="preserve"> </w:t>
      </w:r>
      <w:r w:rsidR="00B75C2B">
        <w:rPr>
          <w:rFonts w:ascii="Bookman Old Style" w:hAnsi="Bookman Old Style"/>
        </w:rPr>
        <w:t xml:space="preserve">por la obligación legal de simplificación de trámites a la persona usuaria y por acceso a la justicia, </w:t>
      </w:r>
      <w:r w:rsidRPr="006C1D94">
        <w:rPr>
          <w:rFonts w:ascii="Bookman Old Style" w:hAnsi="Bookman Old Style"/>
        </w:rPr>
        <w:t>no se deberá expedir oficio requiriendo ese dato al Tribunal Supremo de Elecciones, sino que se utilizará la plataforma de consulta de servicios públicos convenida entre el Poder Judicial y el TSE</w:t>
      </w:r>
      <w:r>
        <w:rPr>
          <w:rFonts w:ascii="Bookman Old Style" w:hAnsi="Bookman Old Style"/>
        </w:rPr>
        <w:t>, salvo interrupciones del servicio</w:t>
      </w:r>
      <w:r w:rsidRPr="006C1D94">
        <w:rPr>
          <w:rFonts w:ascii="Bookman Old Style" w:hAnsi="Bookman Old Style"/>
        </w:rPr>
        <w:t xml:space="preserve">. </w:t>
      </w:r>
    </w:p>
    <w:p w:rsidR="00110892" w:rsidRDefault="00110892" w:rsidP="00110892">
      <w:pPr>
        <w:spacing w:line="360" w:lineRule="auto"/>
        <w:jc w:val="both"/>
        <w:rPr>
          <w:rFonts w:ascii="Bookman Old Style" w:hAnsi="Bookman Old Style"/>
        </w:rPr>
      </w:pPr>
      <w:r w:rsidRPr="006C1D94">
        <w:rPr>
          <w:rFonts w:ascii="Bookman Old Style" w:hAnsi="Bookman Old Style"/>
        </w:rPr>
        <w:t xml:space="preserve">Si existe causa para el inadecuado funcionamiento del sistema, deberá ser reportado ante la Dirección de Tecnologías de la Información. </w:t>
      </w:r>
    </w:p>
    <w:p w:rsidR="00110892" w:rsidRPr="00070871" w:rsidRDefault="00110892" w:rsidP="00110892">
      <w:pPr>
        <w:spacing w:line="360" w:lineRule="auto"/>
        <w:jc w:val="both"/>
        <w:rPr>
          <w:rFonts w:ascii="Bookman Old Style" w:hAnsi="Bookman Old Style"/>
        </w:rPr>
      </w:pPr>
      <w:r w:rsidRPr="00070871">
        <w:rPr>
          <w:rFonts w:ascii="Bookman Old Style" w:hAnsi="Bookman Old Style"/>
        </w:rPr>
        <w:t xml:space="preserve">4.2. </w:t>
      </w:r>
      <w:r w:rsidRPr="00070871">
        <w:rPr>
          <w:rFonts w:ascii="Bookman Old Style" w:hAnsi="Bookman Old Style"/>
          <w:color w:val="000000"/>
          <w:bdr w:val="none" w:sz="0" w:space="0" w:color="auto" w:frame="1"/>
        </w:rPr>
        <w:t>Para ingresar a la consulta debe hacerse a través de la Intranet en la sección “Consultas en Línea” en la opción “Información del Ciudadano, TSE”, ingresando el usuario y contraseña institucional.</w:t>
      </w:r>
    </w:p>
    <w:p w:rsidR="00110892" w:rsidRPr="006C1D94" w:rsidRDefault="00110892" w:rsidP="00110892">
      <w:pPr>
        <w:spacing w:line="360" w:lineRule="auto"/>
        <w:jc w:val="both"/>
        <w:rPr>
          <w:rFonts w:ascii="Bookman Old Style" w:hAnsi="Bookman Old Style"/>
          <w:b/>
          <w:bCs/>
        </w:rPr>
      </w:pPr>
      <w:r w:rsidRPr="006C1D94">
        <w:rPr>
          <w:rFonts w:ascii="Bookman Old Style" w:hAnsi="Bookman Old Style"/>
          <w:b/>
          <w:bCs/>
        </w:rPr>
        <w:t xml:space="preserve">ARTÍCULO 5. </w:t>
      </w:r>
      <w:r>
        <w:rPr>
          <w:rFonts w:ascii="Bookman Old Style" w:hAnsi="Bookman Old Style"/>
          <w:b/>
          <w:bCs/>
        </w:rPr>
        <w:t>PROCEDIMIENTO</w:t>
      </w:r>
      <w:r w:rsidRPr="006C1D94">
        <w:rPr>
          <w:rFonts w:ascii="Bookman Old Style" w:hAnsi="Bookman Old Style"/>
          <w:b/>
          <w:bCs/>
        </w:rPr>
        <w:t xml:space="preserve"> Y PROTECCIÓN DE DATOS RESTRINGIDOS Y SENSIBLES</w:t>
      </w:r>
    </w:p>
    <w:p w:rsidR="00110892" w:rsidRDefault="00110892" w:rsidP="00110892">
      <w:pPr>
        <w:spacing w:line="360" w:lineRule="auto"/>
        <w:jc w:val="both"/>
        <w:rPr>
          <w:rFonts w:ascii="Bookman Old Style" w:hAnsi="Bookman Old Style"/>
          <w:lang w:val="es-ES"/>
        </w:rPr>
      </w:pPr>
      <w:r w:rsidRPr="006C1D94">
        <w:rPr>
          <w:rFonts w:ascii="Bookman Old Style" w:hAnsi="Bookman Old Style"/>
          <w:lang w:val="es-ES"/>
        </w:rPr>
        <w:t xml:space="preserve">Con el fin de garantizar la debida protección de los datos restringidos y sensibles consultados, se </w:t>
      </w:r>
      <w:r>
        <w:rPr>
          <w:rFonts w:ascii="Bookman Old Style" w:hAnsi="Bookman Old Style"/>
          <w:lang w:val="es-ES"/>
        </w:rPr>
        <w:t>procederá conforme con el siguiente procedimiento:</w:t>
      </w:r>
    </w:p>
    <w:p w:rsidR="00110892" w:rsidRDefault="00110892" w:rsidP="00110892">
      <w:pPr>
        <w:spacing w:line="360" w:lineRule="auto"/>
        <w:jc w:val="both"/>
        <w:rPr>
          <w:rFonts w:ascii="Bookman Old Style" w:hAnsi="Bookman Old Style"/>
          <w:lang w:val="es-ES"/>
        </w:rPr>
      </w:pPr>
      <w:r>
        <w:rPr>
          <w:rFonts w:ascii="Bookman Old Style" w:hAnsi="Bookman Old Style"/>
          <w:lang w:val="es-ES"/>
        </w:rPr>
        <w:t xml:space="preserve">5.1. Una vez que la persona técnica atienda la solicitud de extraer la dirección de cuenta cedular y en caso de ser procedente la gestión, enviará el expediente a la persona juzgadora </w:t>
      </w:r>
      <w:r w:rsidR="004453D0">
        <w:rPr>
          <w:rFonts w:ascii="Bookman Old Style" w:hAnsi="Bookman Old Style"/>
          <w:lang w:val="es-ES"/>
        </w:rPr>
        <w:t xml:space="preserve">o coordinadora judicial </w:t>
      </w:r>
      <w:r>
        <w:rPr>
          <w:rFonts w:ascii="Bookman Old Style" w:hAnsi="Bookman Old Style"/>
          <w:lang w:val="es-ES"/>
        </w:rPr>
        <w:t xml:space="preserve">dentro de la tarea del Escritorio Virtual denominada “Buzón de Consultas de Domicilio en el TSE” con las observaciones internas respectivas que serán visibles solamente para las personas funcionarias del despacho encargadas del proceso. Este buzón aparece de la siguiente forma en el Escritorio Virtual: </w:t>
      </w:r>
    </w:p>
    <w:p w:rsidR="00110892" w:rsidRDefault="00110892" w:rsidP="00110892">
      <w:pPr>
        <w:spacing w:line="360" w:lineRule="auto"/>
        <w:jc w:val="center"/>
        <w:rPr>
          <w:rFonts w:ascii="Bookman Old Style" w:hAnsi="Bookman Old Style"/>
          <w:lang w:val="es-ES"/>
        </w:rPr>
      </w:pPr>
    </w:p>
    <w:p w:rsidR="00110892" w:rsidRDefault="00110892" w:rsidP="00110892">
      <w:pPr>
        <w:spacing w:line="360" w:lineRule="auto"/>
        <w:jc w:val="center"/>
        <w:rPr>
          <w:rFonts w:ascii="Bookman Old Style" w:hAnsi="Bookman Old Style"/>
          <w:lang w:val="es-ES"/>
        </w:rPr>
      </w:pPr>
      <w:r>
        <w:rPr>
          <w:rFonts w:ascii="Bookman Old Style" w:hAnsi="Bookman Old Style"/>
          <w:noProof/>
          <w:lang w:val="es-ES"/>
        </w:rPr>
        <w:drawing>
          <wp:inline distT="0" distB="0" distL="0" distR="0" wp14:anchorId="7D26A917" wp14:editId="4F31DC6D">
            <wp:extent cx="4038600" cy="607171"/>
            <wp:effectExtent l="0" t="0" r="0" b="254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consutla TSE.png"/>
                    <pic:cNvPicPr/>
                  </pic:nvPicPr>
                  <pic:blipFill>
                    <a:blip r:embed="rId8">
                      <a:extLst>
                        <a:ext uri="{28A0092B-C50C-407E-A947-70E740481C1C}">
                          <a14:useLocalDpi xmlns:a14="http://schemas.microsoft.com/office/drawing/2010/main" val="0"/>
                        </a:ext>
                      </a:extLst>
                    </a:blip>
                    <a:stretch>
                      <a:fillRect/>
                    </a:stretch>
                  </pic:blipFill>
                  <pic:spPr>
                    <a:xfrm>
                      <a:off x="0" y="0"/>
                      <a:ext cx="4272104" cy="642276"/>
                    </a:xfrm>
                    <a:prstGeom prst="rect">
                      <a:avLst/>
                    </a:prstGeom>
                  </pic:spPr>
                </pic:pic>
              </a:graphicData>
            </a:graphic>
          </wp:inline>
        </w:drawing>
      </w:r>
    </w:p>
    <w:p w:rsidR="00110892" w:rsidRDefault="00110892" w:rsidP="00110892">
      <w:pPr>
        <w:spacing w:line="360" w:lineRule="auto"/>
        <w:jc w:val="both"/>
        <w:rPr>
          <w:rFonts w:ascii="Bookman Old Style" w:hAnsi="Bookman Old Style"/>
          <w:lang w:val="es-ES"/>
        </w:rPr>
      </w:pPr>
    </w:p>
    <w:p w:rsidR="00B75C2B" w:rsidRDefault="00110892" w:rsidP="00110892">
      <w:pPr>
        <w:spacing w:line="360" w:lineRule="auto"/>
        <w:jc w:val="both"/>
        <w:rPr>
          <w:rFonts w:ascii="Bookman Old Style" w:hAnsi="Bookman Old Style"/>
          <w:lang w:val="es-ES"/>
        </w:rPr>
      </w:pPr>
      <w:r>
        <w:rPr>
          <w:rFonts w:ascii="Bookman Old Style" w:hAnsi="Bookman Old Style"/>
          <w:lang w:val="es-ES"/>
        </w:rPr>
        <w:t xml:space="preserve">5.2. En caso de ser procedente, la persona juzgadora </w:t>
      </w:r>
      <w:r w:rsidR="001907FC">
        <w:rPr>
          <w:rFonts w:ascii="Bookman Old Style" w:hAnsi="Bookman Old Style"/>
          <w:lang w:val="es-ES"/>
        </w:rPr>
        <w:t xml:space="preserve">o coordinadora judicial </w:t>
      </w:r>
      <w:r>
        <w:rPr>
          <w:rFonts w:ascii="Bookman Old Style" w:hAnsi="Bookman Old Style"/>
          <w:lang w:val="es-ES"/>
        </w:rPr>
        <w:t>accederá al sistema de consulta con el TSE, Información del Ciudadano, ingresará la cédula de identidad nacional de la persona requerida, y tomará solamente el dato de la dirección de la persona consultada donde diligenciar la notificación personal, copiando esa dirección y pegándola en el espacio privado de observaciones del Escritorio Virtual</w:t>
      </w:r>
      <w:r w:rsidR="00845814">
        <w:rPr>
          <w:rFonts w:ascii="Bookman Old Style" w:hAnsi="Bookman Old Style"/>
          <w:lang w:val="es-ES"/>
        </w:rPr>
        <w:t xml:space="preserve"> marcando el estado de la observación en terminado</w:t>
      </w:r>
      <w:r>
        <w:rPr>
          <w:rFonts w:ascii="Bookman Old Style" w:hAnsi="Bookman Old Style"/>
          <w:lang w:val="es-ES"/>
        </w:rPr>
        <w:t xml:space="preserve"> para ser devuelto el expediente a la persona técnica a fin de que continúe con el trámite respectivo del diligenciamiento de la notificación. En caso de fallas del Escritorio Virtual, también podrá remitirse a la persona técnica por el correo oficial institucional </w:t>
      </w:r>
      <w:r w:rsidR="00B75C2B">
        <w:rPr>
          <w:rFonts w:ascii="Bookman Old Style" w:hAnsi="Bookman Old Style"/>
          <w:lang w:val="es-ES"/>
        </w:rPr>
        <w:t xml:space="preserve">indicándole que son datos sensibles y confidenciales e </w:t>
      </w:r>
      <w:r>
        <w:rPr>
          <w:rFonts w:ascii="Bookman Old Style" w:hAnsi="Bookman Old Style"/>
          <w:lang w:val="es-ES"/>
        </w:rPr>
        <w:t>identificando el número de expediente.</w:t>
      </w:r>
    </w:p>
    <w:p w:rsidR="004453D0" w:rsidRDefault="00110892" w:rsidP="00110892">
      <w:pPr>
        <w:spacing w:line="360" w:lineRule="auto"/>
        <w:jc w:val="both"/>
        <w:rPr>
          <w:rFonts w:ascii="Bookman Old Style" w:hAnsi="Bookman Old Style" w:cs="Calibri"/>
          <w:color w:val="000000" w:themeColor="text1"/>
          <w:bdr w:val="none" w:sz="0" w:space="0" w:color="auto" w:frame="1"/>
          <w:lang w:val="es-ES"/>
        </w:rPr>
      </w:pPr>
      <w:r>
        <w:rPr>
          <w:rFonts w:ascii="Bookman Old Style" w:hAnsi="Bookman Old Style"/>
          <w:lang w:val="es-ES"/>
        </w:rPr>
        <w:t xml:space="preserve">5.3. </w:t>
      </w:r>
      <w:r w:rsidRPr="007603EA">
        <w:rPr>
          <w:rFonts w:ascii="Bookman Old Style" w:hAnsi="Bookman Old Style" w:cs="Calibri"/>
          <w:color w:val="000000" w:themeColor="text1"/>
          <w:bdr w:val="none" w:sz="0" w:space="0" w:color="auto" w:frame="1"/>
          <w:lang w:val="es-ES"/>
        </w:rPr>
        <w:t>Las consultas las harán de manera puntual</w:t>
      </w:r>
      <w:r>
        <w:rPr>
          <w:rFonts w:ascii="Bookman Old Style" w:hAnsi="Bookman Old Style" w:cs="Calibri"/>
          <w:color w:val="000000" w:themeColor="text1"/>
          <w:bdr w:val="none" w:sz="0" w:space="0" w:color="auto" w:frame="1"/>
          <w:lang w:val="es-ES"/>
        </w:rPr>
        <w:t>,</w:t>
      </w:r>
      <w:r w:rsidRPr="007603EA">
        <w:rPr>
          <w:rFonts w:ascii="Bookman Old Style" w:hAnsi="Bookman Old Style" w:cs="Calibri"/>
          <w:color w:val="000000" w:themeColor="text1"/>
          <w:bdr w:val="none" w:sz="0" w:space="0" w:color="auto" w:frame="1"/>
          <w:lang w:val="es-ES"/>
        </w:rPr>
        <w:t xml:space="preserve"> no masiva</w:t>
      </w:r>
      <w:r>
        <w:rPr>
          <w:rFonts w:ascii="Bookman Old Style" w:hAnsi="Bookman Old Style" w:cs="Calibri"/>
          <w:color w:val="000000" w:themeColor="text1"/>
          <w:bdr w:val="none" w:sz="0" w:space="0" w:color="auto" w:frame="1"/>
          <w:lang w:val="es-ES"/>
        </w:rPr>
        <w:t>,</w:t>
      </w:r>
      <w:r w:rsidRPr="007603EA">
        <w:rPr>
          <w:rFonts w:ascii="Bookman Old Style" w:hAnsi="Bookman Old Style" w:cs="Calibri"/>
          <w:color w:val="000000" w:themeColor="text1"/>
          <w:bdr w:val="none" w:sz="0" w:space="0" w:color="auto" w:frame="1"/>
          <w:lang w:val="es-ES"/>
        </w:rPr>
        <w:t xml:space="preserve"> y deberá </w:t>
      </w:r>
      <w:proofErr w:type="gramStart"/>
      <w:r w:rsidRPr="007603EA">
        <w:rPr>
          <w:rFonts w:ascii="Bookman Old Style" w:hAnsi="Bookman Old Style" w:cs="Calibri"/>
          <w:color w:val="000000" w:themeColor="text1"/>
          <w:bdr w:val="none" w:sz="0" w:space="0" w:color="auto" w:frame="1"/>
          <w:lang w:val="es-ES"/>
        </w:rPr>
        <w:t xml:space="preserve">responder  </w:t>
      </w:r>
      <w:r>
        <w:rPr>
          <w:rFonts w:ascii="Bookman Old Style" w:hAnsi="Bookman Old Style" w:cs="Calibri"/>
          <w:color w:val="000000" w:themeColor="text1"/>
          <w:bdr w:val="none" w:sz="0" w:space="0" w:color="auto" w:frame="1"/>
          <w:lang w:val="es-ES"/>
        </w:rPr>
        <w:t>al</w:t>
      </w:r>
      <w:proofErr w:type="gramEnd"/>
      <w:r w:rsidRPr="007603EA">
        <w:rPr>
          <w:rFonts w:ascii="Bookman Old Style" w:hAnsi="Bookman Old Style" w:cs="Calibri"/>
          <w:color w:val="000000" w:themeColor="text1"/>
          <w:bdr w:val="none" w:sz="0" w:space="0" w:color="auto" w:frame="1"/>
          <w:lang w:val="es-ES"/>
        </w:rPr>
        <w:t xml:space="preserve"> proceso judicial en concreto</w:t>
      </w:r>
      <w:r>
        <w:rPr>
          <w:rFonts w:ascii="Bookman Old Style" w:hAnsi="Bookman Old Style" w:cs="Calibri"/>
          <w:color w:val="000000" w:themeColor="text1"/>
          <w:bdr w:val="none" w:sz="0" w:space="0" w:color="auto" w:frame="1"/>
          <w:lang w:val="es-ES"/>
        </w:rPr>
        <w:t xml:space="preserve"> en el cual se gestionó por la parte interesada la solicitud de dirección de cuenta cedular para notificar personalmente las resoluciones que así lo merezcan según la Ley de Notificaciones Judiciales</w:t>
      </w:r>
      <w:r w:rsidRPr="007603EA">
        <w:rPr>
          <w:rFonts w:ascii="Bookman Old Style" w:hAnsi="Bookman Old Style" w:cs="Calibri"/>
          <w:color w:val="000000" w:themeColor="text1"/>
          <w:bdr w:val="none" w:sz="0" w:space="0" w:color="auto" w:frame="1"/>
          <w:lang w:val="es-ES"/>
        </w:rPr>
        <w:t xml:space="preserve">. Para cada consulta debe indicarse el número de cédula de la persona ciudadana a la cual pertenece la información que se consulta. El consultante deberá </w:t>
      </w:r>
      <w:proofErr w:type="gramStart"/>
      <w:r w:rsidRPr="007603EA">
        <w:rPr>
          <w:rFonts w:ascii="Bookman Old Style" w:hAnsi="Bookman Old Style" w:cs="Calibri"/>
          <w:color w:val="000000" w:themeColor="text1"/>
          <w:bdr w:val="none" w:sz="0" w:space="0" w:color="auto" w:frame="1"/>
          <w:lang w:val="es-ES"/>
        </w:rPr>
        <w:t>indicar</w:t>
      </w:r>
      <w:proofErr w:type="gramEnd"/>
      <w:r w:rsidRPr="007603EA">
        <w:rPr>
          <w:rFonts w:ascii="Bookman Old Style" w:hAnsi="Bookman Old Style" w:cs="Calibri"/>
          <w:color w:val="000000" w:themeColor="text1"/>
          <w:bdr w:val="none" w:sz="0" w:space="0" w:color="auto" w:frame="1"/>
          <w:lang w:val="es-ES"/>
        </w:rPr>
        <w:t xml:space="preserve"> además</w:t>
      </w:r>
      <w:r>
        <w:rPr>
          <w:rFonts w:ascii="Bookman Old Style" w:hAnsi="Bookman Old Style" w:cs="Calibri"/>
          <w:color w:val="000000" w:themeColor="text1"/>
          <w:bdr w:val="none" w:sz="0" w:space="0" w:color="auto" w:frame="1"/>
          <w:lang w:val="es-ES"/>
        </w:rPr>
        <w:t>,</w:t>
      </w:r>
      <w:r w:rsidRPr="007603EA">
        <w:rPr>
          <w:rFonts w:ascii="Bookman Old Style" w:hAnsi="Bookman Old Style" w:cs="Calibri"/>
          <w:color w:val="000000" w:themeColor="text1"/>
          <w:bdr w:val="none" w:sz="0" w:space="0" w:color="auto" w:frame="1"/>
          <w:lang w:val="es-ES"/>
        </w:rPr>
        <w:t xml:space="preserve"> el número de expediente judicial dentro del cual realiza la consulta</w:t>
      </w:r>
      <w:r>
        <w:rPr>
          <w:rFonts w:ascii="Bookman Old Style" w:hAnsi="Bookman Old Style" w:cs="Calibri"/>
          <w:color w:val="000000" w:themeColor="text1"/>
          <w:bdr w:val="none" w:sz="0" w:space="0" w:color="auto" w:frame="1"/>
          <w:lang w:val="es-ES"/>
        </w:rPr>
        <w:t>.</w:t>
      </w:r>
      <w:r w:rsidRPr="007603EA">
        <w:rPr>
          <w:rFonts w:ascii="Bookman Old Style" w:hAnsi="Bookman Old Style" w:cs="Calibri"/>
          <w:color w:val="000000" w:themeColor="text1"/>
          <w:bdr w:val="none" w:sz="0" w:space="0" w:color="auto" w:frame="1"/>
          <w:lang w:val="es-ES"/>
        </w:rPr>
        <w:t xml:space="preserve"> </w:t>
      </w:r>
    </w:p>
    <w:p w:rsidR="004453D0" w:rsidRDefault="00110892" w:rsidP="00110892">
      <w:pPr>
        <w:spacing w:line="360" w:lineRule="auto"/>
        <w:jc w:val="both"/>
        <w:rPr>
          <w:rFonts w:ascii="Bookman Old Style" w:hAnsi="Bookman Old Style"/>
          <w:lang w:val="es-ES"/>
        </w:rPr>
      </w:pPr>
      <w:r>
        <w:rPr>
          <w:rFonts w:ascii="Bookman Old Style" w:hAnsi="Bookman Old Style"/>
          <w:lang w:val="es-ES"/>
        </w:rPr>
        <w:t>5.</w:t>
      </w:r>
      <w:r w:rsidR="00DE72EB">
        <w:rPr>
          <w:rFonts w:ascii="Bookman Old Style" w:hAnsi="Bookman Old Style"/>
          <w:lang w:val="es-ES"/>
        </w:rPr>
        <w:t>4</w:t>
      </w:r>
      <w:r>
        <w:rPr>
          <w:rFonts w:ascii="Bookman Old Style" w:hAnsi="Bookman Old Style"/>
          <w:lang w:val="es-ES"/>
        </w:rPr>
        <w:t xml:space="preserve">. En ningún caso se subirá al expediente virtual, ni por toma de imagen, pantallazo, o forma análoga, </w:t>
      </w:r>
      <w:r w:rsidRPr="006C1D94">
        <w:rPr>
          <w:rFonts w:ascii="Bookman Old Style" w:hAnsi="Bookman Old Style"/>
          <w:lang w:val="es-ES"/>
        </w:rPr>
        <w:t>la fotografía</w:t>
      </w:r>
      <w:r>
        <w:rPr>
          <w:rFonts w:ascii="Bookman Old Style" w:hAnsi="Bookman Old Style"/>
          <w:lang w:val="es-ES"/>
        </w:rPr>
        <w:t xml:space="preserve"> de la persona a notificar</w:t>
      </w:r>
      <w:r w:rsidRPr="006C1D94">
        <w:rPr>
          <w:rFonts w:ascii="Bookman Old Style" w:hAnsi="Bookman Old Style"/>
          <w:lang w:val="es-ES"/>
        </w:rPr>
        <w:t xml:space="preserve">, </w:t>
      </w:r>
      <w:r>
        <w:rPr>
          <w:rFonts w:ascii="Bookman Old Style" w:hAnsi="Bookman Old Style"/>
          <w:lang w:val="es-ES"/>
        </w:rPr>
        <w:t xml:space="preserve">el </w:t>
      </w:r>
      <w:r w:rsidRPr="006C1D94">
        <w:rPr>
          <w:rFonts w:ascii="Bookman Old Style" w:hAnsi="Bookman Old Style"/>
          <w:lang w:val="es-ES"/>
        </w:rPr>
        <w:t>número de teléfono</w:t>
      </w:r>
      <w:r>
        <w:rPr>
          <w:rFonts w:ascii="Bookman Old Style" w:hAnsi="Bookman Old Style"/>
          <w:lang w:val="es-ES"/>
        </w:rPr>
        <w:t xml:space="preserve">, </w:t>
      </w:r>
      <w:r w:rsidRPr="006C1D94">
        <w:rPr>
          <w:rFonts w:ascii="Bookman Old Style" w:hAnsi="Bookman Old Style"/>
          <w:lang w:val="es-ES"/>
        </w:rPr>
        <w:t>firma</w:t>
      </w:r>
      <w:r>
        <w:rPr>
          <w:rFonts w:ascii="Bookman Old Style" w:hAnsi="Bookman Old Style"/>
          <w:lang w:val="es-ES"/>
        </w:rPr>
        <w:t xml:space="preserve">, ni cualquier otro dato </w:t>
      </w:r>
      <w:r w:rsidR="004453D0">
        <w:rPr>
          <w:rFonts w:ascii="Bookman Old Style" w:hAnsi="Bookman Old Style"/>
          <w:lang w:val="es-ES"/>
        </w:rPr>
        <w:t xml:space="preserve">sensible </w:t>
      </w:r>
      <w:r>
        <w:rPr>
          <w:rFonts w:ascii="Bookman Old Style" w:hAnsi="Bookman Old Style"/>
          <w:lang w:val="es-ES"/>
        </w:rPr>
        <w:t xml:space="preserve">que no sea requerido para los fines de la notificación personal solicitada. </w:t>
      </w:r>
    </w:p>
    <w:p w:rsidR="00110892" w:rsidRDefault="00110892" w:rsidP="00110892">
      <w:pPr>
        <w:spacing w:line="360" w:lineRule="auto"/>
        <w:jc w:val="both"/>
        <w:rPr>
          <w:rFonts w:ascii="Bookman Old Style" w:hAnsi="Bookman Old Style"/>
          <w:lang w:val="es-ES"/>
        </w:rPr>
      </w:pPr>
      <w:r>
        <w:rPr>
          <w:rFonts w:ascii="Bookman Old Style" w:hAnsi="Bookman Old Style"/>
          <w:lang w:val="es-ES"/>
        </w:rPr>
        <w:t>5.</w:t>
      </w:r>
      <w:r w:rsidR="00DE72EB">
        <w:rPr>
          <w:rFonts w:ascii="Bookman Old Style" w:hAnsi="Bookman Old Style"/>
          <w:lang w:val="es-ES"/>
        </w:rPr>
        <w:t>5</w:t>
      </w:r>
      <w:r>
        <w:rPr>
          <w:rFonts w:ascii="Bookman Old Style" w:hAnsi="Bookman Old Style"/>
          <w:lang w:val="es-ES"/>
        </w:rPr>
        <w:t xml:space="preserve">. En lo que sea compatible con este procedimiento y supresión de datos, también se aplicará lo anterior al “Uso de la Consulta Electrónica de Extranjeros” de la Dirección General de Migración y Extranjería para notificar personalmente a la persona extranjera residente cuando sea requerido por la parte interesada y sea procedente dicha forma de notificación, en cuyo caso, de igual manera, no se deberá expedir oficio a la Dirección General de Migración y Extranjería, sino que deberá utilizarse la plataforma de consulta con dicha Dirección. </w:t>
      </w:r>
    </w:p>
    <w:p w:rsidR="00110892" w:rsidRDefault="00110892" w:rsidP="00110892">
      <w:pPr>
        <w:spacing w:line="360" w:lineRule="auto"/>
        <w:jc w:val="both"/>
        <w:rPr>
          <w:rFonts w:ascii="Bookman Old Style" w:hAnsi="Bookman Old Style"/>
          <w:lang w:val="es-ES"/>
        </w:rPr>
      </w:pPr>
      <w:r>
        <w:rPr>
          <w:rFonts w:ascii="Bookman Old Style" w:hAnsi="Bookman Old Style"/>
          <w:lang w:val="es-ES"/>
        </w:rPr>
        <w:t>5.</w:t>
      </w:r>
      <w:r w:rsidR="00DE72EB">
        <w:rPr>
          <w:rFonts w:ascii="Bookman Old Style" w:hAnsi="Bookman Old Style"/>
          <w:lang w:val="es-ES"/>
        </w:rPr>
        <w:t>6</w:t>
      </w:r>
      <w:r>
        <w:rPr>
          <w:rFonts w:ascii="Bookman Old Style" w:hAnsi="Bookman Old Style"/>
          <w:lang w:val="es-ES"/>
        </w:rPr>
        <w:t xml:space="preserve">. Para solicitar los permisos de este último sistema de consulta de la Dirección General de Migración y Extranjería, deberán los despachos de sujetarse a lo indicado por la circular de la Dirección Ejecutiva 99-2020, de la cual se adjunta el </w:t>
      </w:r>
      <w:proofErr w:type="gramStart"/>
      <w:r>
        <w:rPr>
          <w:rFonts w:ascii="Bookman Old Style" w:hAnsi="Bookman Old Style"/>
          <w:lang w:val="es-ES"/>
        </w:rPr>
        <w:t>link</w:t>
      </w:r>
      <w:proofErr w:type="gramEnd"/>
      <w:r>
        <w:rPr>
          <w:rFonts w:ascii="Bookman Old Style" w:hAnsi="Bookman Old Style"/>
          <w:lang w:val="es-ES"/>
        </w:rPr>
        <w:t xml:space="preserve"> de acceso</w:t>
      </w:r>
      <w:r w:rsidRPr="00BB42BC">
        <w:rPr>
          <w:rFonts w:ascii="Bookman Old Style" w:hAnsi="Bookman Old Style"/>
          <w:lang w:val="es-ES"/>
        </w:rPr>
        <w:t xml:space="preserve">:   </w:t>
      </w:r>
      <w:hyperlink r:id="rId9" w:history="1">
        <w:r w:rsidRPr="00BB42BC">
          <w:rPr>
            <w:rStyle w:val="Hipervnculo"/>
            <w:rFonts w:ascii="Bookman Old Style" w:hAnsi="Bookman Old Style"/>
          </w:rPr>
          <w:t>Poder Judicial (poder-judicial.go.cr)</w:t>
        </w:r>
      </w:hyperlink>
      <w:r w:rsidR="00BB42BC">
        <w:rPr>
          <w:rStyle w:val="Hipervnculo"/>
          <w:rFonts w:ascii="Bookman Old Style" w:hAnsi="Bookman Old Style"/>
        </w:rPr>
        <w:t>.</w:t>
      </w:r>
    </w:p>
    <w:p w:rsidR="00110892" w:rsidRDefault="00110892" w:rsidP="00110892">
      <w:pPr>
        <w:spacing w:line="360" w:lineRule="auto"/>
        <w:jc w:val="both"/>
        <w:rPr>
          <w:rFonts w:ascii="Bookman Old Style" w:hAnsi="Bookman Old Style"/>
          <w:lang w:val="es-ES"/>
        </w:rPr>
      </w:pPr>
    </w:p>
    <w:bookmarkEnd w:id="0"/>
    <w:p w:rsidR="007344FE" w:rsidRDefault="007344FE" w:rsidP="00110892">
      <w:pPr>
        <w:jc w:val="both"/>
      </w:pPr>
    </w:p>
    <w:sectPr w:rsidR="007344FE">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1B10" w:rsidRDefault="000B1B10">
      <w:pPr>
        <w:spacing w:after="0" w:line="240" w:lineRule="auto"/>
      </w:pPr>
      <w:r>
        <w:separator/>
      </w:r>
    </w:p>
  </w:endnote>
  <w:endnote w:type="continuationSeparator" w:id="0">
    <w:p w:rsidR="000B1B10" w:rsidRDefault="000B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9667065"/>
      <w:docPartObj>
        <w:docPartGallery w:val="Page Numbers (Bottom of Page)"/>
        <w:docPartUnique/>
      </w:docPartObj>
    </w:sdtPr>
    <w:sdtContent>
      <w:p w:rsidR="00000000" w:rsidRDefault="00AB0DC3">
        <w:pPr>
          <w:pStyle w:val="Piedepgina"/>
          <w:jc w:val="right"/>
        </w:pPr>
        <w:r>
          <w:fldChar w:fldCharType="begin"/>
        </w:r>
        <w:r>
          <w:instrText>PAGE   \* MERGEFORMAT</w:instrText>
        </w:r>
        <w:r>
          <w:fldChar w:fldCharType="separate"/>
        </w:r>
        <w:r>
          <w:rPr>
            <w:lang w:val="es-ES"/>
          </w:rPr>
          <w:t>2</w:t>
        </w:r>
        <w:r>
          <w:fldChar w:fldCharType="end"/>
        </w:r>
      </w:p>
    </w:sdtContent>
  </w:sdt>
  <w:p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1B10" w:rsidRDefault="000B1B10">
      <w:pPr>
        <w:spacing w:after="0" w:line="240" w:lineRule="auto"/>
      </w:pPr>
      <w:r>
        <w:separator/>
      </w:r>
    </w:p>
  </w:footnote>
  <w:footnote w:type="continuationSeparator" w:id="0">
    <w:p w:rsidR="000B1B10" w:rsidRDefault="000B1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8B51D5"/>
    <w:multiLevelType w:val="multilevel"/>
    <w:tmpl w:val="323C9D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221863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92"/>
    <w:rsid w:val="000B1B10"/>
    <w:rsid w:val="00110892"/>
    <w:rsid w:val="001907FC"/>
    <w:rsid w:val="002172CC"/>
    <w:rsid w:val="002C718E"/>
    <w:rsid w:val="003939E6"/>
    <w:rsid w:val="00442256"/>
    <w:rsid w:val="004453D0"/>
    <w:rsid w:val="007344FE"/>
    <w:rsid w:val="00845814"/>
    <w:rsid w:val="00A1301C"/>
    <w:rsid w:val="00A429F8"/>
    <w:rsid w:val="00AB0DC3"/>
    <w:rsid w:val="00AF359B"/>
    <w:rsid w:val="00B75C2B"/>
    <w:rsid w:val="00BB42BC"/>
    <w:rsid w:val="00C07418"/>
    <w:rsid w:val="00CF228B"/>
    <w:rsid w:val="00DB41C3"/>
    <w:rsid w:val="00DE72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0D43"/>
  <w15:chartTrackingRefBased/>
  <w15:docId w15:val="{DBD9BF47-6092-4407-9840-550F8BE8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8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1089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110892"/>
    <w:pPr>
      <w:ind w:left="720"/>
      <w:contextualSpacing/>
    </w:pPr>
  </w:style>
  <w:style w:type="character" w:styleId="Hipervnculo">
    <w:name w:val="Hyperlink"/>
    <w:basedOn w:val="Fuentedeprrafopredeter"/>
    <w:uiPriority w:val="99"/>
    <w:unhideWhenUsed/>
    <w:rsid w:val="00110892"/>
    <w:rPr>
      <w:color w:val="0000FF"/>
      <w:u w:val="single"/>
    </w:rPr>
  </w:style>
  <w:style w:type="paragraph" w:styleId="Piedepgina">
    <w:name w:val="footer"/>
    <w:basedOn w:val="Normal"/>
    <w:link w:val="PiedepginaCar"/>
    <w:uiPriority w:val="99"/>
    <w:unhideWhenUsed/>
    <w:rsid w:val="001108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0892"/>
  </w:style>
  <w:style w:type="character" w:styleId="Refdecomentario">
    <w:name w:val="annotation reference"/>
    <w:basedOn w:val="Fuentedeprrafopredeter"/>
    <w:uiPriority w:val="99"/>
    <w:semiHidden/>
    <w:unhideWhenUsed/>
    <w:rsid w:val="00110892"/>
    <w:rPr>
      <w:sz w:val="16"/>
      <w:szCs w:val="16"/>
    </w:rPr>
  </w:style>
  <w:style w:type="paragraph" w:styleId="Textocomentario">
    <w:name w:val="annotation text"/>
    <w:basedOn w:val="Normal"/>
    <w:link w:val="TextocomentarioCar"/>
    <w:uiPriority w:val="99"/>
    <w:unhideWhenUsed/>
    <w:rsid w:val="00110892"/>
    <w:pPr>
      <w:spacing w:line="240" w:lineRule="auto"/>
    </w:pPr>
    <w:rPr>
      <w:sz w:val="20"/>
      <w:szCs w:val="20"/>
    </w:rPr>
  </w:style>
  <w:style w:type="character" w:customStyle="1" w:styleId="TextocomentarioCar">
    <w:name w:val="Texto comentario Car"/>
    <w:basedOn w:val="Fuentedeprrafopredeter"/>
    <w:link w:val="Textocomentario"/>
    <w:uiPriority w:val="99"/>
    <w:rsid w:val="00110892"/>
    <w:rPr>
      <w:sz w:val="20"/>
      <w:szCs w:val="20"/>
    </w:rPr>
  </w:style>
  <w:style w:type="paragraph" w:styleId="Textodeglobo">
    <w:name w:val="Balloon Text"/>
    <w:basedOn w:val="Normal"/>
    <w:link w:val="TextodegloboCar"/>
    <w:uiPriority w:val="99"/>
    <w:semiHidden/>
    <w:unhideWhenUsed/>
    <w:rsid w:val="001108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89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F359B"/>
    <w:rPr>
      <w:b/>
      <w:bCs/>
    </w:rPr>
  </w:style>
  <w:style w:type="character" w:customStyle="1" w:styleId="AsuntodelcomentarioCar">
    <w:name w:val="Asunto del comentario Car"/>
    <w:basedOn w:val="TextocomentarioCar"/>
    <w:link w:val="Asuntodelcomentario"/>
    <w:uiPriority w:val="99"/>
    <w:semiHidden/>
    <w:rsid w:val="00AF359B"/>
    <w:rPr>
      <w:b/>
      <w:bCs/>
      <w:sz w:val="20"/>
      <w:szCs w:val="20"/>
    </w:rPr>
  </w:style>
  <w:style w:type="character" w:styleId="Mencinsinresolver">
    <w:name w:val="Unresolved Mention"/>
    <w:basedOn w:val="Fuentedeprrafopredeter"/>
    <w:uiPriority w:val="99"/>
    <w:semiHidden/>
    <w:unhideWhenUsed/>
    <w:rsid w:val="00BB4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raestructurati@tse.go.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exuspj.poder-judicial.go.cr/document/avi-1-0117-69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1838</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Delgado Sánchez</dc:creator>
  <cp:keywords/>
  <dc:description/>
  <cp:lastModifiedBy>Secretaría General de la Corte- Comunicaciones-Bryan Leitón Sanchez</cp:lastModifiedBy>
  <cp:revision>1</cp:revision>
  <dcterms:created xsi:type="dcterms:W3CDTF">2024-04-02T17:21:00Z</dcterms:created>
  <dcterms:modified xsi:type="dcterms:W3CDTF">2024-04-02T17:21:00Z</dcterms:modified>
</cp:coreProperties>
</file>