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F3E74" w14:textId="551BAA3A" w:rsidR="004C26F2" w:rsidRPr="00F412FC" w:rsidRDefault="006031C3" w:rsidP="006B7CBA">
      <w:pPr>
        <w:pStyle w:val="FUENTES"/>
        <w:spacing w:after="0" w:line="276" w:lineRule="auto"/>
        <w:jc w:val="right"/>
        <w:rPr>
          <w:rFonts w:ascii="Book Antiqua" w:hAnsi="Book Antiqua" w:cs="Book Antiqua"/>
          <w:b w:val="0"/>
          <w:bCs w:val="0"/>
          <w:sz w:val="24"/>
          <w:szCs w:val="24"/>
          <w:lang w:val="es-CR"/>
        </w:rPr>
      </w:pPr>
      <w:r>
        <w:rPr>
          <w:rFonts w:ascii="Book Antiqua" w:hAnsi="Book Antiqua" w:cs="Book Antiqua"/>
          <w:b w:val="0"/>
          <w:bCs w:val="0"/>
          <w:sz w:val="24"/>
          <w:szCs w:val="24"/>
          <w:lang w:val="es-CR"/>
        </w:rPr>
        <w:t>1052</w:t>
      </w:r>
      <w:r w:rsidR="004C26F2" w:rsidRPr="00F412FC">
        <w:rPr>
          <w:rFonts w:ascii="Book Antiqua" w:hAnsi="Book Antiqua" w:cs="Book Antiqua"/>
          <w:b w:val="0"/>
          <w:bCs w:val="0"/>
          <w:sz w:val="24"/>
          <w:szCs w:val="24"/>
          <w:lang w:val="es-CR"/>
        </w:rPr>
        <w:t>-PLA-EV-202</w:t>
      </w:r>
      <w:r w:rsidR="00C9353C" w:rsidRPr="00F412FC">
        <w:rPr>
          <w:rFonts w:ascii="Book Antiqua" w:hAnsi="Book Antiqua" w:cs="Book Antiqua"/>
          <w:b w:val="0"/>
          <w:bCs w:val="0"/>
          <w:sz w:val="24"/>
          <w:szCs w:val="24"/>
          <w:lang w:val="es-CR"/>
        </w:rPr>
        <w:t>3</w:t>
      </w:r>
    </w:p>
    <w:p w14:paraId="077BAD01" w14:textId="27298011" w:rsidR="004C26F2" w:rsidRPr="00F412FC" w:rsidRDefault="004C26F2" w:rsidP="006B7CBA">
      <w:pPr>
        <w:widowControl w:val="0"/>
        <w:spacing w:after="0"/>
        <w:jc w:val="right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z w:val="24"/>
          <w:szCs w:val="24"/>
        </w:rPr>
        <w:t xml:space="preserve">Ref. SICE: </w:t>
      </w:r>
      <w:r w:rsidR="00921412" w:rsidRPr="00F412FC">
        <w:rPr>
          <w:rFonts w:ascii="Book Antiqua" w:hAnsi="Book Antiqua" w:cs="Book Antiqua"/>
          <w:sz w:val="24"/>
          <w:szCs w:val="24"/>
        </w:rPr>
        <w:t>2505</w:t>
      </w:r>
      <w:r w:rsidRPr="00F412FC">
        <w:rPr>
          <w:rFonts w:ascii="Book Antiqua" w:hAnsi="Book Antiqua" w:cs="Book Antiqua"/>
          <w:sz w:val="24"/>
          <w:szCs w:val="24"/>
        </w:rPr>
        <w:t>-202</w:t>
      </w:r>
      <w:r w:rsidR="00C9353C" w:rsidRPr="00F412FC">
        <w:rPr>
          <w:rFonts w:ascii="Book Antiqua" w:hAnsi="Book Antiqua" w:cs="Book Antiqua"/>
          <w:sz w:val="24"/>
          <w:szCs w:val="24"/>
        </w:rPr>
        <w:t>3</w:t>
      </w:r>
    </w:p>
    <w:p w14:paraId="2EA8B011" w14:textId="4E4D78BF" w:rsidR="004C26F2" w:rsidRPr="00F412FC" w:rsidRDefault="00183067" w:rsidP="004C26F2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26</w:t>
      </w:r>
      <w:r w:rsidR="004C26F2" w:rsidRPr="00F412FC">
        <w:rPr>
          <w:rFonts w:ascii="Book Antiqua" w:hAnsi="Book Antiqua" w:cs="Book Antiqua"/>
          <w:snapToGrid w:val="0"/>
          <w:sz w:val="24"/>
          <w:szCs w:val="24"/>
        </w:rPr>
        <w:t xml:space="preserve"> de </w:t>
      </w:r>
      <w:r w:rsidR="00C9353C" w:rsidRPr="00F412FC">
        <w:rPr>
          <w:rFonts w:ascii="Book Antiqua" w:hAnsi="Book Antiqua" w:cs="Book Antiqua"/>
          <w:snapToGrid w:val="0"/>
          <w:sz w:val="24"/>
          <w:szCs w:val="24"/>
        </w:rPr>
        <w:t>setiembre</w:t>
      </w:r>
      <w:r w:rsidR="004C26F2" w:rsidRPr="00F412FC">
        <w:rPr>
          <w:rFonts w:ascii="Book Antiqua" w:hAnsi="Book Antiqua" w:cs="Book Antiqua"/>
          <w:snapToGrid w:val="0"/>
          <w:sz w:val="24"/>
          <w:szCs w:val="24"/>
        </w:rPr>
        <w:t xml:space="preserve"> del 202</w:t>
      </w:r>
      <w:r w:rsidR="00C9353C" w:rsidRPr="00F412FC">
        <w:rPr>
          <w:rFonts w:ascii="Book Antiqua" w:hAnsi="Book Antiqua" w:cs="Book Antiqua"/>
          <w:snapToGrid w:val="0"/>
          <w:sz w:val="24"/>
          <w:szCs w:val="24"/>
        </w:rPr>
        <w:t>3</w:t>
      </w:r>
    </w:p>
    <w:p w14:paraId="0C5E1A4D" w14:textId="77777777" w:rsidR="004C26F2" w:rsidRPr="00F412FC" w:rsidRDefault="004C26F2" w:rsidP="004C26F2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</w:p>
    <w:p w14:paraId="65465CDA" w14:textId="77777777" w:rsidR="00C71E13" w:rsidRPr="00F412FC" w:rsidRDefault="004C26F2" w:rsidP="006B7CBA">
      <w:pPr>
        <w:widowControl w:val="0"/>
        <w:spacing w:after="0" w:line="240" w:lineRule="auto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Licenciada</w:t>
      </w:r>
    </w:p>
    <w:p w14:paraId="2139BE83" w14:textId="53044134" w:rsidR="004C26F2" w:rsidRPr="00F412FC" w:rsidRDefault="004C26F2" w:rsidP="006B7CBA">
      <w:pPr>
        <w:widowControl w:val="0"/>
        <w:spacing w:after="0" w:line="240" w:lineRule="auto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Silvia Navarro Romanini</w:t>
      </w:r>
    </w:p>
    <w:p w14:paraId="3F4E6987" w14:textId="77777777" w:rsidR="004C26F2" w:rsidRPr="00F412FC" w:rsidRDefault="004C26F2" w:rsidP="006B7CBA">
      <w:pPr>
        <w:widowControl w:val="0"/>
        <w:spacing w:after="0" w:line="240" w:lineRule="auto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Secretaría General de la Corte</w:t>
      </w:r>
    </w:p>
    <w:p w14:paraId="3E3333E3" w14:textId="77777777" w:rsidR="004C26F2" w:rsidRPr="00F412FC" w:rsidRDefault="004C26F2" w:rsidP="006B7CBA">
      <w:pPr>
        <w:widowControl w:val="0"/>
        <w:spacing w:after="0"/>
        <w:rPr>
          <w:rFonts w:ascii="Book Antiqua" w:hAnsi="Book Antiqua" w:cs="Book Antiqua"/>
          <w:snapToGrid w:val="0"/>
          <w:sz w:val="24"/>
          <w:szCs w:val="24"/>
        </w:rPr>
      </w:pPr>
    </w:p>
    <w:p w14:paraId="4D5A6F1E" w14:textId="77777777" w:rsidR="004C26F2" w:rsidRPr="00F412FC" w:rsidRDefault="004C26F2" w:rsidP="004C26F2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</w:p>
    <w:p w14:paraId="2165C211" w14:textId="77777777" w:rsidR="004C26F2" w:rsidRPr="00F412FC" w:rsidRDefault="004C26F2" w:rsidP="004C26F2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Estimada señora:</w:t>
      </w:r>
    </w:p>
    <w:p w14:paraId="57D2DCCB" w14:textId="77777777" w:rsidR="004C26F2" w:rsidRPr="00F412FC" w:rsidRDefault="004C26F2" w:rsidP="004C26F2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</w:p>
    <w:p w14:paraId="2F8A16F2" w14:textId="2255AA3D" w:rsidR="007E30F6" w:rsidRPr="00F412FC" w:rsidRDefault="004C26F2" w:rsidP="003C79C3">
      <w:pPr>
        <w:tabs>
          <w:tab w:val="center" w:pos="4252"/>
          <w:tab w:val="right" w:pos="8504"/>
        </w:tabs>
        <w:jc w:val="both"/>
        <w:rPr>
          <w:rFonts w:ascii="Book Antiqua" w:hAnsi="Book Antiqua" w:cs="Arial"/>
          <w:snapToGrid w:val="0"/>
          <w:sz w:val="24"/>
          <w:szCs w:val="24"/>
        </w:rPr>
      </w:pPr>
      <w:r w:rsidRPr="00F412FC">
        <w:rPr>
          <w:rFonts w:ascii="Book Antiqua" w:hAnsi="Book Antiqua" w:cs="Arial"/>
          <w:snapToGrid w:val="0"/>
          <w:sz w:val="24"/>
          <w:szCs w:val="24"/>
        </w:rPr>
        <w:t xml:space="preserve">En relación con el informe </w:t>
      </w:r>
      <w:bookmarkStart w:id="0" w:name="_Hlk92877979"/>
      <w:bookmarkEnd w:id="0"/>
      <w:r w:rsidR="00C9353C" w:rsidRPr="00F412FC">
        <w:rPr>
          <w:rFonts w:ascii="Book Antiqua" w:hAnsi="Book Antiqua" w:cs="Arial"/>
          <w:b/>
          <w:bCs/>
          <w:snapToGrid w:val="0"/>
          <w:sz w:val="24"/>
          <w:szCs w:val="24"/>
        </w:rPr>
        <w:t>1031</w:t>
      </w:r>
      <w:r w:rsidRPr="00F412FC">
        <w:rPr>
          <w:rFonts w:ascii="Book Antiqua" w:hAnsi="Book Antiqua" w:cs="Arial"/>
          <w:b/>
          <w:bCs/>
          <w:snapToGrid w:val="0"/>
          <w:sz w:val="24"/>
          <w:szCs w:val="24"/>
        </w:rPr>
        <w:t>-PLA-EV-202</w:t>
      </w:r>
      <w:r w:rsidR="00C9353C" w:rsidRPr="00F412FC">
        <w:rPr>
          <w:rFonts w:ascii="Book Antiqua" w:hAnsi="Book Antiqua" w:cs="Arial"/>
          <w:b/>
          <w:bCs/>
          <w:snapToGrid w:val="0"/>
          <w:sz w:val="24"/>
          <w:szCs w:val="24"/>
        </w:rPr>
        <w:t>3</w:t>
      </w:r>
      <w:r w:rsidRPr="00F412FC">
        <w:rPr>
          <w:rFonts w:ascii="Book Antiqua" w:hAnsi="Book Antiqua" w:cs="Arial"/>
          <w:snapToGrid w:val="0"/>
          <w:sz w:val="24"/>
          <w:szCs w:val="24"/>
        </w:rPr>
        <w:t xml:space="preserve"> de fecha </w:t>
      </w:r>
      <w:r w:rsidR="00C9353C" w:rsidRPr="00F412FC">
        <w:rPr>
          <w:rFonts w:ascii="Book Antiqua" w:hAnsi="Book Antiqua" w:cs="Arial"/>
          <w:snapToGrid w:val="0"/>
          <w:sz w:val="24"/>
          <w:szCs w:val="24"/>
        </w:rPr>
        <w:t>20</w:t>
      </w:r>
      <w:r w:rsidRPr="00F412FC">
        <w:rPr>
          <w:rFonts w:ascii="Book Antiqua" w:hAnsi="Book Antiqua" w:cs="Arial"/>
          <w:snapToGrid w:val="0"/>
          <w:sz w:val="24"/>
          <w:szCs w:val="24"/>
        </w:rPr>
        <w:t xml:space="preserve"> de </w:t>
      </w:r>
      <w:r w:rsidR="00C9353C" w:rsidRPr="00F412FC">
        <w:rPr>
          <w:rFonts w:ascii="Book Antiqua" w:hAnsi="Book Antiqua" w:cs="Arial"/>
          <w:snapToGrid w:val="0"/>
          <w:sz w:val="24"/>
          <w:szCs w:val="24"/>
        </w:rPr>
        <w:t>setiembre</w:t>
      </w:r>
      <w:r w:rsidRPr="00F412FC">
        <w:rPr>
          <w:rFonts w:ascii="Book Antiqua" w:hAnsi="Book Antiqua" w:cs="Arial"/>
          <w:snapToGrid w:val="0"/>
          <w:sz w:val="24"/>
          <w:szCs w:val="24"/>
        </w:rPr>
        <w:t xml:space="preserve"> del 202</w:t>
      </w:r>
      <w:r w:rsidR="00C9353C" w:rsidRPr="00F412FC">
        <w:rPr>
          <w:rFonts w:ascii="Book Antiqua" w:hAnsi="Book Antiqua" w:cs="Arial"/>
          <w:snapToGrid w:val="0"/>
          <w:sz w:val="24"/>
          <w:szCs w:val="24"/>
        </w:rPr>
        <w:t>3</w:t>
      </w:r>
      <w:r w:rsidRPr="00F412FC">
        <w:rPr>
          <w:rFonts w:ascii="Book Antiqua" w:hAnsi="Book Antiqua" w:cs="Arial"/>
          <w:snapToGrid w:val="0"/>
          <w:sz w:val="24"/>
          <w:szCs w:val="24"/>
        </w:rPr>
        <w:t xml:space="preserve">, suscrito por la Inga. Elena Gabriela Picado González, </w:t>
      </w:r>
      <w:proofErr w:type="gramStart"/>
      <w:r w:rsidRPr="00F412FC">
        <w:rPr>
          <w:rFonts w:ascii="Book Antiqua" w:hAnsi="Book Antiqua" w:cs="Arial"/>
          <w:snapToGrid w:val="0"/>
          <w:sz w:val="24"/>
          <w:szCs w:val="24"/>
        </w:rPr>
        <w:t>Jefa</w:t>
      </w:r>
      <w:proofErr w:type="gramEnd"/>
      <w:r w:rsidRPr="00F412FC">
        <w:rPr>
          <w:rFonts w:ascii="Book Antiqua" w:hAnsi="Book Antiqua" w:cs="Arial"/>
          <w:snapToGrid w:val="0"/>
          <w:sz w:val="24"/>
          <w:szCs w:val="24"/>
        </w:rPr>
        <w:t xml:space="preserve"> a.i. del Subproceso de Evaluación, relacionado con </w:t>
      </w:r>
      <w:r w:rsidR="00C9353C" w:rsidRPr="00F412FC">
        <w:rPr>
          <w:rFonts w:ascii="Book Antiqua" w:hAnsi="Book Antiqua" w:cs="Arial"/>
          <w:snapToGrid w:val="0"/>
          <w:sz w:val="24"/>
          <w:szCs w:val="24"/>
        </w:rPr>
        <w:t>el</w:t>
      </w:r>
      <w:r w:rsidR="002F4ED6" w:rsidRPr="00F412FC">
        <w:rPr>
          <w:rFonts w:ascii="Book Antiqua" w:hAnsi="Book Antiqua" w:cs="Arial"/>
          <w:snapToGrid w:val="0"/>
          <w:sz w:val="24"/>
          <w:szCs w:val="24"/>
        </w:rPr>
        <w:t xml:space="preserve"> </w:t>
      </w:r>
      <w:r w:rsidR="00C9353C" w:rsidRPr="00F412FC">
        <w:rPr>
          <w:rFonts w:ascii="Book Antiqua" w:hAnsi="Book Antiqua" w:cs="Arial"/>
          <w:snapToGrid w:val="0"/>
          <w:sz w:val="24"/>
          <w:szCs w:val="24"/>
        </w:rPr>
        <w:t>seguimiento</w:t>
      </w:r>
      <w:r w:rsidR="00630D22" w:rsidRPr="00F412FC">
        <w:rPr>
          <w:rFonts w:ascii="Book Antiqua" w:hAnsi="Book Antiqua" w:cs="Arial"/>
          <w:snapToGrid w:val="0"/>
          <w:sz w:val="24"/>
          <w:szCs w:val="24"/>
        </w:rPr>
        <w:t xml:space="preserve"> a los Planes Anuales Operativos 2023</w:t>
      </w:r>
      <w:r w:rsidR="00AF489C" w:rsidRPr="00F412FC">
        <w:rPr>
          <w:rFonts w:ascii="Book Antiqua" w:hAnsi="Book Antiqua" w:cs="Arial"/>
          <w:color w:val="000000"/>
          <w:sz w:val="24"/>
          <w:szCs w:val="24"/>
        </w:rPr>
        <w:t xml:space="preserve">, </w:t>
      </w:r>
      <w:r w:rsidR="006E3068" w:rsidRPr="00F412FC">
        <w:rPr>
          <w:rFonts w:ascii="Book Antiqua" w:hAnsi="Book Antiqua" w:cs="Arial"/>
          <w:color w:val="000000"/>
          <w:sz w:val="24"/>
          <w:szCs w:val="24"/>
        </w:rPr>
        <w:t xml:space="preserve">y con base </w:t>
      </w:r>
      <w:r w:rsidR="00D135ED" w:rsidRPr="00F412FC">
        <w:rPr>
          <w:rFonts w:ascii="Book Antiqua" w:hAnsi="Book Antiqua" w:cs="Arial"/>
          <w:color w:val="000000"/>
          <w:sz w:val="24"/>
          <w:szCs w:val="24"/>
        </w:rPr>
        <w:t>en e</w:t>
      </w:r>
      <w:r w:rsidR="006E3068" w:rsidRPr="00F412FC">
        <w:rPr>
          <w:rFonts w:ascii="Book Antiqua" w:hAnsi="Book Antiqua" w:cs="Arial"/>
          <w:color w:val="000000"/>
          <w:sz w:val="24"/>
          <w:szCs w:val="24"/>
        </w:rPr>
        <w:t xml:space="preserve">l correo </w:t>
      </w:r>
      <w:r w:rsidR="00C33EF4" w:rsidRPr="00F412FC">
        <w:rPr>
          <w:rFonts w:ascii="Book Antiqua" w:hAnsi="Book Antiqua" w:cs="Arial"/>
          <w:color w:val="000000"/>
          <w:sz w:val="24"/>
          <w:szCs w:val="24"/>
        </w:rPr>
        <w:t>electrónico</w:t>
      </w:r>
      <w:r w:rsidR="006E3068" w:rsidRPr="00F412FC">
        <w:rPr>
          <w:rFonts w:ascii="Book Antiqua" w:hAnsi="Book Antiqua" w:cs="Arial"/>
          <w:color w:val="000000"/>
          <w:sz w:val="24"/>
          <w:szCs w:val="24"/>
        </w:rPr>
        <w:t xml:space="preserve"> </w:t>
      </w:r>
      <w:r w:rsidR="003C79C3" w:rsidRPr="00F412FC">
        <w:rPr>
          <w:rFonts w:ascii="Book Antiqua" w:hAnsi="Book Antiqua" w:cs="Arial"/>
          <w:color w:val="000000"/>
          <w:sz w:val="24"/>
          <w:szCs w:val="24"/>
        </w:rPr>
        <w:t xml:space="preserve">de </w:t>
      </w:r>
      <w:r w:rsidR="005215F6" w:rsidRPr="00F412FC">
        <w:rPr>
          <w:rFonts w:ascii="Book Antiqua" w:hAnsi="Book Antiqua" w:cs="Arial"/>
          <w:color w:val="000000"/>
          <w:sz w:val="24"/>
          <w:szCs w:val="24"/>
        </w:rPr>
        <w:t xml:space="preserve">don Kenneth Muñoz </w:t>
      </w:r>
      <w:r w:rsidR="00C92BB0" w:rsidRPr="00F412FC">
        <w:rPr>
          <w:rFonts w:ascii="Book Antiqua" w:hAnsi="Book Antiqua" w:cs="Arial"/>
          <w:color w:val="000000"/>
          <w:sz w:val="24"/>
          <w:szCs w:val="24"/>
        </w:rPr>
        <w:t>Rojas,</w:t>
      </w:r>
      <w:r w:rsidR="003C79C3" w:rsidRPr="00F412FC">
        <w:rPr>
          <w:rFonts w:ascii="Book Antiqua" w:hAnsi="Book Antiqua" w:cs="Arial"/>
          <w:color w:val="000000"/>
          <w:sz w:val="24"/>
          <w:szCs w:val="24"/>
        </w:rPr>
        <w:t xml:space="preserve"> Secretario de la Sala Segunda</w:t>
      </w:r>
      <w:r w:rsidR="00854181" w:rsidRPr="00F412FC">
        <w:rPr>
          <w:rFonts w:ascii="Book Antiqua" w:hAnsi="Book Antiqua" w:cs="Arial"/>
          <w:color w:val="000000"/>
          <w:sz w:val="24"/>
          <w:szCs w:val="24"/>
        </w:rPr>
        <w:t>,</w:t>
      </w:r>
      <w:r w:rsidR="00C92BB0" w:rsidRPr="00F412FC">
        <w:rPr>
          <w:rFonts w:ascii="Book Antiqua" w:hAnsi="Book Antiqua" w:cs="Arial"/>
          <w:color w:val="000000"/>
          <w:sz w:val="24"/>
          <w:szCs w:val="24"/>
        </w:rPr>
        <w:t xml:space="preserve"> </w:t>
      </w:r>
      <w:r w:rsidR="00711432" w:rsidRPr="00F412FC">
        <w:rPr>
          <w:rFonts w:ascii="Book Antiqua" w:hAnsi="Book Antiqua" w:cs="Arial"/>
          <w:color w:val="000000"/>
          <w:sz w:val="24"/>
          <w:szCs w:val="24"/>
        </w:rPr>
        <w:t xml:space="preserve">del pasado </w:t>
      </w:r>
      <w:r w:rsidR="00BB3D95" w:rsidRPr="00F412FC">
        <w:rPr>
          <w:rFonts w:ascii="Book Antiqua" w:hAnsi="Book Antiqua" w:cs="Arial"/>
          <w:color w:val="000000"/>
          <w:sz w:val="24"/>
          <w:szCs w:val="24"/>
        </w:rPr>
        <w:t xml:space="preserve"> </w:t>
      </w:r>
      <w:r w:rsidR="00652280" w:rsidRPr="00F412FC">
        <w:rPr>
          <w:rFonts w:ascii="Book Antiqua" w:hAnsi="Book Antiqua" w:cs="Arial"/>
          <w:color w:val="000000"/>
          <w:sz w:val="24"/>
          <w:szCs w:val="24"/>
        </w:rPr>
        <w:t xml:space="preserve"> del </w:t>
      </w:r>
      <w:r w:rsidR="00C92BB0" w:rsidRPr="00F412FC">
        <w:rPr>
          <w:rFonts w:ascii="Book Antiqua" w:hAnsi="Book Antiqua" w:cs="Arial"/>
          <w:color w:val="000000"/>
          <w:sz w:val="24"/>
          <w:szCs w:val="24"/>
        </w:rPr>
        <w:t>2</w:t>
      </w:r>
      <w:r w:rsidR="00023EBF" w:rsidRPr="00F412FC">
        <w:rPr>
          <w:rFonts w:ascii="Book Antiqua" w:hAnsi="Book Antiqua" w:cs="Arial"/>
          <w:color w:val="000000"/>
          <w:sz w:val="24"/>
          <w:szCs w:val="24"/>
        </w:rPr>
        <w:t>2</w:t>
      </w:r>
      <w:r w:rsidR="006778B6" w:rsidRPr="00F412FC">
        <w:rPr>
          <w:rFonts w:ascii="Book Antiqua" w:hAnsi="Book Antiqua" w:cs="Arial"/>
          <w:color w:val="000000"/>
          <w:sz w:val="24"/>
          <w:szCs w:val="24"/>
        </w:rPr>
        <w:t xml:space="preserve"> de </w:t>
      </w:r>
      <w:r w:rsidR="00C92BB0" w:rsidRPr="00F412FC">
        <w:rPr>
          <w:rFonts w:ascii="Book Antiqua" w:hAnsi="Book Antiqua" w:cs="Arial"/>
          <w:color w:val="000000"/>
          <w:sz w:val="24"/>
          <w:szCs w:val="24"/>
        </w:rPr>
        <w:t>setiembre</w:t>
      </w:r>
      <w:r w:rsidR="006778B6" w:rsidRPr="00F412FC">
        <w:rPr>
          <w:rFonts w:ascii="Book Antiqua" w:hAnsi="Book Antiqua" w:cs="Arial"/>
          <w:color w:val="000000"/>
          <w:sz w:val="24"/>
          <w:szCs w:val="24"/>
        </w:rPr>
        <w:t xml:space="preserve"> del 202</w:t>
      </w:r>
      <w:r w:rsidR="00C92BB0" w:rsidRPr="00F412FC">
        <w:rPr>
          <w:rFonts w:ascii="Book Antiqua" w:hAnsi="Book Antiqua" w:cs="Arial"/>
          <w:color w:val="000000"/>
          <w:sz w:val="24"/>
          <w:szCs w:val="24"/>
        </w:rPr>
        <w:t>3</w:t>
      </w:r>
      <w:r w:rsidR="00E61C93" w:rsidRPr="00F412FC">
        <w:rPr>
          <w:rFonts w:ascii="Book Antiqua" w:hAnsi="Book Antiqua" w:cs="Arial"/>
          <w:snapToGrid w:val="0"/>
          <w:sz w:val="24"/>
          <w:szCs w:val="24"/>
        </w:rPr>
        <w:t xml:space="preserve"> </w:t>
      </w:r>
      <w:r w:rsidR="00023EBF" w:rsidRPr="00F412FC">
        <w:rPr>
          <w:rFonts w:ascii="Book Antiqua" w:hAnsi="Book Antiqua" w:cs="Arial"/>
          <w:snapToGrid w:val="0"/>
          <w:sz w:val="24"/>
          <w:szCs w:val="24"/>
        </w:rPr>
        <w:t xml:space="preserve">que contiene el </w:t>
      </w:r>
      <w:r w:rsidR="006575F2" w:rsidRPr="00F412FC">
        <w:rPr>
          <w:rFonts w:ascii="Book Antiqua" w:hAnsi="Book Antiqua" w:cs="Arial"/>
          <w:snapToGrid w:val="0"/>
          <w:sz w:val="24"/>
          <w:szCs w:val="24"/>
        </w:rPr>
        <w:t>oficio 1073-2023</w:t>
      </w:r>
      <w:r w:rsidR="003C79C3" w:rsidRPr="00F412FC">
        <w:rPr>
          <w:rFonts w:ascii="Book Antiqua" w:hAnsi="Book Antiqua" w:cs="Arial"/>
          <w:snapToGrid w:val="0"/>
          <w:sz w:val="24"/>
          <w:szCs w:val="24"/>
        </w:rPr>
        <w:t>,</w:t>
      </w:r>
      <w:r w:rsidR="006575F2" w:rsidRPr="00F412FC">
        <w:rPr>
          <w:rFonts w:ascii="Book Antiqua" w:hAnsi="Book Antiqua" w:cs="Arial"/>
          <w:snapToGrid w:val="0"/>
          <w:sz w:val="24"/>
          <w:szCs w:val="24"/>
        </w:rPr>
        <w:t xml:space="preserve"> </w:t>
      </w:r>
      <w:r w:rsidR="00E61C93" w:rsidRPr="00F412FC">
        <w:rPr>
          <w:rFonts w:ascii="Book Antiqua" w:hAnsi="Book Antiqua" w:cs="Arial"/>
          <w:snapToGrid w:val="0"/>
          <w:sz w:val="24"/>
          <w:szCs w:val="24"/>
        </w:rPr>
        <w:t>se procede a aclarar y adicionar lo siguiente:</w:t>
      </w:r>
    </w:p>
    <w:p w14:paraId="3217A0D6" w14:textId="77777777" w:rsidR="003C79C3" w:rsidRPr="00F412FC" w:rsidRDefault="003C79C3" w:rsidP="003C79C3">
      <w:pPr>
        <w:tabs>
          <w:tab w:val="center" w:pos="4252"/>
          <w:tab w:val="right" w:pos="8504"/>
        </w:tabs>
        <w:jc w:val="both"/>
        <w:rPr>
          <w:rFonts w:ascii="Book Antiqua" w:hAnsi="Book Antiqua" w:cs="Arial"/>
          <w:snapToGrid w:val="0"/>
          <w:sz w:val="24"/>
          <w:szCs w:val="24"/>
        </w:rPr>
      </w:pPr>
    </w:p>
    <w:p w14:paraId="4CA4119D" w14:textId="0A3607AC" w:rsidR="00F62C03" w:rsidRPr="00F412FC" w:rsidRDefault="00F62C03" w:rsidP="00F62C03">
      <w:pPr>
        <w:pStyle w:val="Prrafodelista"/>
        <w:numPr>
          <w:ilvl w:val="0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b/>
          <w:bCs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b/>
          <w:bCs/>
          <w:snapToGrid w:val="0"/>
          <w:sz w:val="24"/>
          <w:szCs w:val="24"/>
          <w:lang w:val="es-ES"/>
        </w:rPr>
        <w:t xml:space="preserve">Observaciones al informe </w:t>
      </w:r>
      <w:r w:rsidR="00BB3D95" w:rsidRPr="00F412FC">
        <w:rPr>
          <w:rFonts w:ascii="Book Antiqua" w:hAnsi="Book Antiqua" w:cs="Book Antiqua"/>
          <w:b/>
          <w:bCs/>
          <w:snapToGrid w:val="0"/>
          <w:sz w:val="24"/>
          <w:szCs w:val="24"/>
          <w:lang w:val="es-ES"/>
        </w:rPr>
        <w:t>1031</w:t>
      </w:r>
      <w:r w:rsidRPr="00F412FC">
        <w:rPr>
          <w:rFonts w:ascii="Book Antiqua" w:hAnsi="Book Antiqua" w:cs="Book Antiqua"/>
          <w:b/>
          <w:bCs/>
          <w:snapToGrid w:val="0"/>
          <w:sz w:val="24"/>
          <w:szCs w:val="24"/>
        </w:rPr>
        <w:t>-PLA-EV-202</w:t>
      </w:r>
      <w:r w:rsidR="00BB3D95" w:rsidRPr="00F412FC">
        <w:rPr>
          <w:rFonts w:ascii="Book Antiqua" w:hAnsi="Book Antiqua" w:cs="Book Antiqua"/>
          <w:b/>
          <w:bCs/>
          <w:snapToGrid w:val="0"/>
          <w:sz w:val="24"/>
          <w:szCs w:val="24"/>
        </w:rPr>
        <w:t>3</w:t>
      </w:r>
      <w:r w:rsidRPr="00F412FC">
        <w:rPr>
          <w:rFonts w:ascii="Book Antiqua" w:hAnsi="Book Antiqua" w:cs="Book Antiqua"/>
          <w:b/>
          <w:bCs/>
          <w:snapToGrid w:val="0"/>
          <w:sz w:val="24"/>
          <w:szCs w:val="24"/>
        </w:rPr>
        <w:t xml:space="preserve"> </w:t>
      </w:r>
      <w:r w:rsidR="00BB3D95" w:rsidRPr="00F412FC">
        <w:rPr>
          <w:rFonts w:ascii="Book Antiqua" w:hAnsi="Book Antiqua" w:cs="Book Antiqua"/>
          <w:b/>
          <w:bCs/>
          <w:snapToGrid w:val="0"/>
          <w:sz w:val="24"/>
          <w:szCs w:val="24"/>
        </w:rPr>
        <w:t>Seguimiento a</w:t>
      </w:r>
      <w:r w:rsidR="00F77103" w:rsidRPr="00F412FC">
        <w:rPr>
          <w:rFonts w:ascii="Book Antiqua" w:hAnsi="Book Antiqua" w:cs="Book Antiqua"/>
          <w:b/>
          <w:bCs/>
          <w:snapToGrid w:val="0"/>
          <w:sz w:val="24"/>
          <w:szCs w:val="24"/>
        </w:rPr>
        <w:t>l Plan Anual Operativo 2023.</w:t>
      </w:r>
    </w:p>
    <w:p w14:paraId="209456DA" w14:textId="77777777" w:rsidR="00F62C03" w:rsidRPr="00F412FC" w:rsidRDefault="00F62C03" w:rsidP="00A233B6">
      <w:pPr>
        <w:pStyle w:val="Prrafodelista"/>
        <w:suppressAutoHyphens/>
        <w:spacing w:line="276" w:lineRule="auto"/>
        <w:jc w:val="both"/>
        <w:rPr>
          <w:rFonts w:ascii="Book Antiqua" w:hAnsi="Book Antiqua" w:cs="Calibri"/>
          <w:sz w:val="24"/>
          <w:szCs w:val="24"/>
          <w:lang w:val="es-ES_tradnl"/>
        </w:rPr>
      </w:pPr>
    </w:p>
    <w:p w14:paraId="624DE1BD" w14:textId="4A73DE67" w:rsidR="007E30F6" w:rsidRPr="00F412FC" w:rsidRDefault="007E30F6" w:rsidP="00F62C03">
      <w:pPr>
        <w:pStyle w:val="Prrafodelista"/>
        <w:numPr>
          <w:ilvl w:val="1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Se recibe por parte de</w:t>
      </w:r>
      <w:r w:rsidR="00F77103" w:rsidRPr="00F412FC">
        <w:rPr>
          <w:rFonts w:ascii="Book Antiqua" w:hAnsi="Book Antiqua" w:cs="Book Antiqua"/>
          <w:snapToGrid w:val="0"/>
          <w:sz w:val="24"/>
          <w:szCs w:val="24"/>
        </w:rPr>
        <w:t xml:space="preserve">l secretario de la Sala Segunda, don Kenneth Muñoz </w:t>
      </w:r>
      <w:proofErr w:type="gramStart"/>
      <w:r w:rsidR="00F77103" w:rsidRPr="00F412FC">
        <w:rPr>
          <w:rFonts w:ascii="Book Antiqua" w:hAnsi="Book Antiqua" w:cs="Book Antiqua"/>
          <w:snapToGrid w:val="0"/>
          <w:sz w:val="24"/>
          <w:szCs w:val="24"/>
        </w:rPr>
        <w:t>Rojas</w:t>
      </w:r>
      <w:r w:rsidR="007B010A" w:rsidRPr="00F412FC">
        <w:rPr>
          <w:rFonts w:ascii="Book Antiqua" w:hAnsi="Book Antiqua" w:cs="Book Antiqua"/>
          <w:snapToGrid w:val="0"/>
          <w:sz w:val="24"/>
          <w:szCs w:val="24"/>
        </w:rPr>
        <w:t>,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 correo</w:t>
      </w:r>
      <w:proofErr w:type="gramEnd"/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electrónico del </w:t>
      </w:r>
      <w:r w:rsidR="00054305" w:rsidRPr="00F412FC">
        <w:rPr>
          <w:rFonts w:ascii="Book Antiqua" w:hAnsi="Book Antiqua" w:cs="Book Antiqua"/>
          <w:snapToGrid w:val="0"/>
          <w:sz w:val="24"/>
          <w:szCs w:val="24"/>
        </w:rPr>
        <w:t>2</w:t>
      </w:r>
      <w:r w:rsidR="00854181" w:rsidRPr="00F412FC">
        <w:rPr>
          <w:rFonts w:ascii="Book Antiqua" w:hAnsi="Book Antiqua" w:cs="Book Antiqua"/>
          <w:snapToGrid w:val="0"/>
          <w:sz w:val="24"/>
          <w:szCs w:val="24"/>
        </w:rPr>
        <w:t>2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de </w:t>
      </w:r>
      <w:r w:rsidR="00054305" w:rsidRPr="00F412FC">
        <w:rPr>
          <w:rFonts w:ascii="Book Antiqua" w:hAnsi="Book Antiqua" w:cs="Book Antiqua"/>
          <w:snapToGrid w:val="0"/>
          <w:sz w:val="24"/>
          <w:szCs w:val="24"/>
        </w:rPr>
        <w:t>setiembre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del 202</w:t>
      </w:r>
      <w:r w:rsidR="00054305" w:rsidRPr="00F412FC">
        <w:rPr>
          <w:rFonts w:ascii="Book Antiqua" w:hAnsi="Book Antiqua" w:cs="Book Antiqua"/>
          <w:snapToGrid w:val="0"/>
          <w:sz w:val="24"/>
          <w:szCs w:val="24"/>
        </w:rPr>
        <w:t>3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>, observaci</w:t>
      </w:r>
      <w:r w:rsidR="0026410A" w:rsidRPr="00F412FC">
        <w:rPr>
          <w:rFonts w:ascii="Book Antiqua" w:hAnsi="Book Antiqua" w:cs="Book Antiqua"/>
          <w:snapToGrid w:val="0"/>
          <w:sz w:val="24"/>
          <w:szCs w:val="24"/>
        </w:rPr>
        <w:t>ones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al informe de la Dirección de Planificación </w:t>
      </w:r>
      <w:r w:rsidR="00054305" w:rsidRPr="00F412FC">
        <w:rPr>
          <w:rFonts w:ascii="Book Antiqua" w:hAnsi="Book Antiqua" w:cs="Book Antiqua"/>
          <w:snapToGrid w:val="0"/>
          <w:sz w:val="24"/>
          <w:szCs w:val="24"/>
        </w:rPr>
        <w:t>1031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>-PLA-EV-202</w:t>
      </w:r>
      <w:r w:rsidR="00054305" w:rsidRPr="00F412FC">
        <w:rPr>
          <w:rFonts w:ascii="Book Antiqua" w:hAnsi="Book Antiqua" w:cs="Book Antiqua"/>
          <w:snapToGrid w:val="0"/>
          <w:sz w:val="24"/>
          <w:szCs w:val="24"/>
        </w:rPr>
        <w:t>3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, remitido a la Secretaría General de la Corte el pasado </w:t>
      </w:r>
      <w:r w:rsidR="00054305" w:rsidRPr="00F412FC">
        <w:rPr>
          <w:rFonts w:ascii="Book Antiqua" w:hAnsi="Book Antiqua" w:cs="Book Antiqua"/>
          <w:snapToGrid w:val="0"/>
          <w:sz w:val="24"/>
          <w:szCs w:val="24"/>
        </w:rPr>
        <w:t>20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de </w:t>
      </w:r>
      <w:r w:rsidR="00054305" w:rsidRPr="00F412FC">
        <w:rPr>
          <w:rFonts w:ascii="Book Antiqua" w:hAnsi="Book Antiqua" w:cs="Book Antiqua"/>
          <w:snapToGrid w:val="0"/>
          <w:sz w:val="24"/>
          <w:szCs w:val="24"/>
        </w:rPr>
        <w:t>setiembre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>, la</w:t>
      </w:r>
      <w:r w:rsidR="006050F5" w:rsidRPr="00F412FC">
        <w:rPr>
          <w:rFonts w:ascii="Book Antiqua" w:hAnsi="Book Antiqua" w:cs="Book Antiqua"/>
          <w:snapToGrid w:val="0"/>
          <w:sz w:val="24"/>
          <w:szCs w:val="24"/>
        </w:rPr>
        <w:t>s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cual</w:t>
      </w:r>
      <w:r w:rsidR="006050F5" w:rsidRPr="00F412FC">
        <w:rPr>
          <w:rFonts w:ascii="Book Antiqua" w:hAnsi="Book Antiqua" w:cs="Book Antiqua"/>
          <w:snapToGrid w:val="0"/>
          <w:sz w:val="24"/>
          <w:szCs w:val="24"/>
        </w:rPr>
        <w:t>es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se cita textualmente</w:t>
      </w:r>
      <w:r w:rsidR="00C77CC7" w:rsidRPr="00F412FC">
        <w:rPr>
          <w:rFonts w:ascii="Book Antiqua" w:hAnsi="Book Antiqua" w:cs="Book Antiqua"/>
          <w:snapToGrid w:val="0"/>
          <w:sz w:val="24"/>
          <w:szCs w:val="24"/>
        </w:rPr>
        <w:t xml:space="preserve"> y se le</w:t>
      </w:r>
      <w:r w:rsidR="006050F5" w:rsidRPr="00F412FC">
        <w:rPr>
          <w:rFonts w:ascii="Book Antiqua" w:hAnsi="Book Antiqua" w:cs="Book Antiqua"/>
          <w:snapToGrid w:val="0"/>
          <w:sz w:val="24"/>
          <w:szCs w:val="24"/>
        </w:rPr>
        <w:t xml:space="preserve">s emite el respectivo </w:t>
      </w:r>
      <w:r w:rsidR="00C77CC7" w:rsidRPr="00F412FC">
        <w:rPr>
          <w:rFonts w:ascii="Book Antiqua" w:hAnsi="Book Antiqua" w:cs="Book Antiqua"/>
          <w:snapToGrid w:val="0"/>
          <w:sz w:val="24"/>
          <w:szCs w:val="24"/>
        </w:rPr>
        <w:t>criterio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: </w:t>
      </w:r>
    </w:p>
    <w:p w14:paraId="7E625644" w14:textId="77777777" w:rsidR="00A233B6" w:rsidRPr="00F412FC" w:rsidRDefault="00A233B6" w:rsidP="00A233B6">
      <w:pPr>
        <w:pStyle w:val="Prrafodelista"/>
        <w:rPr>
          <w:rFonts w:ascii="Book Antiqua" w:hAnsi="Book Antiqua" w:cs="Book Antiqua"/>
          <w:snapToGrid w:val="0"/>
          <w:sz w:val="24"/>
          <w:szCs w:val="24"/>
        </w:rPr>
      </w:pPr>
    </w:p>
    <w:tbl>
      <w:tblPr>
        <w:tblStyle w:val="Tablaconcuadrcula"/>
        <w:tblW w:w="9039" w:type="dxa"/>
        <w:tblLayout w:type="fixed"/>
        <w:tblLook w:val="04A0" w:firstRow="1" w:lastRow="0" w:firstColumn="1" w:lastColumn="0" w:noHBand="0" w:noVBand="1"/>
      </w:tblPr>
      <w:tblGrid>
        <w:gridCol w:w="4253"/>
        <w:gridCol w:w="4786"/>
      </w:tblGrid>
      <w:tr w:rsidR="0026410A" w:rsidRPr="00F412FC" w14:paraId="6F8C6CEE" w14:textId="77777777" w:rsidTr="001E073D">
        <w:tc>
          <w:tcPr>
            <w:tcW w:w="4253" w:type="dxa"/>
            <w:shd w:val="clear" w:color="auto" w:fill="0070C0"/>
            <w:vAlign w:val="center"/>
          </w:tcPr>
          <w:p w14:paraId="20996460" w14:textId="3DD6A3D5" w:rsidR="0026410A" w:rsidRPr="00F412FC" w:rsidRDefault="00E72078" w:rsidP="001E073D">
            <w:pPr>
              <w:widowControl w:val="0"/>
              <w:jc w:val="center"/>
              <w:rPr>
                <w:rFonts w:ascii="Book Antiqua" w:hAnsi="Book Antiqua" w:cs="Book Antiqua"/>
                <w:b/>
                <w:bCs/>
                <w:snapToGrid w:val="0"/>
                <w:color w:val="FFFFFF" w:themeColor="background1"/>
                <w:sz w:val="24"/>
                <w:szCs w:val="24"/>
              </w:rPr>
            </w:pPr>
            <w:r w:rsidRPr="00F412FC">
              <w:rPr>
                <w:rFonts w:ascii="Book Antiqua" w:hAnsi="Book Antiqua"/>
                <w:b/>
                <w:bCs/>
                <w:color w:val="FFFFFF" w:themeColor="background1"/>
                <w:sz w:val="24"/>
                <w:szCs w:val="24"/>
              </w:rPr>
              <w:t>Oficio 1073-2023</w:t>
            </w:r>
            <w:r w:rsidR="0073514C" w:rsidRPr="00F412FC">
              <w:rPr>
                <w:rFonts w:ascii="Book Antiqua" w:hAnsi="Book Antiqua"/>
                <w:b/>
                <w:bCs/>
                <w:color w:val="FFFFFF" w:themeColor="background1"/>
                <w:sz w:val="24"/>
                <w:szCs w:val="24"/>
              </w:rPr>
              <w:t xml:space="preserve"> de la Sala Segunda </w:t>
            </w:r>
            <w:r w:rsidR="002E0713" w:rsidRPr="00F412FC">
              <w:rPr>
                <w:rFonts w:ascii="Book Antiqua" w:hAnsi="Book Antiqua" w:cs="Book Antiqua"/>
                <w:b/>
                <w:bCs/>
                <w:snapToGrid w:val="0"/>
                <w:color w:val="FFFFFF" w:themeColor="background1"/>
                <w:sz w:val="24"/>
                <w:szCs w:val="24"/>
              </w:rPr>
              <w:t xml:space="preserve">con las observaciones al informe </w:t>
            </w:r>
            <w:r w:rsidR="0073514C" w:rsidRPr="00F412FC">
              <w:rPr>
                <w:rFonts w:ascii="Book Antiqua" w:hAnsi="Book Antiqua" w:cs="Book Antiqua"/>
                <w:b/>
                <w:bCs/>
                <w:snapToGrid w:val="0"/>
                <w:color w:val="FFFFFF" w:themeColor="background1"/>
                <w:sz w:val="24"/>
                <w:szCs w:val="24"/>
              </w:rPr>
              <w:t>1031-</w:t>
            </w:r>
            <w:r w:rsidR="002E0713" w:rsidRPr="00F412FC">
              <w:rPr>
                <w:rFonts w:ascii="Book Antiqua" w:hAnsi="Book Antiqua" w:cs="Book Antiqua"/>
                <w:b/>
                <w:bCs/>
                <w:snapToGrid w:val="0"/>
                <w:color w:val="FFFFFF" w:themeColor="background1"/>
                <w:sz w:val="24"/>
                <w:szCs w:val="24"/>
              </w:rPr>
              <w:t>PLA-EV-202</w:t>
            </w:r>
            <w:r w:rsidR="0073514C" w:rsidRPr="00F412FC">
              <w:rPr>
                <w:rFonts w:ascii="Book Antiqua" w:hAnsi="Book Antiqua" w:cs="Book Antiqua"/>
                <w:b/>
                <w:bCs/>
                <w:snapToGrid w:val="0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4786" w:type="dxa"/>
            <w:shd w:val="clear" w:color="auto" w:fill="0070C0"/>
            <w:vAlign w:val="center"/>
          </w:tcPr>
          <w:p w14:paraId="37AC7EE2" w14:textId="6D2C6A33" w:rsidR="0026410A" w:rsidRPr="00F412FC" w:rsidRDefault="002E0713" w:rsidP="001E073D">
            <w:pPr>
              <w:pStyle w:val="Prrafodelista"/>
              <w:widowControl w:val="0"/>
              <w:ind w:left="36" w:hanging="36"/>
              <w:jc w:val="center"/>
              <w:rPr>
                <w:rFonts w:ascii="Book Antiqua" w:hAnsi="Book Antiqua" w:cs="Book Antiqua"/>
                <w:b/>
                <w:bCs/>
                <w:snapToGrid w:val="0"/>
                <w:color w:val="FFFFFF" w:themeColor="background1"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b/>
                <w:bCs/>
                <w:snapToGrid w:val="0"/>
                <w:color w:val="FFFFFF" w:themeColor="background1"/>
                <w:sz w:val="24"/>
                <w:szCs w:val="24"/>
              </w:rPr>
              <w:t>Criterio de la Dirección de Planificación</w:t>
            </w:r>
          </w:p>
        </w:tc>
      </w:tr>
      <w:tr w:rsidR="0026410A" w:rsidRPr="00F412FC" w14:paraId="09FA5819" w14:textId="1EB8C72D" w:rsidTr="00CA19B4">
        <w:tc>
          <w:tcPr>
            <w:tcW w:w="4253" w:type="dxa"/>
          </w:tcPr>
          <w:p w14:paraId="4F713D54" w14:textId="77777777" w:rsidR="00401A6B" w:rsidRPr="00F412FC" w:rsidRDefault="00387E95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Se indica que la Sala Segunda se encuentra con un porcentaje de ejecución de la meta PEI establecida</w:t>
            </w:r>
            <w:r w:rsidR="00ED693A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por el Departamento de Planificación dentro del PAO 2023 (“Que al finalizar el 2023, se </w:t>
            </w:r>
            <w:r w:rsidR="00ED693A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lastRenderedPageBreak/>
              <w:t xml:space="preserve">haya incrementado </w:t>
            </w:r>
            <w:r w:rsidR="00FC30C6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la cantidad de casos terminados en la Sala Segunda”), por debajo del 26%; sin embargo, dicha </w:t>
            </w:r>
            <w:r w:rsidR="00CA6905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indicación es completamente errónea y debe corregirse.</w:t>
            </w:r>
          </w:p>
          <w:p w14:paraId="37B060CF" w14:textId="77777777" w:rsidR="00CA6905" w:rsidRPr="00F412FC" w:rsidRDefault="00CA6905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</w:p>
          <w:p w14:paraId="20BCAC9F" w14:textId="548756FD" w:rsidR="00CA6905" w:rsidRPr="00F412FC" w:rsidRDefault="00CA6905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Para el año 2023 el Departamento de Planificación</w:t>
            </w:r>
            <w:r w:rsidR="00415016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implementó una mejora que integró el Sistema P</w:t>
            </w:r>
            <w:r w:rsidR="00F85EDB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EI</w:t>
            </w:r>
            <w:r w:rsidR="00415016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-PAO</w:t>
            </w:r>
            <w:r w:rsidR="00F379FD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con el Sistema de Estadísticas Judiciales (SIGMA)</w:t>
            </w:r>
            <w:r w:rsidR="000A3D11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, para que los avances en las metas operativas del PAO vinculadas al PEI del ámbito jurisdiccional, en la que el indicador</w:t>
            </w:r>
            <w:r w:rsidR="00714A55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de avance de la meta “casos terminados”, se registra de manera automática los días 15 de cada mes.</w:t>
            </w:r>
          </w:p>
          <w:p w14:paraId="3B581539" w14:textId="77777777" w:rsidR="00430BC4" w:rsidRPr="00F412FC" w:rsidRDefault="00430BC4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</w:p>
          <w:p w14:paraId="03241CBA" w14:textId="77777777" w:rsidR="00430BC4" w:rsidRPr="00F412FC" w:rsidRDefault="00430BC4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De la consulta </w:t>
            </w:r>
            <w:r w:rsidR="009408C9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realizada en el Sistema PAO, se desprende que la meta operativa </w:t>
            </w:r>
            <w:r w:rsidR="00F7734F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asignada por Planificación a la Sala Segunda dentro del PAO 2023</w:t>
            </w:r>
            <w:r w:rsidR="00A14385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, </w:t>
            </w:r>
            <w:r w:rsidR="006D5ED6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“Que al finalizar el 2023, </w:t>
            </w:r>
            <w:r w:rsidR="00A14385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se haya incrementado la cantidad de casos terminados en la Sala Segunda</w:t>
            </w:r>
            <w:r w:rsidR="006D5ED6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”, se encontraba al </w:t>
            </w:r>
            <w:r w:rsidR="006D5ED6" w:rsidRPr="00F412FC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u w:val="single"/>
              </w:rPr>
              <w:t>15 de junio de 2023</w:t>
            </w:r>
            <w:r w:rsidR="00804291" w:rsidRPr="00F412FC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u w:val="single"/>
              </w:rPr>
              <w:t>, en un 61% de avance,</w:t>
            </w:r>
            <w:r w:rsidR="00804291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lo cual representa una cantidad de 1295 asuntos terminados a esa fecha, de los </w:t>
            </w:r>
            <w:r w:rsidR="00FF37AC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2 122 que sería la meta para el 2023 (según calculo matemático realizado de acuerdo con el porcentaje de avance</w:t>
            </w:r>
            <w:r w:rsidR="00A6688E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registrado en el Sistema PAO).</w:t>
            </w:r>
          </w:p>
          <w:p w14:paraId="0081D99C" w14:textId="77777777" w:rsidR="00A6688E" w:rsidRPr="00F412FC" w:rsidRDefault="00A6688E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</w:p>
          <w:p w14:paraId="383E44C3" w14:textId="77777777" w:rsidR="00A6688E" w:rsidRPr="00F412FC" w:rsidRDefault="00A6688E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Igualmente, de los reportes estadísticos </w:t>
            </w:r>
            <w:r w:rsidR="00F03ADD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mensuales generados por el despacho a través del Sistema SIGMA, se desprende que, </w:t>
            </w:r>
            <w:r w:rsidR="00F03ADD" w:rsidRPr="00F412FC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u w:val="single"/>
              </w:rPr>
              <w:t>al 30 de junio de 2023</w:t>
            </w:r>
            <w:r w:rsidR="00FD5119" w:rsidRPr="00F412FC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u w:val="single"/>
              </w:rPr>
              <w:t xml:space="preserve">, el despacho había finalizado un total de 1570 asuntos, lo cual representa un 74% de </w:t>
            </w:r>
            <w:r w:rsidR="00FD5119" w:rsidRPr="00F412FC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u w:val="single"/>
              </w:rPr>
              <w:lastRenderedPageBreak/>
              <w:t xml:space="preserve">avance </w:t>
            </w:r>
            <w:r w:rsidR="00916964" w:rsidRPr="00F412FC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u w:val="single"/>
              </w:rPr>
              <w:t>de la meta operativa PEI asignada a la Sala Segunda.</w:t>
            </w:r>
          </w:p>
          <w:p w14:paraId="13D422AA" w14:textId="77777777" w:rsidR="00916964" w:rsidRPr="00F412FC" w:rsidRDefault="00916964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14:paraId="595EF63B" w14:textId="77777777" w:rsidR="00916964" w:rsidRPr="00F412FC" w:rsidRDefault="00916964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A la fecha, la meta PEI asignada a la Sala Segunda</w:t>
            </w:r>
            <w:r w:rsidR="00985DE9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, se encuentra cumplida a un 100%, según se desprende del reporte de avance que se visualiza en el Sistema PAO.</w:t>
            </w:r>
          </w:p>
          <w:p w14:paraId="7C3AB8C9" w14:textId="77777777" w:rsidR="00985DE9" w:rsidRPr="00F412FC" w:rsidRDefault="00985DE9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</w:p>
          <w:p w14:paraId="41B9A4F6" w14:textId="0FD5DCF5" w:rsidR="00985DE9" w:rsidRPr="00F412FC" w:rsidRDefault="00985DE9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Por lo anterior, se solicita se corrija y se excluya</w:t>
            </w:r>
            <w:r w:rsidR="008E44FE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de la lista de despachos que, al 30 de junio de 2023, se encontraban con un porcentaje de avance de la mera operativa PEI</w:t>
            </w:r>
            <w:r w:rsidR="00AF5D9D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, igual o menor al 26% de cumplimiento.</w:t>
            </w:r>
          </w:p>
        </w:tc>
        <w:tc>
          <w:tcPr>
            <w:tcW w:w="4786" w:type="dxa"/>
          </w:tcPr>
          <w:p w14:paraId="576C2641" w14:textId="77777777" w:rsidR="00AB1500" w:rsidRPr="00F412FC" w:rsidRDefault="00401A6B" w:rsidP="00FF0B04">
            <w:pPr>
              <w:jc w:val="both"/>
              <w:rPr>
                <w:rFonts w:ascii="Book Antiqua" w:hAnsi="Book Antiqua" w:cs="Book Antiqua"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lastRenderedPageBreak/>
              <w:t xml:space="preserve">Efectivamente, se consigna un error material en el Cuadro </w:t>
            </w:r>
            <w:r w:rsidR="00CA19B4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>8</w:t>
            </w:r>
            <w:r w:rsidR="00386C36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 xml:space="preserve"> </w:t>
            </w:r>
            <w:r w:rsidR="002F582B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 xml:space="preserve">denominado </w:t>
            </w:r>
            <w:r w:rsidR="002F582B" w:rsidRPr="00F412FC">
              <w:rPr>
                <w:rFonts w:ascii="Book Antiqua" w:hAnsi="Book Antiqua" w:cs="Book Antiqua"/>
                <w:i/>
                <w:iCs/>
                <w:snapToGrid w:val="0"/>
                <w:sz w:val="24"/>
                <w:szCs w:val="24"/>
              </w:rPr>
              <w:t>“</w:t>
            </w:r>
            <w:r w:rsidR="00745DF6" w:rsidRPr="00F412FC">
              <w:rPr>
                <w:rFonts w:ascii="Book Antiqua" w:hAnsi="Book Antiqua"/>
                <w:i/>
                <w:iCs/>
                <w:sz w:val="24"/>
                <w:szCs w:val="24"/>
                <w:lang w:val="es-ES_tradnl"/>
              </w:rPr>
              <w:t>Cantidad de metas operativas vinculadas al PEI igual o menor al 26% de cumplimiento de acuerdo con el Responsable Estratégico</w:t>
            </w:r>
            <w:r w:rsidR="008D0833" w:rsidRPr="00F412FC">
              <w:rPr>
                <w:rFonts w:ascii="Book Antiqua" w:hAnsi="Book Antiqua"/>
                <w:i/>
                <w:iCs/>
                <w:sz w:val="24"/>
                <w:szCs w:val="24"/>
                <w:lang w:val="es-ES_tradnl"/>
              </w:rPr>
              <w:t xml:space="preserve">”, </w:t>
            </w:r>
            <w:r w:rsidR="008D0833" w:rsidRPr="00F412FC">
              <w:rPr>
                <w:rFonts w:ascii="Book Antiqua" w:hAnsi="Book Antiqua"/>
                <w:sz w:val="24"/>
                <w:szCs w:val="24"/>
                <w:lang w:val="es-ES_tradnl"/>
              </w:rPr>
              <w:t xml:space="preserve">el </w:t>
            </w:r>
            <w:r w:rsidR="008D0833" w:rsidRPr="00F412FC">
              <w:rPr>
                <w:rFonts w:ascii="Book Antiqua" w:hAnsi="Book Antiqua"/>
                <w:sz w:val="24"/>
                <w:szCs w:val="24"/>
                <w:lang w:val="es-ES_tradnl"/>
              </w:rPr>
              <w:lastRenderedPageBreak/>
              <w:t>pro</w:t>
            </w:r>
            <w:r w:rsidR="00FF0B04" w:rsidRPr="00F412FC">
              <w:rPr>
                <w:rFonts w:ascii="Book Antiqua" w:hAnsi="Book Antiqua"/>
                <w:sz w:val="24"/>
                <w:szCs w:val="24"/>
                <w:lang w:val="es-ES_tradnl"/>
              </w:rPr>
              <w:t xml:space="preserve">pósito es informar los responsables estratégicos que cuentan con metas operativas inferior al 26% y </w:t>
            </w:r>
            <w:r w:rsidR="001A33B1" w:rsidRPr="00F412FC">
              <w:rPr>
                <w:rFonts w:ascii="Book Antiqua" w:hAnsi="Book Antiqua"/>
                <w:sz w:val="24"/>
                <w:szCs w:val="24"/>
                <w:lang w:val="es-ES_tradnl"/>
              </w:rPr>
              <w:t xml:space="preserve">por error material se consignó </w:t>
            </w:r>
            <w:r w:rsidR="001A33B1" w:rsidRPr="00F412FC">
              <w:rPr>
                <w:rFonts w:ascii="Book Antiqua" w:hAnsi="Book Antiqua" w:cs="Book Antiqua"/>
                <w:sz w:val="24"/>
                <w:szCs w:val="24"/>
              </w:rPr>
              <w:t>a la</w:t>
            </w:r>
            <w:r w:rsidR="00FF0B04" w:rsidRPr="00F412FC">
              <w:rPr>
                <w:rFonts w:ascii="Book Antiqua" w:hAnsi="Book Antiqua" w:cs="Book Antiqua"/>
                <w:sz w:val="24"/>
                <w:szCs w:val="24"/>
              </w:rPr>
              <w:t xml:space="preserve"> Sala Segunda con una meta operativa </w:t>
            </w:r>
            <w:r w:rsidR="00D40ADC" w:rsidRPr="00F412FC">
              <w:rPr>
                <w:rFonts w:ascii="Book Antiqua" w:hAnsi="Book Antiqua" w:cs="Book Antiqua"/>
                <w:sz w:val="24"/>
                <w:szCs w:val="24"/>
              </w:rPr>
              <w:t xml:space="preserve">inferior al 26%, cuando </w:t>
            </w:r>
            <w:r w:rsidR="001A33B1" w:rsidRPr="00F412FC">
              <w:rPr>
                <w:rFonts w:ascii="Book Antiqua" w:hAnsi="Book Antiqua" w:cs="Book Antiqua"/>
                <w:sz w:val="24"/>
                <w:szCs w:val="24"/>
              </w:rPr>
              <w:t xml:space="preserve"> </w:t>
            </w:r>
            <w:r w:rsidR="002F0640" w:rsidRPr="00F412FC">
              <w:rPr>
                <w:rFonts w:ascii="Book Antiqua" w:hAnsi="Book Antiqua" w:cs="Book Antiqua"/>
                <w:sz w:val="24"/>
                <w:szCs w:val="24"/>
              </w:rPr>
              <w:t xml:space="preserve">en realidad la meta operativa </w:t>
            </w:r>
            <w:r w:rsidR="002F0640" w:rsidRPr="00F412FC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</w:rPr>
              <w:t>“</w:t>
            </w:r>
            <w:r w:rsidR="0069798A" w:rsidRPr="00F412FC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</w:rPr>
              <w:t xml:space="preserve">1.4 - Que al finalizar diciembre de 2023, no estén pendientes por resolver expedientes ingresados durante el 2019 (exceptuando los suspendidos por acciones de inconstitucionalidad)” </w:t>
            </w:r>
            <w:r w:rsidR="002F0640" w:rsidRPr="00F412FC">
              <w:rPr>
                <w:rFonts w:ascii="Book Antiqua" w:hAnsi="Book Antiqua" w:cs="Book Antiqua"/>
                <w:sz w:val="24"/>
                <w:szCs w:val="24"/>
              </w:rPr>
              <w:t>no tiene v</w:t>
            </w:r>
            <w:r w:rsidR="0069798A" w:rsidRPr="00F412FC">
              <w:rPr>
                <w:rFonts w:ascii="Book Antiqua" w:hAnsi="Book Antiqua" w:cs="Book Antiqua"/>
                <w:sz w:val="24"/>
                <w:szCs w:val="24"/>
              </w:rPr>
              <w:t>inculación al Plan Estratégico Institucional (PEI)</w:t>
            </w:r>
            <w:r w:rsidR="00AB1500" w:rsidRPr="00F412FC">
              <w:rPr>
                <w:rFonts w:ascii="Book Antiqua" w:hAnsi="Book Antiqua" w:cs="Book Antiqua"/>
                <w:sz w:val="24"/>
                <w:szCs w:val="24"/>
              </w:rPr>
              <w:t>.</w:t>
            </w:r>
          </w:p>
          <w:p w14:paraId="23E5971B" w14:textId="77777777" w:rsidR="00AB1500" w:rsidRPr="00F412FC" w:rsidRDefault="00AB1500" w:rsidP="00FF0B04">
            <w:pPr>
              <w:jc w:val="both"/>
              <w:rPr>
                <w:rFonts w:ascii="Book Antiqua" w:hAnsi="Book Antiqua" w:cs="Book Antiqua"/>
                <w:sz w:val="24"/>
                <w:szCs w:val="24"/>
              </w:rPr>
            </w:pPr>
          </w:p>
          <w:p w14:paraId="02FB1DB7" w14:textId="30DC866A" w:rsidR="006931CB" w:rsidRPr="00F412FC" w:rsidRDefault="00A01C3F" w:rsidP="006931CB">
            <w:pPr>
              <w:jc w:val="both"/>
              <w:rPr>
                <w:rFonts w:ascii="Book Antiqua" w:hAnsi="Book Antiqua" w:cs="Book Antiqua"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sz w:val="24"/>
                <w:szCs w:val="24"/>
              </w:rPr>
              <w:t xml:space="preserve">Finalmente </w:t>
            </w:r>
            <w:r w:rsidR="008A019F" w:rsidRPr="00F412FC">
              <w:rPr>
                <w:rFonts w:ascii="Book Antiqua" w:hAnsi="Book Antiqua" w:cs="Book Antiqua"/>
                <w:sz w:val="24"/>
                <w:szCs w:val="24"/>
              </w:rPr>
              <w:t xml:space="preserve">es importante indicar </w:t>
            </w:r>
            <w:r w:rsidR="00B02F1F" w:rsidRPr="00F412FC">
              <w:rPr>
                <w:rFonts w:ascii="Book Antiqua" w:hAnsi="Book Antiqua" w:cs="Book Antiqua"/>
                <w:sz w:val="24"/>
                <w:szCs w:val="24"/>
              </w:rPr>
              <w:t>se revisa el PAO de la Sala Segunda</w:t>
            </w:r>
            <w:r w:rsidR="00B8075C" w:rsidRPr="00F412FC">
              <w:rPr>
                <w:rFonts w:ascii="Book Antiqua" w:hAnsi="Book Antiqua" w:cs="Book Antiqua"/>
                <w:sz w:val="24"/>
                <w:szCs w:val="24"/>
              </w:rPr>
              <w:t xml:space="preserve"> y se observa </w:t>
            </w:r>
            <w:r w:rsidR="008A019F" w:rsidRPr="00F412FC">
              <w:rPr>
                <w:rFonts w:ascii="Book Antiqua" w:hAnsi="Book Antiqua" w:cs="Book Antiqua"/>
                <w:sz w:val="24"/>
                <w:szCs w:val="24"/>
              </w:rPr>
              <w:t xml:space="preserve">que la meta operativa </w:t>
            </w:r>
            <w:r w:rsidR="008A019F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“Que al finalizar el 2023, se haya incrementado la cantidad de casos terminados en la Sala Segunda”</w:t>
            </w:r>
            <w:r w:rsidR="00A47BD5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</w:t>
            </w:r>
            <w:r w:rsidR="00B8075C" w:rsidRPr="00F412FC">
              <w:rPr>
                <w:rFonts w:ascii="Book Antiqua" w:hAnsi="Book Antiqua" w:cs="Book Antiqua"/>
                <w:sz w:val="24"/>
                <w:szCs w:val="24"/>
              </w:rPr>
              <w:t>se encuentra completada (100% de cumplimiento) al 15 de setiembre del 2023.</w:t>
            </w:r>
          </w:p>
          <w:p w14:paraId="3476EC71" w14:textId="77777777" w:rsidR="00BB1A2E" w:rsidRPr="00F412FC" w:rsidRDefault="00BB1A2E" w:rsidP="006931CB">
            <w:pPr>
              <w:jc w:val="both"/>
              <w:rPr>
                <w:rFonts w:ascii="Book Antiqua" w:hAnsi="Book Antiqua" w:cs="Book Antiqua"/>
                <w:sz w:val="24"/>
                <w:szCs w:val="24"/>
              </w:rPr>
            </w:pPr>
          </w:p>
          <w:p w14:paraId="715A7B5C" w14:textId="7D107786" w:rsidR="00BB1A2E" w:rsidRPr="00F412FC" w:rsidRDefault="008A0677" w:rsidP="008A0677">
            <w:pPr>
              <w:jc w:val="center"/>
              <w:rPr>
                <w:rFonts w:ascii="Book Antiqua" w:hAnsi="Book Antiqua" w:cs="Book Antiqua"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noProof/>
                <w:sz w:val="24"/>
                <w:szCs w:val="24"/>
              </w:rPr>
              <w:drawing>
                <wp:inline distT="0" distB="0" distL="0" distR="0" wp14:anchorId="7BC64DC8" wp14:editId="01A2E679">
                  <wp:extent cx="2901950" cy="210185"/>
                  <wp:effectExtent l="0" t="0" r="0" b="0"/>
                  <wp:docPr id="160340622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40622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950" cy="2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97400F" w14:textId="76AFB504" w:rsidR="00DF3656" w:rsidRPr="00F412FC" w:rsidRDefault="00DF3656" w:rsidP="00FF0B04">
            <w:pPr>
              <w:jc w:val="both"/>
              <w:rPr>
                <w:rFonts w:ascii="Book Antiqua" w:hAnsi="Book Antiqua"/>
                <w:sz w:val="24"/>
                <w:szCs w:val="24"/>
                <w:lang w:val="es-ES_tradnl"/>
              </w:rPr>
            </w:pPr>
          </w:p>
          <w:p w14:paraId="4471401F" w14:textId="77777777" w:rsidR="00762BAB" w:rsidRPr="00F412FC" w:rsidRDefault="00762BAB" w:rsidP="00BA2706">
            <w:pPr>
              <w:jc w:val="both"/>
              <w:rPr>
                <w:rFonts w:ascii="Book Antiqua" w:hAnsi="Book Antiqua" w:cs="Book Antiqua"/>
                <w:sz w:val="24"/>
                <w:szCs w:val="24"/>
              </w:rPr>
            </w:pPr>
          </w:p>
          <w:p w14:paraId="7FE03D85" w14:textId="62BBA6EA" w:rsidR="00B8075C" w:rsidRPr="00F412FC" w:rsidRDefault="006050F5" w:rsidP="00B667BC">
            <w:pPr>
              <w:jc w:val="both"/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b/>
                <w:bCs/>
                <w:sz w:val="24"/>
                <w:szCs w:val="24"/>
              </w:rPr>
              <w:t>P</w:t>
            </w:r>
            <w:r w:rsidR="00386C36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or lo </w:t>
            </w:r>
            <w:r w:rsidR="006931CB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anterior, </w:t>
            </w:r>
            <w:r w:rsidR="00386C36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se procede </w:t>
            </w:r>
            <w:r w:rsidR="00183067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>con</w:t>
            </w:r>
            <w:r w:rsidR="007430D6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="00386C36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>la corrección del error material</w:t>
            </w:r>
            <w:r w:rsidR="007430D6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 en el informe original</w:t>
            </w:r>
            <w:r w:rsidR="00AA390A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>,</w:t>
            </w:r>
            <w:r w:rsidR="006B02C1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 excluyendo</w:t>
            </w:r>
            <w:r w:rsidR="00B36697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 a la Sala Segunda de</w:t>
            </w:r>
            <w:r w:rsidR="00B8075C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>l</w:t>
            </w:r>
            <w:r w:rsidR="00B36697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 cuadro 8</w:t>
            </w:r>
            <w:r w:rsidR="00D96BDC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>.</w:t>
            </w:r>
            <w:r w:rsidR="00B36697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 </w:t>
            </w:r>
          </w:p>
          <w:p w14:paraId="51B7B8B0" w14:textId="77777777" w:rsidR="00B8075C" w:rsidRPr="00F412FC" w:rsidRDefault="00B8075C" w:rsidP="00B667BC">
            <w:pPr>
              <w:jc w:val="both"/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</w:pPr>
          </w:p>
          <w:p w14:paraId="31BDC24B" w14:textId="61A6D20E" w:rsidR="000C13BB" w:rsidRPr="00F412FC" w:rsidRDefault="000C13BB" w:rsidP="00B667BC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  <w:lang w:val="es-ES_tradnl"/>
              </w:rPr>
            </w:pPr>
          </w:p>
        </w:tc>
      </w:tr>
      <w:tr w:rsidR="00854181" w:rsidRPr="00F412FC" w14:paraId="5914864F" w14:textId="77777777" w:rsidTr="00CA19B4">
        <w:tc>
          <w:tcPr>
            <w:tcW w:w="4253" w:type="dxa"/>
          </w:tcPr>
          <w:p w14:paraId="5A63487F" w14:textId="77777777" w:rsidR="00516373" w:rsidRPr="00F412FC" w:rsidRDefault="00D67B87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lastRenderedPageBreak/>
              <w:t xml:space="preserve">Igualmente, la Sala Segunda debe ser excluida del cuadro 11 en el cual se enlistan los despachos responsables estratégicos con metas operativas </w:t>
            </w:r>
            <w:r w:rsidR="00516373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vinculadas al PEI con un porcentaje de cumplimiento menor al 26%.</w:t>
            </w:r>
          </w:p>
          <w:p w14:paraId="2EDDDB42" w14:textId="77777777" w:rsidR="00516373" w:rsidRPr="00F412FC" w:rsidRDefault="00516373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</w:p>
          <w:p w14:paraId="4365B44C" w14:textId="39010025" w:rsidR="00854181" w:rsidRPr="00F412FC" w:rsidRDefault="00516373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Además, debe entenderse </w:t>
            </w:r>
            <w:r w:rsidR="00E935C6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que al excluirse de ese apartado 11, la Sala Segunda no se encuentra </w:t>
            </w:r>
            <w:r w:rsidR="0072085E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dentro del plan de acción establecido en el apartado 12 (páginas 51 y 52);</w:t>
            </w:r>
            <w:r w:rsidR="00D67B87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</w:t>
            </w:r>
            <w:r w:rsidR="0072085E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en todo caso, ya el despacho</w:t>
            </w:r>
            <w:r w:rsidR="00BA4F37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se encuentra con porcentaje de cumplimiento de la meta operativa PEI, de un 100% al 15 de setiembre de 2023.</w:t>
            </w:r>
          </w:p>
        </w:tc>
        <w:tc>
          <w:tcPr>
            <w:tcW w:w="4786" w:type="dxa"/>
          </w:tcPr>
          <w:p w14:paraId="3F3DFBB0" w14:textId="583E9017" w:rsidR="00A01C3F" w:rsidRPr="00F412FC" w:rsidRDefault="007E188C" w:rsidP="00A01C3F">
            <w:pPr>
              <w:jc w:val="both"/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>E</w:t>
            </w:r>
            <w:r w:rsidR="00A01C3F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 xml:space="preserve">n el Cuadro 11 denominado </w:t>
            </w:r>
            <w:r w:rsidR="00A01C3F" w:rsidRPr="00F412FC">
              <w:rPr>
                <w:rFonts w:ascii="Book Antiqua" w:hAnsi="Book Antiqua" w:cs="Book Antiqua"/>
                <w:i/>
                <w:iCs/>
                <w:snapToGrid w:val="0"/>
                <w:sz w:val="24"/>
                <w:szCs w:val="24"/>
              </w:rPr>
              <w:t>“</w:t>
            </w:r>
            <w:r w:rsidR="00A01C3F" w:rsidRPr="00F412FC">
              <w:rPr>
                <w:rFonts w:ascii="Book Antiqua" w:hAnsi="Book Antiqua"/>
                <w:i/>
                <w:iCs/>
                <w:sz w:val="24"/>
                <w:szCs w:val="24"/>
                <w:lang w:val="es-ES_tradnl"/>
              </w:rPr>
              <w:t xml:space="preserve">Cantidad de metas operativas vinculadas al PEI igual o menor al 26% de cumplimiento de acuerdo con el </w:t>
            </w:r>
            <w:proofErr w:type="gramStart"/>
            <w:r w:rsidR="00A01C3F" w:rsidRPr="00F412FC">
              <w:rPr>
                <w:rFonts w:ascii="Book Antiqua" w:hAnsi="Book Antiqua"/>
                <w:i/>
                <w:iCs/>
                <w:sz w:val="24"/>
                <w:szCs w:val="24"/>
                <w:lang w:val="es-ES_tradnl"/>
              </w:rPr>
              <w:t>Responsable</w:t>
            </w:r>
            <w:proofErr w:type="gramEnd"/>
            <w:r w:rsidR="00A01C3F" w:rsidRPr="00F412FC">
              <w:rPr>
                <w:rFonts w:ascii="Book Antiqua" w:hAnsi="Book Antiqua"/>
                <w:i/>
                <w:iCs/>
                <w:sz w:val="24"/>
                <w:szCs w:val="24"/>
                <w:lang w:val="es-ES_tradnl"/>
              </w:rPr>
              <w:t xml:space="preserve"> Estratégico”, </w:t>
            </w:r>
            <w:r w:rsidR="00A01C3F" w:rsidRPr="00F412FC">
              <w:rPr>
                <w:rFonts w:ascii="Book Antiqua" w:hAnsi="Book Antiqua"/>
                <w:sz w:val="24"/>
                <w:szCs w:val="24"/>
                <w:lang w:val="es-ES_tradnl"/>
              </w:rPr>
              <w:t xml:space="preserve">el propósito es informar </w:t>
            </w:r>
            <w:r w:rsidR="00A01C3F" w:rsidRPr="00F412FC">
              <w:rPr>
                <w:rFonts w:ascii="Book Antiqua" w:hAnsi="Book Antiqua"/>
                <w:sz w:val="24"/>
                <w:szCs w:val="24"/>
                <w:lang w:eastAsia="es-CR"/>
              </w:rPr>
              <w:t>oportunidades de mejora o hallazgos encontrados dentro del análisis del informe 1031-PLA-EV-2023</w:t>
            </w:r>
            <w:r w:rsidR="00A01C3F" w:rsidRPr="00F412FC">
              <w:rPr>
                <w:rFonts w:ascii="Book Antiqua" w:hAnsi="Book Antiqua"/>
                <w:sz w:val="24"/>
                <w:szCs w:val="24"/>
                <w:lang w:val="es-ES_tradnl"/>
              </w:rPr>
              <w:t xml:space="preserve"> y por error material se consignó </w:t>
            </w:r>
            <w:r w:rsidR="00A01C3F" w:rsidRPr="00F412FC">
              <w:rPr>
                <w:rFonts w:ascii="Book Antiqua" w:hAnsi="Book Antiqua" w:cs="Book Antiqua"/>
                <w:sz w:val="24"/>
                <w:szCs w:val="24"/>
              </w:rPr>
              <w:t>a la Sala Segunda con una meta operativa inferior al 26%</w:t>
            </w:r>
            <w:r w:rsidR="00EF26EE" w:rsidRPr="00F412FC">
              <w:rPr>
                <w:rFonts w:ascii="Book Antiqua" w:hAnsi="Book Antiqua" w:cs="Book Antiqua"/>
                <w:sz w:val="24"/>
                <w:szCs w:val="24"/>
              </w:rPr>
              <w:t xml:space="preserve">; </w:t>
            </w:r>
            <w:r w:rsidR="00EF26EE" w:rsidRPr="00F412FC">
              <w:rPr>
                <w:rFonts w:ascii="Book Antiqua" w:hAnsi="Book Antiqua" w:cs="Book Antiqua"/>
                <w:b/>
                <w:bCs/>
                <w:sz w:val="24"/>
                <w:szCs w:val="24"/>
              </w:rPr>
              <w:t xml:space="preserve">por lo anterior, </w:t>
            </w:r>
            <w:r w:rsidR="00EF26EE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se procede </w:t>
            </w:r>
            <w:r w:rsidR="00183067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con </w:t>
            </w:r>
            <w:r w:rsidR="007430D6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>la</w:t>
            </w:r>
            <w:r w:rsidR="00EF26EE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 corrección del error material, excluyendo a la Sala Segunda del cuadro 11.</w:t>
            </w:r>
          </w:p>
          <w:p w14:paraId="0BD6AAF5" w14:textId="77777777" w:rsidR="00EF26EE" w:rsidRPr="00F412FC" w:rsidRDefault="00EF26EE" w:rsidP="00A01C3F">
            <w:pPr>
              <w:jc w:val="both"/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</w:pPr>
          </w:p>
          <w:p w14:paraId="0BC8768D" w14:textId="3B23F728" w:rsidR="00C51A33" w:rsidRPr="00F412FC" w:rsidRDefault="00E56141" w:rsidP="00C51A33">
            <w:pPr>
              <w:jc w:val="both"/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sz w:val="24"/>
                <w:szCs w:val="24"/>
              </w:rPr>
              <w:t xml:space="preserve">Se </w:t>
            </w:r>
            <w:r w:rsidR="00A01C3F" w:rsidRPr="00F412FC">
              <w:rPr>
                <w:rFonts w:ascii="Book Antiqua" w:hAnsi="Book Antiqua" w:cs="Book Antiqua"/>
                <w:sz w:val="24"/>
                <w:szCs w:val="24"/>
              </w:rPr>
              <w:t xml:space="preserve">consigna un error material en el Plan de Acción adjunto en el anexo 7 de los Responsables Estratégicos, el cual tiene como objetivo </w:t>
            </w:r>
            <w:r w:rsidR="00A01C3F" w:rsidRPr="00F412FC">
              <w:rPr>
                <w:rFonts w:ascii="Book Antiqua" w:hAnsi="Book Antiqua" w:cs="Arial"/>
                <w:sz w:val="24"/>
                <w:szCs w:val="24"/>
                <w:lang w:eastAsia="es-CR"/>
              </w:rPr>
              <w:t xml:space="preserve">realizar de un Plan de Acción en aras de mejorar la gestión orientada a los resultados de las áreas que se hayan determinado y que se deben priorizar o atender a la brevedad, por lo cual será objeto de seguimiento en el informe de evaluación del PAO 2023 y </w:t>
            </w:r>
            <w:r w:rsidR="00A01C3F" w:rsidRPr="00F412FC">
              <w:rPr>
                <w:rFonts w:ascii="Book Antiqua" w:hAnsi="Book Antiqua"/>
                <w:sz w:val="24"/>
                <w:szCs w:val="24"/>
                <w:lang w:val="es-ES_tradnl"/>
              </w:rPr>
              <w:t xml:space="preserve">por error material se consignó </w:t>
            </w:r>
            <w:r w:rsidR="00A01C3F" w:rsidRPr="00F412FC">
              <w:rPr>
                <w:rFonts w:ascii="Book Antiqua" w:hAnsi="Book Antiqua" w:cs="Book Antiqua"/>
                <w:sz w:val="24"/>
                <w:szCs w:val="24"/>
              </w:rPr>
              <w:t xml:space="preserve">a la Sala Segunda con una meta operativa </w:t>
            </w:r>
            <w:r w:rsidR="00BA19F4" w:rsidRPr="00F412FC">
              <w:rPr>
                <w:rFonts w:ascii="Book Antiqua" w:hAnsi="Book Antiqua" w:cs="Book Antiqua"/>
                <w:sz w:val="24"/>
                <w:szCs w:val="24"/>
              </w:rPr>
              <w:t xml:space="preserve">vinculada </w:t>
            </w:r>
            <w:r w:rsidR="00E1123B" w:rsidRPr="00F412FC">
              <w:rPr>
                <w:rFonts w:ascii="Book Antiqua" w:hAnsi="Book Antiqua" w:cs="Book Antiqua"/>
                <w:sz w:val="24"/>
                <w:szCs w:val="24"/>
              </w:rPr>
              <w:t xml:space="preserve">al PEI </w:t>
            </w:r>
            <w:r w:rsidR="00E1123B" w:rsidRPr="00F412FC">
              <w:rPr>
                <w:rFonts w:ascii="Book Antiqua" w:hAnsi="Book Antiqua" w:cs="Book Antiqua"/>
                <w:sz w:val="24"/>
                <w:szCs w:val="24"/>
              </w:rPr>
              <w:lastRenderedPageBreak/>
              <w:t xml:space="preserve">con un avance </w:t>
            </w:r>
            <w:r w:rsidR="00A01C3F" w:rsidRPr="00F412FC">
              <w:rPr>
                <w:rFonts w:ascii="Book Antiqua" w:hAnsi="Book Antiqua" w:cs="Book Antiqua"/>
                <w:sz w:val="24"/>
                <w:szCs w:val="24"/>
              </w:rPr>
              <w:t>inferior al 26%</w:t>
            </w:r>
            <w:r w:rsidR="00C51A33" w:rsidRPr="00F412FC">
              <w:rPr>
                <w:rFonts w:ascii="Book Antiqua" w:hAnsi="Book Antiqua" w:cs="Book Antiqua"/>
                <w:sz w:val="24"/>
                <w:szCs w:val="24"/>
              </w:rPr>
              <w:t xml:space="preserve">; </w:t>
            </w:r>
            <w:r w:rsidR="00C51A33" w:rsidRPr="00F412FC">
              <w:rPr>
                <w:rFonts w:ascii="Book Antiqua" w:hAnsi="Book Antiqua" w:cs="Book Antiqua"/>
                <w:b/>
                <w:bCs/>
                <w:sz w:val="24"/>
                <w:szCs w:val="24"/>
              </w:rPr>
              <w:t xml:space="preserve">por lo anterior, </w:t>
            </w:r>
            <w:r w:rsidR="00C51A33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se procede </w:t>
            </w:r>
            <w:r w:rsidR="007430D6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="004A025A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en el informe, a </w:t>
            </w:r>
            <w:r w:rsidR="00C51A33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>la corrección del error material, excluyendo a la Sala Segunda del plan de acción,</w:t>
            </w:r>
            <w:r w:rsidR="00E1123B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 del punto 11.4</w:t>
            </w:r>
            <w:r w:rsidR="00C148F1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>,</w:t>
            </w:r>
            <w:r w:rsidR="00C51A33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 en donde se indican los Responsables Estratégicos </w:t>
            </w:r>
            <w:r w:rsidR="0042411B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que presentan </w:t>
            </w:r>
            <w:r w:rsidR="001D20C1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>metas operativas vinculadas al PEI con un avance de cumplimiento inferior al 26% al 30 de junio del 2023</w:t>
            </w:r>
            <w:r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>.</w:t>
            </w:r>
          </w:p>
          <w:p w14:paraId="59637204" w14:textId="77777777" w:rsidR="00E56141" w:rsidRPr="00F412FC" w:rsidRDefault="00E56141" w:rsidP="00C51A33">
            <w:pPr>
              <w:jc w:val="both"/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</w:pPr>
          </w:p>
          <w:p w14:paraId="2FC2A3D9" w14:textId="1B2904E5" w:rsidR="00854181" w:rsidRPr="00F412FC" w:rsidRDefault="00E56141" w:rsidP="00A01C3F">
            <w:pPr>
              <w:jc w:val="both"/>
              <w:rPr>
                <w:rFonts w:ascii="Book Antiqua" w:hAnsi="Book Antiqua" w:cs="Book Antiqua"/>
                <w:snapToGrid w:val="0"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 xml:space="preserve">Finalmente, es importante indicar que a Sala Segunda </w:t>
            </w:r>
            <w:r w:rsidR="009238CF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 xml:space="preserve">cuenta con una meta operativa </w:t>
            </w:r>
            <w:r w:rsidR="00F10250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>con un avance inferior al 2</w:t>
            </w:r>
            <w:r w:rsidR="00DF1A64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>6%; por lo anterior, se mantiene</w:t>
            </w:r>
            <w:r w:rsidR="00122FB1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 xml:space="preserve"> el cuadro 10</w:t>
            </w:r>
            <w:r w:rsidR="006F6330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 xml:space="preserve"> de </w:t>
            </w:r>
            <w:r w:rsidR="00DF1A64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 xml:space="preserve">oportunidades de mejora y </w:t>
            </w:r>
            <w:r w:rsidR="006F6330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 xml:space="preserve">hallazgos; así como, </w:t>
            </w:r>
            <w:r w:rsidR="00191860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>el punto 11.3 d</w:t>
            </w:r>
            <w:r w:rsidR="00D80A2E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 xml:space="preserve">el plan de acción donde </w:t>
            </w:r>
            <w:r w:rsidR="00A945B6"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>se determinó que hay 336 oficinas con registro de cumplimiento inferior al 26%.</w:t>
            </w:r>
          </w:p>
        </w:tc>
      </w:tr>
      <w:tr w:rsidR="00854181" w:rsidRPr="00F412FC" w14:paraId="60594191" w14:textId="77777777" w:rsidTr="00CA19B4">
        <w:tc>
          <w:tcPr>
            <w:tcW w:w="4253" w:type="dxa"/>
          </w:tcPr>
          <w:p w14:paraId="712A4E64" w14:textId="1D753660" w:rsidR="00854181" w:rsidRPr="00F412FC" w:rsidRDefault="00BA4F37" w:rsidP="00854181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i/>
                <w:iCs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lastRenderedPageBreak/>
              <w:t xml:space="preserve">Tal y como se indicó en las observaciones anteriores, </w:t>
            </w:r>
            <w:r w:rsidR="00DF134D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la Sala Segunda debe ser excluido del cuadro 11 en el cual se enlistan </w:t>
            </w:r>
            <w:r w:rsidR="00021B08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los</w:t>
            </w:r>
            <w:r w:rsidR="00BA7907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despachos</w:t>
            </w:r>
            <w:r w:rsidR="00021B08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responsables estratégicos con metas operativas vinculadas al PEI con un porcentaje de cumplimiento menor al 26</w:t>
            </w:r>
            <w:r w:rsidR="00DE7C03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%; pues al 15 de junio de 2023, se encontraba </w:t>
            </w:r>
            <w:r w:rsidR="00EB57F2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con un porcentaje de avance de la meta PEI del 61%; y actualmente se encuentra</w:t>
            </w:r>
            <w:r w:rsidR="005D43A0" w:rsidRPr="00F412FC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 xml:space="preserve"> con un porcentaje de cumplimiento de la meta operativa PEI, de un 100%.</w:t>
            </w:r>
          </w:p>
        </w:tc>
        <w:tc>
          <w:tcPr>
            <w:tcW w:w="4786" w:type="dxa"/>
          </w:tcPr>
          <w:p w14:paraId="538B826E" w14:textId="3AF5DB3A" w:rsidR="00C77E4C" w:rsidRPr="00F412FC" w:rsidRDefault="00C77E4C" w:rsidP="00C77E4C">
            <w:pPr>
              <w:jc w:val="both"/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snapToGrid w:val="0"/>
                <w:sz w:val="24"/>
                <w:szCs w:val="24"/>
              </w:rPr>
              <w:t xml:space="preserve">En el Cuadro 11 denominado </w:t>
            </w:r>
            <w:r w:rsidRPr="00F412FC">
              <w:rPr>
                <w:rFonts w:ascii="Book Antiqua" w:hAnsi="Book Antiqua" w:cs="Book Antiqua"/>
                <w:i/>
                <w:iCs/>
                <w:snapToGrid w:val="0"/>
                <w:sz w:val="24"/>
                <w:szCs w:val="24"/>
              </w:rPr>
              <w:t>“</w:t>
            </w:r>
            <w:r w:rsidRPr="00F412FC">
              <w:rPr>
                <w:rFonts w:ascii="Book Antiqua" w:hAnsi="Book Antiqua"/>
                <w:i/>
                <w:iCs/>
                <w:sz w:val="24"/>
                <w:szCs w:val="24"/>
                <w:lang w:val="es-ES_tradnl"/>
              </w:rPr>
              <w:t xml:space="preserve">Cantidad de metas operativas vinculadas al PEI igual o menor al 26% de cumplimiento de acuerdo con el </w:t>
            </w:r>
            <w:proofErr w:type="gramStart"/>
            <w:r w:rsidRPr="00F412FC">
              <w:rPr>
                <w:rFonts w:ascii="Book Antiqua" w:hAnsi="Book Antiqua"/>
                <w:i/>
                <w:iCs/>
                <w:sz w:val="24"/>
                <w:szCs w:val="24"/>
                <w:lang w:val="es-ES_tradnl"/>
              </w:rPr>
              <w:t>Responsable</w:t>
            </w:r>
            <w:proofErr w:type="gramEnd"/>
            <w:r w:rsidRPr="00F412FC">
              <w:rPr>
                <w:rFonts w:ascii="Book Antiqua" w:hAnsi="Book Antiqua"/>
                <w:i/>
                <w:iCs/>
                <w:sz w:val="24"/>
                <w:szCs w:val="24"/>
                <w:lang w:val="es-ES_tradnl"/>
              </w:rPr>
              <w:t xml:space="preserve"> Estratégico”, </w:t>
            </w:r>
            <w:r w:rsidRPr="00F412FC">
              <w:rPr>
                <w:rFonts w:ascii="Book Antiqua" w:hAnsi="Book Antiqua"/>
                <w:sz w:val="24"/>
                <w:szCs w:val="24"/>
                <w:lang w:val="es-ES_tradnl"/>
              </w:rPr>
              <w:t xml:space="preserve">el propósito es informar </w:t>
            </w:r>
            <w:r w:rsidRPr="00F412FC">
              <w:rPr>
                <w:rFonts w:ascii="Book Antiqua" w:hAnsi="Book Antiqua"/>
                <w:sz w:val="24"/>
                <w:szCs w:val="24"/>
                <w:lang w:eastAsia="es-CR"/>
              </w:rPr>
              <w:t>oportunidades de mejora o hallazgos encontrados dentro del análisis del informe 1031-PLA-EV-2023</w:t>
            </w:r>
            <w:r w:rsidRPr="00F412FC">
              <w:rPr>
                <w:rFonts w:ascii="Book Antiqua" w:hAnsi="Book Antiqua"/>
                <w:sz w:val="24"/>
                <w:szCs w:val="24"/>
                <w:lang w:val="es-ES_tradnl"/>
              </w:rPr>
              <w:t xml:space="preserve"> y por error material se consignó </w:t>
            </w:r>
            <w:r w:rsidRPr="00F412FC">
              <w:rPr>
                <w:rFonts w:ascii="Book Antiqua" w:hAnsi="Book Antiqua" w:cs="Book Antiqua"/>
                <w:sz w:val="24"/>
                <w:szCs w:val="24"/>
              </w:rPr>
              <w:t xml:space="preserve">a la Sala Segunda con una meta operativa inferior al 26%; </w:t>
            </w:r>
            <w:r w:rsidRPr="00F412FC">
              <w:rPr>
                <w:rFonts w:ascii="Book Antiqua" w:hAnsi="Book Antiqua" w:cs="Book Antiqua"/>
                <w:b/>
                <w:bCs/>
                <w:sz w:val="24"/>
                <w:szCs w:val="24"/>
              </w:rPr>
              <w:t xml:space="preserve">por lo anterior, </w:t>
            </w:r>
            <w:r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se procede </w:t>
            </w:r>
            <w:r w:rsidR="00183067"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>con</w:t>
            </w:r>
            <w:r w:rsidRPr="00F412FC">
              <w:rPr>
                <w:rFonts w:ascii="Book Antiqua" w:hAnsi="Book Antiqua" w:cs="Book Antiqua"/>
                <w:b/>
                <w:bCs/>
                <w:snapToGrid w:val="0"/>
                <w:sz w:val="24"/>
                <w:szCs w:val="24"/>
              </w:rPr>
              <w:t xml:space="preserve"> la corrección del error material, excluyendo a la Sala Segunda del cuadro 11.</w:t>
            </w:r>
          </w:p>
          <w:p w14:paraId="7F0E3D79" w14:textId="77777777" w:rsidR="00854181" w:rsidRPr="00F412FC" w:rsidRDefault="00854181" w:rsidP="00FF0B04">
            <w:pPr>
              <w:jc w:val="both"/>
              <w:rPr>
                <w:rFonts w:ascii="Book Antiqua" w:hAnsi="Book Antiqua" w:cs="Book Antiqua"/>
                <w:snapToGrid w:val="0"/>
                <w:sz w:val="24"/>
                <w:szCs w:val="24"/>
              </w:rPr>
            </w:pPr>
          </w:p>
        </w:tc>
      </w:tr>
    </w:tbl>
    <w:p w14:paraId="482EDDC0" w14:textId="526CF13F" w:rsidR="00435A97" w:rsidRPr="00F412FC" w:rsidRDefault="00435A97" w:rsidP="00A233B6">
      <w:pPr>
        <w:pStyle w:val="Prrafodelista"/>
        <w:rPr>
          <w:rFonts w:ascii="Book Antiqua" w:hAnsi="Book Antiqua" w:cs="Book Antiqua"/>
          <w:snapToGrid w:val="0"/>
          <w:sz w:val="24"/>
          <w:szCs w:val="24"/>
        </w:rPr>
      </w:pPr>
    </w:p>
    <w:p w14:paraId="386FDA33" w14:textId="2F68AE0C" w:rsidR="00B3065D" w:rsidRPr="00F412FC" w:rsidRDefault="00B3065D" w:rsidP="00A233B6">
      <w:pPr>
        <w:pStyle w:val="Prrafodelista"/>
        <w:rPr>
          <w:rFonts w:ascii="Book Antiqua" w:hAnsi="Book Antiqua" w:cs="Book Antiqua"/>
          <w:snapToGrid w:val="0"/>
          <w:sz w:val="24"/>
          <w:szCs w:val="24"/>
        </w:rPr>
      </w:pPr>
    </w:p>
    <w:p w14:paraId="5DE9DD65" w14:textId="7550C14C" w:rsidR="00B3065D" w:rsidRPr="00F412FC" w:rsidRDefault="00F62C03" w:rsidP="00F62C03">
      <w:pPr>
        <w:pStyle w:val="Prrafodelista"/>
        <w:numPr>
          <w:ilvl w:val="0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b/>
          <w:bCs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b/>
          <w:bCs/>
          <w:snapToGrid w:val="0"/>
          <w:sz w:val="24"/>
          <w:szCs w:val="24"/>
        </w:rPr>
        <w:t>Adición y Aclaración</w:t>
      </w:r>
    </w:p>
    <w:p w14:paraId="6866907B" w14:textId="135F724D" w:rsidR="00B3065D" w:rsidRPr="00F412FC" w:rsidRDefault="00B3065D" w:rsidP="00A233B6">
      <w:pPr>
        <w:pStyle w:val="Prrafodelista"/>
        <w:rPr>
          <w:rFonts w:ascii="Book Antiqua" w:hAnsi="Book Antiqua" w:cs="Book Antiqua"/>
          <w:snapToGrid w:val="0"/>
          <w:sz w:val="24"/>
          <w:szCs w:val="24"/>
        </w:rPr>
      </w:pPr>
    </w:p>
    <w:p w14:paraId="360C9FF8" w14:textId="0070AE26" w:rsidR="0001478D" w:rsidRPr="00F412FC" w:rsidRDefault="00C6333F" w:rsidP="00D35685">
      <w:pPr>
        <w:pStyle w:val="Prrafodelista"/>
        <w:numPr>
          <w:ilvl w:val="1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</w:t>
      </w:r>
      <w:r w:rsidR="00F70B37" w:rsidRPr="00F412FC">
        <w:rPr>
          <w:rFonts w:ascii="Book Antiqua" w:hAnsi="Book Antiqua" w:cs="Book Antiqua"/>
          <w:snapToGrid w:val="0"/>
          <w:sz w:val="24"/>
          <w:szCs w:val="24"/>
        </w:rPr>
        <w:t>E</w:t>
      </w:r>
      <w:r w:rsidR="00A233B6" w:rsidRPr="00F412FC">
        <w:rPr>
          <w:rFonts w:ascii="Book Antiqua" w:hAnsi="Book Antiqua" w:cs="Book Antiqua"/>
          <w:snapToGrid w:val="0"/>
          <w:sz w:val="24"/>
          <w:szCs w:val="24"/>
        </w:rPr>
        <w:t>n el informe</w:t>
      </w:r>
      <w:r w:rsidR="00BB706E" w:rsidRPr="00F412FC">
        <w:rPr>
          <w:rFonts w:ascii="Book Antiqua" w:hAnsi="Book Antiqua" w:cs="Book Antiqua"/>
          <w:snapToGrid w:val="0"/>
          <w:sz w:val="24"/>
          <w:szCs w:val="24"/>
        </w:rPr>
        <w:t xml:space="preserve"> </w:t>
      </w:r>
      <w:r w:rsidR="005B699A" w:rsidRPr="00F412FC">
        <w:rPr>
          <w:rFonts w:ascii="Book Antiqua" w:hAnsi="Book Antiqua" w:cs="Book Antiqua"/>
          <w:snapToGrid w:val="0"/>
          <w:sz w:val="24"/>
          <w:szCs w:val="24"/>
        </w:rPr>
        <w:t>1031</w:t>
      </w:r>
      <w:r w:rsidR="00BB706E" w:rsidRPr="00F412FC">
        <w:rPr>
          <w:rFonts w:ascii="Book Antiqua" w:hAnsi="Book Antiqua" w:cs="Book Antiqua"/>
          <w:snapToGrid w:val="0"/>
          <w:sz w:val="24"/>
          <w:szCs w:val="24"/>
        </w:rPr>
        <w:t>-PLA-EV-</w:t>
      </w:r>
      <w:proofErr w:type="gramStart"/>
      <w:r w:rsidR="00BB706E" w:rsidRPr="00F412FC">
        <w:rPr>
          <w:rFonts w:ascii="Book Antiqua" w:hAnsi="Book Antiqua" w:cs="Book Antiqua"/>
          <w:snapToGrid w:val="0"/>
          <w:sz w:val="24"/>
          <w:szCs w:val="24"/>
        </w:rPr>
        <w:t>202</w:t>
      </w:r>
      <w:r w:rsidR="005B699A" w:rsidRPr="00F412FC">
        <w:rPr>
          <w:rFonts w:ascii="Book Antiqua" w:hAnsi="Book Antiqua" w:cs="Book Antiqua"/>
          <w:snapToGrid w:val="0"/>
          <w:sz w:val="24"/>
          <w:szCs w:val="24"/>
        </w:rPr>
        <w:t>3</w:t>
      </w:r>
      <w:r w:rsidR="00A233B6" w:rsidRPr="00F412FC">
        <w:rPr>
          <w:rFonts w:ascii="Book Antiqua" w:hAnsi="Book Antiqua" w:cs="Book Antiqua"/>
          <w:snapToGrid w:val="0"/>
          <w:sz w:val="24"/>
          <w:szCs w:val="24"/>
        </w:rPr>
        <w:t>,  por</w:t>
      </w:r>
      <w:proofErr w:type="gramEnd"/>
      <w:r w:rsidR="00A233B6" w:rsidRPr="00F412FC">
        <w:rPr>
          <w:rFonts w:ascii="Book Antiqua" w:hAnsi="Book Antiqua" w:cs="Book Antiqua"/>
          <w:snapToGrid w:val="0"/>
          <w:sz w:val="24"/>
          <w:szCs w:val="24"/>
        </w:rPr>
        <w:t xml:space="preserve"> error material se consigna</w:t>
      </w:r>
      <w:r w:rsidR="0001478D" w:rsidRPr="00F412FC">
        <w:rPr>
          <w:rFonts w:ascii="Book Antiqua" w:hAnsi="Book Antiqua" w:cs="Book Antiqua"/>
          <w:snapToGrid w:val="0"/>
          <w:sz w:val="24"/>
          <w:szCs w:val="24"/>
        </w:rPr>
        <w:t xml:space="preserve"> en el Cuadro 8 denominado </w:t>
      </w:r>
      <w:r w:rsidR="0001478D" w:rsidRPr="00F412FC">
        <w:rPr>
          <w:rFonts w:ascii="Book Antiqua" w:hAnsi="Book Antiqua" w:cs="Book Antiqua"/>
          <w:i/>
          <w:iCs/>
          <w:snapToGrid w:val="0"/>
          <w:sz w:val="24"/>
          <w:szCs w:val="24"/>
        </w:rPr>
        <w:t>“</w:t>
      </w:r>
      <w:r w:rsidR="0001478D" w:rsidRPr="00F412FC">
        <w:rPr>
          <w:rFonts w:ascii="Book Antiqua" w:hAnsi="Book Antiqua"/>
          <w:i/>
          <w:iCs/>
          <w:sz w:val="24"/>
          <w:szCs w:val="24"/>
          <w:lang w:val="es-ES_tradnl"/>
        </w:rPr>
        <w:t xml:space="preserve">Cantidad de metas operativas vinculadas al PEI igual o menor al 26% de cumplimiento de acuerdo con el Responsable Estratégico”, </w:t>
      </w:r>
      <w:r w:rsidR="0001478D" w:rsidRPr="00F412FC">
        <w:rPr>
          <w:rFonts w:ascii="Book Antiqua" w:hAnsi="Book Antiqua"/>
          <w:sz w:val="24"/>
          <w:szCs w:val="24"/>
          <w:lang w:val="es-ES_tradnl"/>
        </w:rPr>
        <w:t>el propósito es informar los responsables estratégicos que cuentan con metas operativas inferior al 26%</w:t>
      </w:r>
      <w:r w:rsidR="00255ACE" w:rsidRPr="00F412FC">
        <w:rPr>
          <w:rFonts w:ascii="Book Antiqua" w:hAnsi="Book Antiqua"/>
          <w:sz w:val="24"/>
          <w:szCs w:val="24"/>
          <w:lang w:val="es-ES_tradnl"/>
        </w:rPr>
        <w:t>.</w:t>
      </w:r>
    </w:p>
    <w:p w14:paraId="6A839A39" w14:textId="77777777" w:rsidR="003217AD" w:rsidRPr="00F412FC" w:rsidRDefault="003217AD" w:rsidP="00255ACE">
      <w:pPr>
        <w:rPr>
          <w:rFonts w:ascii="Book Antiqua" w:hAnsi="Book Antiqua"/>
          <w:snapToGrid w:val="0"/>
          <w:sz w:val="24"/>
          <w:szCs w:val="24"/>
        </w:rPr>
      </w:pPr>
    </w:p>
    <w:p w14:paraId="1F09D244" w14:textId="2B1CC49E" w:rsidR="00A233B6" w:rsidRPr="00F412FC" w:rsidRDefault="00BB706E" w:rsidP="00D975CB">
      <w:pPr>
        <w:pStyle w:val="Prrafodelista"/>
        <w:numPr>
          <w:ilvl w:val="1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En el informe originalmente</w:t>
      </w:r>
      <w:r w:rsidR="001E70BC" w:rsidRPr="00F412FC">
        <w:rPr>
          <w:rFonts w:ascii="Book Antiqua" w:hAnsi="Book Antiqua" w:cs="Book Antiqua"/>
          <w:snapToGrid w:val="0"/>
          <w:sz w:val="24"/>
          <w:szCs w:val="24"/>
        </w:rPr>
        <w:t xml:space="preserve"> </w:t>
      </w:r>
      <w:r w:rsidR="00A233B6" w:rsidRPr="00F412FC">
        <w:rPr>
          <w:rFonts w:ascii="Book Antiqua" w:hAnsi="Book Antiqua" w:cs="Book Antiqua"/>
          <w:snapToGrid w:val="0"/>
          <w:sz w:val="24"/>
          <w:szCs w:val="24"/>
        </w:rPr>
        <w:t xml:space="preserve">se muestra 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de la siguiente </w:t>
      </w:r>
      <w:r w:rsidR="001E70BC" w:rsidRPr="00F412FC">
        <w:rPr>
          <w:rFonts w:ascii="Book Antiqua" w:hAnsi="Book Antiqua" w:cs="Book Antiqua"/>
          <w:snapToGrid w:val="0"/>
          <w:sz w:val="24"/>
          <w:szCs w:val="24"/>
        </w:rPr>
        <w:t>forma</w:t>
      </w:r>
      <w:r w:rsidR="006050F5" w:rsidRPr="00F412FC">
        <w:rPr>
          <w:rFonts w:ascii="Book Antiqua" w:hAnsi="Book Antiqua" w:cs="Book Antiqua"/>
          <w:snapToGrid w:val="0"/>
          <w:sz w:val="24"/>
          <w:szCs w:val="24"/>
        </w:rPr>
        <w:t xml:space="preserve"> (lo marcado en gris y negrita no es parte del original, corresponde al error material detectado)</w:t>
      </w:r>
      <w:r w:rsidR="001E70BC" w:rsidRPr="00F412FC">
        <w:rPr>
          <w:rFonts w:ascii="Book Antiqua" w:hAnsi="Book Antiqua" w:cs="Book Antiqua"/>
          <w:snapToGrid w:val="0"/>
          <w:sz w:val="24"/>
          <w:szCs w:val="24"/>
        </w:rPr>
        <w:t>:</w:t>
      </w:r>
    </w:p>
    <w:p w14:paraId="66D31CB1" w14:textId="77777777" w:rsidR="003C73EF" w:rsidRPr="00F412FC" w:rsidRDefault="003C73EF" w:rsidP="003C73EF">
      <w:pPr>
        <w:pStyle w:val="Descripcin"/>
        <w:ind w:left="360"/>
        <w:jc w:val="center"/>
        <w:rPr>
          <w:rFonts w:ascii="Book Antiqua" w:hAnsi="Book Antiqua"/>
          <w:b/>
          <w:bCs/>
          <w:i w:val="0"/>
          <w:iCs w:val="0"/>
          <w:noProof/>
          <w:color w:val="auto"/>
          <w:sz w:val="24"/>
          <w:szCs w:val="24"/>
        </w:rPr>
      </w:pP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</w:rPr>
        <w:t xml:space="preserve">Cuadro </w:t>
      </w: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</w:rPr>
        <w:instrText xml:space="preserve"> SEQ Cuadro \* ARABIC </w:instrText>
      </w: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F412FC">
        <w:rPr>
          <w:rFonts w:ascii="Book Antiqua" w:hAnsi="Book Antiqua"/>
          <w:b/>
          <w:bCs/>
          <w:i w:val="0"/>
          <w:iCs w:val="0"/>
          <w:noProof/>
          <w:color w:val="auto"/>
          <w:sz w:val="24"/>
          <w:szCs w:val="24"/>
        </w:rPr>
        <w:t>8</w:t>
      </w:r>
      <w:r w:rsidRPr="00F412FC">
        <w:rPr>
          <w:rFonts w:ascii="Book Antiqua" w:hAnsi="Book Antiqua"/>
          <w:b/>
          <w:bCs/>
          <w:i w:val="0"/>
          <w:iCs w:val="0"/>
          <w:noProof/>
          <w:color w:val="auto"/>
          <w:sz w:val="24"/>
          <w:szCs w:val="24"/>
        </w:rPr>
        <w:fldChar w:fldCharType="end"/>
      </w:r>
    </w:p>
    <w:p w14:paraId="7491175A" w14:textId="7DF2CDEE" w:rsidR="003C73EF" w:rsidRPr="00F412FC" w:rsidRDefault="003C73EF" w:rsidP="003C73EF">
      <w:pPr>
        <w:pStyle w:val="Descripcin"/>
        <w:ind w:left="360"/>
        <w:jc w:val="center"/>
        <w:rPr>
          <w:rFonts w:ascii="Book Antiqua" w:hAnsi="Book Antiqua"/>
          <w:b/>
          <w:bCs/>
          <w:i w:val="0"/>
          <w:iCs w:val="0"/>
          <w:noProof/>
          <w:color w:val="auto"/>
          <w:sz w:val="24"/>
          <w:szCs w:val="24"/>
        </w:rPr>
      </w:pP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  <w:lang w:val="es-ES_tradnl"/>
        </w:rPr>
        <w:t xml:space="preserve">Cantidad de metas operativas vinculadas al PEI igual o menor al 26% de cumplimiento de acuerdo con el </w:t>
      </w:r>
      <w:proofErr w:type="gramStart"/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  <w:lang w:val="es-ES_tradnl"/>
        </w:rPr>
        <w:t>Responsable</w:t>
      </w:r>
      <w:proofErr w:type="gramEnd"/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  <w:lang w:val="es-ES_tradnl"/>
        </w:rPr>
        <w:t xml:space="preserve"> Estratégico</w:t>
      </w:r>
    </w:p>
    <w:p w14:paraId="7D39D4AC" w14:textId="77777777" w:rsidR="003C73EF" w:rsidRPr="00F412FC" w:rsidRDefault="003C73EF" w:rsidP="003C73EF">
      <w:pPr>
        <w:pStyle w:val="Prrafodelista"/>
        <w:spacing w:after="0"/>
        <w:ind w:left="360"/>
        <w:jc w:val="both"/>
        <w:rPr>
          <w:rFonts w:ascii="Book Antiqua" w:hAnsi="Book Antiqua" w:cs="Arial"/>
          <w:sz w:val="24"/>
          <w:szCs w:val="24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2551"/>
      </w:tblGrid>
      <w:tr w:rsidR="003C73EF" w:rsidRPr="00F412FC" w14:paraId="25BD8A3F" w14:textId="77777777" w:rsidTr="007909EA">
        <w:trPr>
          <w:trHeight w:val="290"/>
          <w:jc w:val="center"/>
        </w:trPr>
        <w:tc>
          <w:tcPr>
            <w:tcW w:w="5524" w:type="dxa"/>
            <w:shd w:val="clear" w:color="000000" w:fill="0070C0"/>
            <w:vAlign w:val="center"/>
            <w:hideMark/>
          </w:tcPr>
          <w:p w14:paraId="2EA0C9CA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</w:pPr>
            <w:bookmarkStart w:id="1" w:name="_Hlk142990034"/>
            <w:r w:rsidRPr="00F412FC"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  <w:t xml:space="preserve">Responsable Estratégico </w:t>
            </w:r>
          </w:p>
        </w:tc>
        <w:tc>
          <w:tcPr>
            <w:tcW w:w="2551" w:type="dxa"/>
            <w:shd w:val="clear" w:color="000000" w:fill="0070C0"/>
            <w:noWrap/>
            <w:vAlign w:val="bottom"/>
            <w:hideMark/>
          </w:tcPr>
          <w:p w14:paraId="696A153C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  <w:t>Cantidad de metas operativas</w:t>
            </w:r>
          </w:p>
        </w:tc>
      </w:tr>
      <w:tr w:rsidR="003C73EF" w:rsidRPr="00F412FC" w14:paraId="32868E6F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736D587E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Centro de Apoyo, Coordinación y Mejoramiento de la Función Jurisdiccional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4E8D029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203</w:t>
            </w:r>
          </w:p>
        </w:tc>
      </w:tr>
      <w:tr w:rsidR="003C73EF" w:rsidRPr="00F412FC" w14:paraId="5A13A489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6F13147C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Fiscalia General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A05C2EC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17</w:t>
            </w:r>
          </w:p>
        </w:tc>
      </w:tr>
      <w:tr w:rsidR="003C73EF" w:rsidRPr="00F412FC" w14:paraId="7D950830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3E9BFC94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Consejo Superior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1358752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13</w:t>
            </w:r>
          </w:p>
        </w:tc>
      </w:tr>
      <w:tr w:rsidR="003C73EF" w:rsidRPr="00F412FC" w14:paraId="3708C0AE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59680A81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de Planificación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767DFFE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9</w:t>
            </w:r>
          </w:p>
        </w:tc>
      </w:tr>
      <w:tr w:rsidR="003C73EF" w:rsidRPr="00F412FC" w14:paraId="09B9BCEE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65D4AFE5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Secretaría Técnica de Género y Acceso a la Justicia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B6CD87B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6</w:t>
            </w:r>
          </w:p>
        </w:tc>
      </w:tr>
      <w:tr w:rsidR="003C73EF" w:rsidRPr="00F412FC" w14:paraId="7D59A47B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3591AC8F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Gestión Humana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095C956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4</w:t>
            </w:r>
          </w:p>
        </w:tc>
      </w:tr>
      <w:tr w:rsidR="003C73EF" w:rsidRPr="00F412FC" w14:paraId="45208DDD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73080462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Oficina De Cumplimiento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59D0DA1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3</w:t>
            </w:r>
          </w:p>
        </w:tc>
      </w:tr>
      <w:tr w:rsidR="003C73EF" w:rsidRPr="00F412FC" w14:paraId="0919B6DC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0CEF2FDB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Comisión Nacional para el Mejoramiento de la Administración de Justicia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F0B8C7F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</w:t>
            </w:r>
          </w:p>
        </w:tc>
      </w:tr>
      <w:tr w:rsidR="003C73EF" w:rsidRPr="00F412FC" w14:paraId="33D57E39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3A88DDC7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Despacho de la Presidencia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FB0FC8D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</w:t>
            </w:r>
          </w:p>
        </w:tc>
      </w:tr>
      <w:tr w:rsidR="003C73EF" w:rsidRPr="00F412FC" w14:paraId="37E066FD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205811BF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Ejecutiva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DAD9956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</w:t>
            </w:r>
          </w:p>
        </w:tc>
      </w:tr>
      <w:tr w:rsidR="003C73EF" w:rsidRPr="00F412FC" w14:paraId="45B67A5D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36DBBD5F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Departamento de Prensa y Comunicación Organizacional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6FCA79A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3C73EF" w:rsidRPr="00F412FC" w14:paraId="78BF0D33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04811D34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de Tecnología De Información y Comunicaciones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849F814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3C73EF" w:rsidRPr="00F412FC" w14:paraId="30526509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546A59FB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General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F0AE726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3C73EF" w:rsidRPr="00F412FC" w14:paraId="336BD52C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63FAE801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Escuela Judicial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BA3511F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3C73EF" w:rsidRPr="00F412FC" w14:paraId="07F34A11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4ADDDAB1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Inspección Judicial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C1B8CBF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3C73EF" w:rsidRPr="00F412FC" w14:paraId="23E68786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1B6D1704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Juzgado Notarial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318A7B4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3C73EF" w:rsidRPr="00F412FC" w14:paraId="03E3A3E6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6A6A6" w:themeFill="background1" w:themeFillShade="A6"/>
            <w:vAlign w:val="center"/>
            <w:hideMark/>
          </w:tcPr>
          <w:p w14:paraId="5DE9DF11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  <w:t xml:space="preserve">Sala Segunda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6A6A6" w:themeFill="background1" w:themeFillShade="A6"/>
            <w:noWrap/>
            <w:vAlign w:val="bottom"/>
            <w:hideMark/>
          </w:tcPr>
          <w:p w14:paraId="701F82A3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3C73EF" w:rsidRPr="00F412FC" w14:paraId="2A995F29" w14:textId="77777777" w:rsidTr="007909EA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4F136B9F" w14:textId="77777777" w:rsidR="003C73EF" w:rsidRPr="00F412FC" w:rsidRDefault="003C73EF" w:rsidP="005D2CED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  <w:t>TOTAL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7148E06" w14:textId="77777777" w:rsidR="003C73EF" w:rsidRPr="00F412FC" w:rsidRDefault="003C73E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  <w:t>268</w:t>
            </w:r>
          </w:p>
        </w:tc>
      </w:tr>
    </w:tbl>
    <w:bookmarkEnd w:id="1"/>
    <w:p w14:paraId="58E47FB6" w14:textId="552D2E16" w:rsidR="003C73EF" w:rsidRPr="00F412FC" w:rsidRDefault="007909EA" w:rsidP="007909EA">
      <w:pPr>
        <w:jc w:val="both"/>
        <w:rPr>
          <w:rFonts w:ascii="Book Antiqua" w:hAnsi="Book Antiqua"/>
          <w:sz w:val="24"/>
          <w:szCs w:val="24"/>
          <w:lang w:val="es-ES_tradnl"/>
        </w:rPr>
      </w:pPr>
      <w:r w:rsidRPr="00F412FC">
        <w:rPr>
          <w:rFonts w:ascii="Book Antiqua" w:hAnsi="Book Antiqua" w:cs="Arial"/>
          <w:b/>
          <w:bCs/>
          <w:sz w:val="24"/>
          <w:szCs w:val="24"/>
        </w:rPr>
        <w:t xml:space="preserve">       </w:t>
      </w:r>
      <w:r w:rsidR="003C73EF" w:rsidRPr="00F412FC">
        <w:rPr>
          <w:rFonts w:ascii="Book Antiqua" w:hAnsi="Book Antiqua" w:cs="Arial"/>
          <w:b/>
          <w:bCs/>
          <w:sz w:val="24"/>
          <w:szCs w:val="24"/>
        </w:rPr>
        <w:t>Fuente:</w:t>
      </w:r>
      <w:r w:rsidR="003C73EF" w:rsidRPr="00F412FC">
        <w:rPr>
          <w:rFonts w:ascii="Book Antiqua" w:hAnsi="Book Antiqua" w:cs="Arial"/>
          <w:sz w:val="24"/>
          <w:szCs w:val="24"/>
        </w:rPr>
        <w:t xml:space="preserve"> Sistema PAO al 30 de junio del 2023.</w:t>
      </w:r>
    </w:p>
    <w:p w14:paraId="1ECBA6C9" w14:textId="1944579A" w:rsidR="00A233B6" w:rsidRPr="00F412FC" w:rsidRDefault="00A233B6" w:rsidP="000F3E3D">
      <w:pPr>
        <w:jc w:val="center"/>
        <w:rPr>
          <w:rFonts w:ascii="Book Antiqua" w:hAnsi="Book Antiqua"/>
          <w:b/>
          <w:bCs/>
          <w:i/>
          <w:iCs/>
          <w:sz w:val="24"/>
          <w:szCs w:val="24"/>
          <w:lang w:val="es-ES_tradnl"/>
        </w:rPr>
      </w:pPr>
    </w:p>
    <w:p w14:paraId="7F766B07" w14:textId="7DD590A3" w:rsidR="00A233B6" w:rsidRPr="00F412FC" w:rsidDel="00EF5C2A" w:rsidRDefault="006050F5" w:rsidP="00D975CB">
      <w:pPr>
        <w:pStyle w:val="Prrafodelista"/>
        <w:numPr>
          <w:ilvl w:val="1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Por lo que e</w:t>
      </w:r>
      <w:r w:rsidR="00A233B6" w:rsidRPr="00F412FC" w:rsidDel="00EF5C2A">
        <w:rPr>
          <w:rFonts w:ascii="Book Antiqua" w:hAnsi="Book Antiqua" w:cs="Book Antiqua"/>
          <w:snapToGrid w:val="0"/>
          <w:sz w:val="24"/>
          <w:szCs w:val="24"/>
        </w:rPr>
        <w:t xml:space="preserve">n el Cuadro </w:t>
      </w:r>
      <w:r w:rsidR="00496A73" w:rsidRPr="00F412FC">
        <w:rPr>
          <w:rFonts w:ascii="Book Antiqua" w:hAnsi="Book Antiqua" w:cs="Book Antiqua"/>
          <w:snapToGrid w:val="0"/>
          <w:sz w:val="24"/>
          <w:szCs w:val="24"/>
        </w:rPr>
        <w:t xml:space="preserve">8 denominado </w:t>
      </w:r>
      <w:r w:rsidR="00496A73" w:rsidRPr="00F412FC">
        <w:rPr>
          <w:rFonts w:ascii="Book Antiqua" w:hAnsi="Book Antiqua" w:cs="Book Antiqua"/>
          <w:b/>
          <w:bCs/>
          <w:i/>
          <w:iCs/>
          <w:snapToGrid w:val="0"/>
          <w:sz w:val="24"/>
          <w:szCs w:val="24"/>
        </w:rPr>
        <w:t>“</w:t>
      </w:r>
      <w:r w:rsidR="00496A73" w:rsidRPr="00F412FC">
        <w:rPr>
          <w:rFonts w:ascii="Book Antiqua" w:hAnsi="Book Antiqua"/>
          <w:b/>
          <w:bCs/>
          <w:i/>
          <w:iCs/>
          <w:sz w:val="24"/>
          <w:szCs w:val="24"/>
          <w:lang w:val="es-ES_tradnl"/>
        </w:rPr>
        <w:t>Cantidad de metas operativas vinculadas al PEI igual o menor al 26% de cumplimiento de acuerdo con el Responsable Estratégico</w:t>
      </w:r>
      <w:proofErr w:type="gramStart"/>
      <w:r w:rsidR="00496A73" w:rsidRPr="00F412FC">
        <w:rPr>
          <w:rFonts w:ascii="Book Antiqua" w:hAnsi="Book Antiqua"/>
          <w:b/>
          <w:bCs/>
          <w:i/>
          <w:iCs/>
          <w:sz w:val="24"/>
          <w:szCs w:val="24"/>
          <w:lang w:val="es-ES_tradnl"/>
        </w:rPr>
        <w:t>”</w:t>
      </w:r>
      <w:r w:rsidR="00496A73" w:rsidRPr="00F412FC">
        <w:rPr>
          <w:rFonts w:ascii="Book Antiqua" w:hAnsi="Book Antiqua"/>
          <w:i/>
          <w:iCs/>
          <w:sz w:val="24"/>
          <w:szCs w:val="24"/>
          <w:lang w:val="es-ES_tradnl"/>
        </w:rPr>
        <w:t>,</w:t>
      </w:r>
      <w:r w:rsidR="00A233B6" w:rsidRPr="00F412FC" w:rsidDel="00EF5C2A">
        <w:rPr>
          <w:rFonts w:ascii="Book Antiqua" w:hAnsi="Book Antiqua" w:cs="Book Antiqua"/>
          <w:snapToGrid w:val="0"/>
          <w:sz w:val="24"/>
          <w:szCs w:val="24"/>
        </w:rPr>
        <w:t xml:space="preserve">  deberá</w:t>
      </w:r>
      <w:proofErr w:type="gramEnd"/>
      <w:r w:rsidR="00A233B6" w:rsidRPr="00F412FC" w:rsidDel="00EF5C2A">
        <w:rPr>
          <w:rFonts w:ascii="Book Antiqua" w:hAnsi="Book Antiqua" w:cs="Book Antiqua"/>
          <w:snapToGrid w:val="0"/>
          <w:sz w:val="24"/>
          <w:szCs w:val="24"/>
        </w:rPr>
        <w:t xml:space="preserve"> de excluirse </w:t>
      </w:r>
      <w:r w:rsidR="00496A73" w:rsidRPr="00F412FC">
        <w:rPr>
          <w:rFonts w:ascii="Book Antiqua" w:hAnsi="Book Antiqua" w:cs="Book Antiqua"/>
          <w:snapToGrid w:val="0"/>
          <w:sz w:val="24"/>
          <w:szCs w:val="24"/>
        </w:rPr>
        <w:t xml:space="preserve">la Sala Segunda </w:t>
      </w:r>
      <w:r w:rsidR="00A233B6" w:rsidRPr="00F412FC" w:rsidDel="00EF5C2A">
        <w:rPr>
          <w:rFonts w:ascii="Book Antiqua" w:hAnsi="Book Antiqua" w:cs="Book Antiqua"/>
          <w:snapToGrid w:val="0"/>
          <w:sz w:val="24"/>
          <w:szCs w:val="24"/>
        </w:rPr>
        <w:t>y debe leerse de la siguiente manera:</w:t>
      </w:r>
    </w:p>
    <w:p w14:paraId="2A4994B6" w14:textId="77777777" w:rsidR="00496A73" w:rsidRPr="00F412FC" w:rsidRDefault="00496A73" w:rsidP="00496A73">
      <w:pPr>
        <w:pStyle w:val="Descripcin"/>
        <w:ind w:left="360"/>
        <w:jc w:val="center"/>
        <w:rPr>
          <w:rFonts w:ascii="Book Antiqua" w:hAnsi="Book Antiqua"/>
          <w:b/>
          <w:bCs/>
          <w:i w:val="0"/>
          <w:iCs w:val="0"/>
          <w:noProof/>
          <w:color w:val="auto"/>
          <w:sz w:val="24"/>
          <w:szCs w:val="24"/>
        </w:rPr>
      </w:pP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</w:rPr>
        <w:t xml:space="preserve">Cuadro </w:t>
      </w: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</w:rPr>
        <w:instrText xml:space="preserve"> SEQ Cuadro \* ARABIC </w:instrText>
      </w: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F412FC">
        <w:rPr>
          <w:rFonts w:ascii="Book Antiqua" w:hAnsi="Book Antiqua"/>
          <w:b/>
          <w:bCs/>
          <w:i w:val="0"/>
          <w:iCs w:val="0"/>
          <w:noProof/>
          <w:color w:val="auto"/>
          <w:sz w:val="24"/>
          <w:szCs w:val="24"/>
        </w:rPr>
        <w:t>8</w:t>
      </w:r>
      <w:r w:rsidRPr="00F412FC">
        <w:rPr>
          <w:rFonts w:ascii="Book Antiqua" w:hAnsi="Book Antiqua"/>
          <w:b/>
          <w:bCs/>
          <w:i w:val="0"/>
          <w:iCs w:val="0"/>
          <w:noProof/>
          <w:color w:val="auto"/>
          <w:sz w:val="24"/>
          <w:szCs w:val="24"/>
        </w:rPr>
        <w:fldChar w:fldCharType="end"/>
      </w:r>
    </w:p>
    <w:p w14:paraId="63DAD352" w14:textId="1DCD4382" w:rsidR="00496A73" w:rsidRPr="00F412FC" w:rsidRDefault="00496A73" w:rsidP="00496A73">
      <w:pPr>
        <w:pStyle w:val="Descripcin"/>
        <w:ind w:left="360"/>
        <w:jc w:val="center"/>
        <w:rPr>
          <w:rFonts w:ascii="Book Antiqua" w:hAnsi="Book Antiqua"/>
          <w:b/>
          <w:bCs/>
          <w:i w:val="0"/>
          <w:iCs w:val="0"/>
          <w:noProof/>
          <w:color w:val="auto"/>
          <w:sz w:val="24"/>
          <w:szCs w:val="24"/>
        </w:rPr>
      </w:pP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  <w:lang w:val="es-ES_tradnl"/>
        </w:rPr>
        <w:t xml:space="preserve">Cantidad de metas operativas vinculadas al PEI igual o menor al 26% de cumplimiento de acuerdo con el </w:t>
      </w:r>
      <w:proofErr w:type="gramStart"/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  <w:lang w:val="es-ES_tradnl"/>
        </w:rPr>
        <w:t>Responsable</w:t>
      </w:r>
      <w:proofErr w:type="gramEnd"/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  <w:lang w:val="es-ES_tradnl"/>
        </w:rPr>
        <w:t xml:space="preserve"> Estratégico.</w:t>
      </w:r>
    </w:p>
    <w:p w14:paraId="5CE9DC62" w14:textId="77777777" w:rsidR="00496A73" w:rsidRPr="00F412FC" w:rsidRDefault="00496A73" w:rsidP="00496A73">
      <w:pPr>
        <w:pStyle w:val="Prrafodelista"/>
        <w:spacing w:after="0"/>
        <w:ind w:left="360"/>
        <w:jc w:val="both"/>
        <w:rPr>
          <w:rFonts w:ascii="Book Antiqua" w:hAnsi="Book Antiqua" w:cs="Arial"/>
          <w:sz w:val="24"/>
          <w:szCs w:val="24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2551"/>
      </w:tblGrid>
      <w:tr w:rsidR="00496A73" w:rsidRPr="00F412FC" w14:paraId="696538CC" w14:textId="77777777" w:rsidTr="00496A73">
        <w:trPr>
          <w:trHeight w:val="290"/>
          <w:jc w:val="center"/>
        </w:trPr>
        <w:tc>
          <w:tcPr>
            <w:tcW w:w="5524" w:type="dxa"/>
            <w:shd w:val="clear" w:color="000000" w:fill="0070C0"/>
            <w:vAlign w:val="center"/>
            <w:hideMark/>
          </w:tcPr>
          <w:p w14:paraId="12B89583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  <w:t xml:space="preserve">Responsable Estratégico </w:t>
            </w:r>
          </w:p>
        </w:tc>
        <w:tc>
          <w:tcPr>
            <w:tcW w:w="2551" w:type="dxa"/>
            <w:shd w:val="clear" w:color="000000" w:fill="0070C0"/>
            <w:noWrap/>
            <w:vAlign w:val="bottom"/>
            <w:hideMark/>
          </w:tcPr>
          <w:p w14:paraId="4E4C8A5F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  <w:t>Cantidad de metas operativas</w:t>
            </w:r>
          </w:p>
        </w:tc>
      </w:tr>
      <w:tr w:rsidR="00496A73" w:rsidRPr="00F412FC" w14:paraId="372586A6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6B40E597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Centro de Apoyo, Coordinación y Mejoramiento de la Función Jurisdiccional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3B4B8E2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203</w:t>
            </w:r>
          </w:p>
        </w:tc>
      </w:tr>
      <w:tr w:rsidR="00496A73" w:rsidRPr="00F412FC" w14:paraId="19097A2B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35AB7243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Fiscalia General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D4B33A8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17</w:t>
            </w:r>
          </w:p>
        </w:tc>
      </w:tr>
      <w:tr w:rsidR="00496A73" w:rsidRPr="00F412FC" w14:paraId="4999D3A1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1BA077B3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Consejo Superior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61CCAB7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13</w:t>
            </w:r>
          </w:p>
        </w:tc>
      </w:tr>
      <w:tr w:rsidR="00496A73" w:rsidRPr="00F412FC" w14:paraId="45D7144B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2D5898C9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de Planificación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AEA33EE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9</w:t>
            </w:r>
          </w:p>
        </w:tc>
      </w:tr>
      <w:tr w:rsidR="00496A73" w:rsidRPr="00F412FC" w14:paraId="2C713470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67324B20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Secretaría Técnica de Género y Acceso a la Justicia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F78E837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6</w:t>
            </w:r>
          </w:p>
        </w:tc>
      </w:tr>
      <w:tr w:rsidR="00496A73" w:rsidRPr="00F412FC" w14:paraId="23BCC54D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0DF577D8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Gestión Humana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D035411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4</w:t>
            </w:r>
          </w:p>
        </w:tc>
      </w:tr>
      <w:tr w:rsidR="00496A73" w:rsidRPr="00F412FC" w14:paraId="60EB6A52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1BE9EC7F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Oficina De Cumplimiento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8228F96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3</w:t>
            </w:r>
          </w:p>
        </w:tc>
      </w:tr>
      <w:tr w:rsidR="00496A73" w:rsidRPr="00F412FC" w14:paraId="32522ABC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425ABD4E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Comisión Nacional para el Mejoramiento de la Administración de Justicia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E1D3A4B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</w:t>
            </w:r>
          </w:p>
        </w:tc>
      </w:tr>
      <w:tr w:rsidR="00496A73" w:rsidRPr="00F412FC" w14:paraId="2F921D7E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153E3FD2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Despacho de la Presidencia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02326BF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</w:t>
            </w:r>
          </w:p>
        </w:tc>
      </w:tr>
      <w:tr w:rsidR="00496A73" w:rsidRPr="00F412FC" w14:paraId="4B716ECB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138235C8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Ejecutiva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555E651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</w:t>
            </w:r>
          </w:p>
        </w:tc>
      </w:tr>
      <w:tr w:rsidR="00496A73" w:rsidRPr="00F412FC" w14:paraId="17F706E1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59B43284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Departamento de Prensa y Comunicación Organizacional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102EACF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496A73" w:rsidRPr="00F412FC" w14:paraId="2297A758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7ACFACFE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de Tecnología De Información y Comunicaciones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C2C8284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496A73" w:rsidRPr="00F412FC" w14:paraId="4E80D0A1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2EFBA6F3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General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74072CD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496A73" w:rsidRPr="00F412FC" w14:paraId="56F602F3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3ED08622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Escuela Judicial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0B6916E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496A73" w:rsidRPr="00F412FC" w14:paraId="2CBB1203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36DC03E3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Inspección Judicial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18DEC9D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496A73" w:rsidRPr="00F412FC" w14:paraId="52CA5E93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1FAEC1CD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Juzgado Notarial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E4D9E9B" w14:textId="77777777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496A73" w:rsidRPr="00F412FC" w14:paraId="14C19D1F" w14:textId="77777777" w:rsidTr="00496A73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0F51B9EF" w14:textId="77777777" w:rsidR="00496A73" w:rsidRPr="00F412FC" w:rsidRDefault="00496A73" w:rsidP="005D2CED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  <w:t>TOTAL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D56C49D" w14:textId="035EBFCE" w:rsidR="00496A73" w:rsidRPr="00F412FC" w:rsidRDefault="00496A7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  <w:t>267</w:t>
            </w:r>
          </w:p>
        </w:tc>
      </w:tr>
    </w:tbl>
    <w:p w14:paraId="5BA00926" w14:textId="48CDB49D" w:rsidR="00A233B6" w:rsidRPr="00F412FC" w:rsidRDefault="00496A73" w:rsidP="00496A73">
      <w:pPr>
        <w:rPr>
          <w:rFonts w:ascii="Book Antiqua" w:hAnsi="Book Antiqua"/>
          <w:sz w:val="24"/>
          <w:szCs w:val="24"/>
          <w:lang w:val="es-ES_tradnl"/>
        </w:rPr>
      </w:pPr>
      <w:r w:rsidRPr="00F412FC">
        <w:rPr>
          <w:rFonts w:ascii="Book Antiqua" w:hAnsi="Book Antiqua" w:cs="Arial"/>
          <w:b/>
          <w:bCs/>
          <w:sz w:val="24"/>
          <w:szCs w:val="24"/>
        </w:rPr>
        <w:t xml:space="preserve">       Fuente:</w:t>
      </w:r>
      <w:r w:rsidRPr="00F412FC">
        <w:rPr>
          <w:rFonts w:ascii="Book Antiqua" w:hAnsi="Book Antiqua" w:cs="Arial"/>
          <w:sz w:val="24"/>
          <w:szCs w:val="24"/>
        </w:rPr>
        <w:t xml:space="preserve"> Sistema PAO al 30 de junio del 2023.</w:t>
      </w:r>
    </w:p>
    <w:p w14:paraId="1216FA3F" w14:textId="77777777" w:rsidR="00CF020C" w:rsidRPr="00F412FC" w:rsidRDefault="00CF020C" w:rsidP="004C26F2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</w:p>
    <w:p w14:paraId="53406AC4" w14:textId="051ABD33" w:rsidR="007E6CC3" w:rsidRPr="00F412FC" w:rsidRDefault="007C4547" w:rsidP="007E6CC3">
      <w:pPr>
        <w:pStyle w:val="Prrafodelista"/>
        <w:numPr>
          <w:ilvl w:val="1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En el informe 1031-PLA-EV-2023, se consigna un error material en el Cuadro 11 denominado </w:t>
      </w:r>
      <w:r w:rsidRPr="00F412FC">
        <w:rPr>
          <w:rFonts w:ascii="Book Antiqua" w:hAnsi="Book Antiqua" w:cs="Book Antiqua"/>
          <w:i/>
          <w:iCs/>
          <w:snapToGrid w:val="0"/>
          <w:sz w:val="24"/>
          <w:szCs w:val="24"/>
        </w:rPr>
        <w:t>“</w:t>
      </w:r>
      <w:r w:rsidRPr="00F412FC">
        <w:rPr>
          <w:rFonts w:ascii="Book Antiqua" w:hAnsi="Book Antiqua"/>
          <w:i/>
          <w:iCs/>
          <w:sz w:val="24"/>
          <w:szCs w:val="24"/>
          <w:lang w:val="es-ES_tradnl"/>
        </w:rPr>
        <w:t xml:space="preserve">Cantidad de metas operativas vinculadas al PEI igual o menor al 26% de cumplimiento de acuerdo con el </w:t>
      </w:r>
      <w:proofErr w:type="gramStart"/>
      <w:r w:rsidRPr="00F412FC">
        <w:rPr>
          <w:rFonts w:ascii="Book Antiqua" w:hAnsi="Book Antiqua"/>
          <w:i/>
          <w:iCs/>
          <w:sz w:val="24"/>
          <w:szCs w:val="24"/>
          <w:lang w:val="es-ES_tradnl"/>
        </w:rPr>
        <w:t>Responsable</w:t>
      </w:r>
      <w:proofErr w:type="gramEnd"/>
      <w:r w:rsidRPr="00F412FC">
        <w:rPr>
          <w:rFonts w:ascii="Book Antiqua" w:hAnsi="Book Antiqua"/>
          <w:i/>
          <w:iCs/>
          <w:sz w:val="24"/>
          <w:szCs w:val="24"/>
          <w:lang w:val="es-ES_tradnl"/>
        </w:rPr>
        <w:t xml:space="preserve"> Estratégico</w:t>
      </w:r>
      <w:r w:rsidR="007E6CC3" w:rsidRPr="00F412FC">
        <w:rPr>
          <w:rFonts w:ascii="Book Antiqua" w:hAnsi="Book Antiqua"/>
          <w:i/>
          <w:iCs/>
          <w:sz w:val="24"/>
          <w:szCs w:val="24"/>
          <w:lang w:val="es-ES_tradnl"/>
        </w:rPr>
        <w:t xml:space="preserve">”, </w:t>
      </w:r>
      <w:r w:rsidR="007E6CC3" w:rsidRPr="00F412FC">
        <w:rPr>
          <w:rFonts w:ascii="Book Antiqua" w:hAnsi="Book Antiqua"/>
          <w:sz w:val="24"/>
          <w:szCs w:val="24"/>
          <w:lang w:val="es-ES_tradnl"/>
        </w:rPr>
        <w:t xml:space="preserve">el propósito es informar </w:t>
      </w:r>
      <w:r w:rsidR="007E6CC3" w:rsidRPr="00F412FC">
        <w:rPr>
          <w:rFonts w:ascii="Book Antiqua" w:hAnsi="Book Antiqua"/>
          <w:sz w:val="24"/>
          <w:szCs w:val="24"/>
          <w:lang w:eastAsia="es-CR"/>
        </w:rPr>
        <w:t>oportunidades de mejora o hallazgos encontrados dentro del análisis del informe 1031-PLA-EV-2023</w:t>
      </w:r>
      <w:r w:rsidR="007E6CC3" w:rsidRPr="00F412FC">
        <w:rPr>
          <w:rFonts w:ascii="Book Antiqua" w:hAnsi="Book Antiqua"/>
          <w:sz w:val="24"/>
          <w:szCs w:val="24"/>
          <w:lang w:val="es-ES_tradnl"/>
        </w:rPr>
        <w:t xml:space="preserve"> y por error material se consignó </w:t>
      </w:r>
      <w:r w:rsidR="007E6CC3" w:rsidRPr="00F412FC">
        <w:rPr>
          <w:rFonts w:ascii="Book Antiqua" w:hAnsi="Book Antiqua" w:cs="Book Antiqua"/>
          <w:sz w:val="24"/>
          <w:szCs w:val="24"/>
        </w:rPr>
        <w:t>a la Sala Segunda con una meta operativa inferior al 26%.</w:t>
      </w:r>
    </w:p>
    <w:p w14:paraId="5B4FBD98" w14:textId="77777777" w:rsidR="007E6CC3" w:rsidRPr="00F412FC" w:rsidRDefault="007E6CC3" w:rsidP="007E6CC3">
      <w:pPr>
        <w:rPr>
          <w:rFonts w:ascii="Book Antiqua" w:hAnsi="Book Antiqua"/>
          <w:snapToGrid w:val="0"/>
          <w:sz w:val="24"/>
          <w:szCs w:val="24"/>
        </w:rPr>
      </w:pPr>
    </w:p>
    <w:p w14:paraId="0A30B603" w14:textId="77777777" w:rsidR="007E6CC3" w:rsidRPr="00F412FC" w:rsidRDefault="007E6CC3" w:rsidP="007E6CC3">
      <w:pPr>
        <w:pStyle w:val="Prrafodelista"/>
        <w:numPr>
          <w:ilvl w:val="1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En el informe originalmente se muestra de la siguiente forma (lo marcado en gris y negrita no es parte del original, corresponde al error material detectado):</w:t>
      </w:r>
    </w:p>
    <w:p w14:paraId="6C44A07D" w14:textId="69FD42FA" w:rsidR="007E6CC3" w:rsidRPr="00F412FC" w:rsidRDefault="007E6CC3" w:rsidP="007E6CC3">
      <w:pPr>
        <w:pStyle w:val="Descripcin"/>
        <w:ind w:left="360"/>
        <w:jc w:val="center"/>
        <w:rPr>
          <w:rFonts w:ascii="Book Antiqua" w:hAnsi="Book Antiqua"/>
          <w:b/>
          <w:bCs/>
          <w:i w:val="0"/>
          <w:iCs w:val="0"/>
          <w:noProof/>
          <w:color w:val="auto"/>
          <w:sz w:val="24"/>
          <w:szCs w:val="24"/>
        </w:rPr>
      </w:pP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</w:rPr>
        <w:t>Cuadro 11</w:t>
      </w:r>
    </w:p>
    <w:p w14:paraId="7D9BEB7F" w14:textId="36B22BBC" w:rsidR="007E6CC3" w:rsidRPr="00F412FC" w:rsidRDefault="007E6CC3" w:rsidP="007E6CC3">
      <w:pPr>
        <w:pStyle w:val="Descripcin"/>
        <w:ind w:left="360"/>
        <w:jc w:val="center"/>
        <w:rPr>
          <w:rFonts w:ascii="Book Antiqua" w:hAnsi="Book Antiqua"/>
          <w:b/>
          <w:bCs/>
          <w:i w:val="0"/>
          <w:iCs w:val="0"/>
          <w:noProof/>
          <w:color w:val="auto"/>
          <w:sz w:val="24"/>
          <w:szCs w:val="24"/>
        </w:rPr>
      </w:pP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  <w:lang w:val="es-ES_tradnl"/>
        </w:rPr>
        <w:t xml:space="preserve">Cantidad de metas operativas vinculadas al PEI igual o menor al 26% de cumplimiento de acuerdo con el </w:t>
      </w:r>
      <w:proofErr w:type="gramStart"/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  <w:lang w:val="es-ES_tradnl"/>
        </w:rPr>
        <w:t>Responsable</w:t>
      </w:r>
      <w:proofErr w:type="gramEnd"/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  <w:lang w:val="es-ES_tradnl"/>
        </w:rPr>
        <w:t xml:space="preserve"> Estratégico</w:t>
      </w:r>
    </w:p>
    <w:p w14:paraId="61A65D4C" w14:textId="77777777" w:rsidR="007E6CC3" w:rsidRPr="00F412FC" w:rsidRDefault="007E6CC3" w:rsidP="007E6CC3">
      <w:pPr>
        <w:pStyle w:val="Prrafodelista"/>
        <w:spacing w:after="0"/>
        <w:ind w:left="360"/>
        <w:jc w:val="both"/>
        <w:rPr>
          <w:rFonts w:ascii="Book Antiqua" w:hAnsi="Book Antiqua" w:cs="Arial"/>
          <w:sz w:val="24"/>
          <w:szCs w:val="24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2551"/>
      </w:tblGrid>
      <w:tr w:rsidR="007E6CC3" w:rsidRPr="00F412FC" w14:paraId="3432A705" w14:textId="77777777" w:rsidTr="005D2CED">
        <w:trPr>
          <w:trHeight w:val="290"/>
          <w:jc w:val="center"/>
        </w:trPr>
        <w:tc>
          <w:tcPr>
            <w:tcW w:w="5524" w:type="dxa"/>
            <w:shd w:val="clear" w:color="000000" w:fill="0070C0"/>
            <w:vAlign w:val="center"/>
            <w:hideMark/>
          </w:tcPr>
          <w:p w14:paraId="465617AF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  <w:t xml:space="preserve">Responsable Estratégico </w:t>
            </w:r>
          </w:p>
        </w:tc>
        <w:tc>
          <w:tcPr>
            <w:tcW w:w="2551" w:type="dxa"/>
            <w:shd w:val="clear" w:color="000000" w:fill="0070C0"/>
            <w:noWrap/>
            <w:vAlign w:val="bottom"/>
            <w:hideMark/>
          </w:tcPr>
          <w:p w14:paraId="6FD75DB4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  <w:t>Cantidad de metas operativas</w:t>
            </w:r>
          </w:p>
        </w:tc>
      </w:tr>
      <w:tr w:rsidR="007E6CC3" w:rsidRPr="00F412FC" w14:paraId="370CE7D8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163E428F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Centro de Apoyo, Coordinación y Mejoramiento de la Función Jurisdiccional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D8C3652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203</w:t>
            </w:r>
          </w:p>
        </w:tc>
      </w:tr>
      <w:tr w:rsidR="007E6CC3" w:rsidRPr="00F412FC" w14:paraId="04B3FD0D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05270D48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Fiscalia General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6354565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17</w:t>
            </w:r>
          </w:p>
        </w:tc>
      </w:tr>
      <w:tr w:rsidR="007E6CC3" w:rsidRPr="00F412FC" w14:paraId="49C6D2A6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07FF8889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Consejo Superior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12594B5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13</w:t>
            </w:r>
          </w:p>
        </w:tc>
      </w:tr>
      <w:tr w:rsidR="007E6CC3" w:rsidRPr="00F412FC" w14:paraId="0E39B8B3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6B8BFD8C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de Planificación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48ADC7E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9</w:t>
            </w:r>
          </w:p>
        </w:tc>
      </w:tr>
      <w:tr w:rsidR="007E6CC3" w:rsidRPr="00F412FC" w14:paraId="08E501CB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576F664B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Secretaría Técnica de Género y Acceso a la Justicia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7B43F15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6</w:t>
            </w:r>
          </w:p>
        </w:tc>
      </w:tr>
      <w:tr w:rsidR="007E6CC3" w:rsidRPr="00F412FC" w14:paraId="7F165CB2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54827135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Gestión Humana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B3DDB64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4</w:t>
            </w:r>
          </w:p>
        </w:tc>
      </w:tr>
      <w:tr w:rsidR="007E6CC3" w:rsidRPr="00F412FC" w14:paraId="426B4666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17EF22E9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Oficina De Cumplimiento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C1AFD11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3</w:t>
            </w:r>
          </w:p>
        </w:tc>
      </w:tr>
      <w:tr w:rsidR="007E6CC3" w:rsidRPr="00F412FC" w14:paraId="4D04DF5C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28788D00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Comisión Nacional para el Mejoramiento de la Administración de Justicia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3C5F997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</w:t>
            </w:r>
          </w:p>
        </w:tc>
      </w:tr>
      <w:tr w:rsidR="007E6CC3" w:rsidRPr="00F412FC" w14:paraId="4B42ADE0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4EF9AD87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Despacho de la Presidencia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B82FD77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</w:t>
            </w:r>
          </w:p>
        </w:tc>
      </w:tr>
      <w:tr w:rsidR="007E6CC3" w:rsidRPr="00F412FC" w14:paraId="43DD6EF5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58153693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Ejecutiva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0DB9B31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</w:t>
            </w:r>
          </w:p>
        </w:tc>
      </w:tr>
      <w:tr w:rsidR="007E6CC3" w:rsidRPr="00F412FC" w14:paraId="62D2EEF3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20F683C6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Departamento de Prensa y Comunicación Organizacional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C2A0372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7E6CC3" w:rsidRPr="00F412FC" w14:paraId="530CB3CF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5125C581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de Tecnología De Información y Comunicaciones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116CEEA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7E6CC3" w:rsidRPr="00F412FC" w14:paraId="4D13048E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295AED02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General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0433348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7E6CC3" w:rsidRPr="00F412FC" w14:paraId="19649290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6DA2ACA6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lastRenderedPageBreak/>
              <w:t xml:space="preserve">Escuela Judicial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4C6602E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7E6CC3" w:rsidRPr="00F412FC" w14:paraId="2B875BEA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42576D96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Inspección Judicial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F13F413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7E6CC3" w:rsidRPr="00F412FC" w14:paraId="35C1FB4E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02DDDFC7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Juzgado Notarial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4DE7883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7E6CC3" w:rsidRPr="00F412FC" w14:paraId="4643A80B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6A6A6" w:themeFill="background1" w:themeFillShade="A6"/>
            <w:vAlign w:val="center"/>
            <w:hideMark/>
          </w:tcPr>
          <w:p w14:paraId="6DD2B547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  <w:t xml:space="preserve">Sala Segunda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6A6A6" w:themeFill="background1" w:themeFillShade="A6"/>
            <w:noWrap/>
            <w:vAlign w:val="bottom"/>
            <w:hideMark/>
          </w:tcPr>
          <w:p w14:paraId="47814BBF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7E6CC3" w:rsidRPr="00F412FC" w14:paraId="64D778EF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2C9276AE" w14:textId="77777777" w:rsidR="007E6CC3" w:rsidRPr="00F412FC" w:rsidRDefault="007E6CC3" w:rsidP="005D2CED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  <w:t>TOTAL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9DFAC09" w14:textId="77777777" w:rsidR="007E6CC3" w:rsidRPr="00F412FC" w:rsidRDefault="007E6CC3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  <w:t>268</w:t>
            </w:r>
          </w:p>
        </w:tc>
      </w:tr>
    </w:tbl>
    <w:p w14:paraId="39475459" w14:textId="11C56E40" w:rsidR="007E6CC3" w:rsidRPr="00F412FC" w:rsidRDefault="00F32E66" w:rsidP="00F32E66">
      <w:pPr>
        <w:jc w:val="both"/>
        <w:rPr>
          <w:rFonts w:ascii="Book Antiqua" w:hAnsi="Book Antiqua"/>
          <w:sz w:val="24"/>
          <w:szCs w:val="24"/>
          <w:lang w:val="es-ES_tradnl"/>
        </w:rPr>
      </w:pPr>
      <w:r w:rsidRPr="00F412FC">
        <w:rPr>
          <w:rFonts w:ascii="Book Antiqua" w:hAnsi="Book Antiqua" w:cs="Arial"/>
          <w:b/>
          <w:bCs/>
          <w:sz w:val="24"/>
          <w:szCs w:val="24"/>
        </w:rPr>
        <w:t xml:space="preserve">     </w:t>
      </w:r>
      <w:r w:rsidR="007E6CC3" w:rsidRPr="00F412FC">
        <w:rPr>
          <w:rFonts w:ascii="Book Antiqua" w:hAnsi="Book Antiqua" w:cs="Arial"/>
          <w:b/>
          <w:bCs/>
          <w:sz w:val="24"/>
          <w:szCs w:val="24"/>
        </w:rPr>
        <w:t xml:space="preserve">  Fuente:</w:t>
      </w:r>
      <w:r w:rsidR="007E6CC3" w:rsidRPr="00F412FC">
        <w:rPr>
          <w:rFonts w:ascii="Book Antiqua" w:hAnsi="Book Antiqua" w:cs="Arial"/>
          <w:sz w:val="24"/>
          <w:szCs w:val="24"/>
        </w:rPr>
        <w:t xml:space="preserve"> Sistema PAO al 30 de junio del 2023.</w:t>
      </w:r>
    </w:p>
    <w:p w14:paraId="7D67856C" w14:textId="77777777" w:rsidR="007C4547" w:rsidRPr="00F412FC" w:rsidRDefault="007C4547" w:rsidP="007C4547">
      <w:pPr>
        <w:rPr>
          <w:rFonts w:ascii="Book Antiqua" w:hAnsi="Book Antiqua"/>
          <w:snapToGrid w:val="0"/>
          <w:sz w:val="24"/>
          <w:szCs w:val="24"/>
        </w:rPr>
      </w:pPr>
    </w:p>
    <w:p w14:paraId="7005E3F3" w14:textId="6DD8EF78" w:rsidR="00DB5D8F" w:rsidRPr="00F412FC" w:rsidDel="00EF5C2A" w:rsidRDefault="00DB5D8F" w:rsidP="00DB5D8F">
      <w:pPr>
        <w:pStyle w:val="Prrafodelista"/>
        <w:numPr>
          <w:ilvl w:val="1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Por lo que en el </w:t>
      </w:r>
      <w:r w:rsidRPr="00F412FC" w:rsidDel="00EF5C2A">
        <w:rPr>
          <w:rFonts w:ascii="Book Antiqua" w:hAnsi="Book Antiqua" w:cs="Book Antiqua"/>
          <w:snapToGrid w:val="0"/>
          <w:sz w:val="24"/>
          <w:szCs w:val="24"/>
        </w:rPr>
        <w:t xml:space="preserve">Cuadro 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11 denominado </w:t>
      </w:r>
      <w:r w:rsidRPr="00F412FC">
        <w:rPr>
          <w:rFonts w:ascii="Book Antiqua" w:hAnsi="Book Antiqua" w:cs="Book Antiqua"/>
          <w:b/>
          <w:bCs/>
          <w:i/>
          <w:iCs/>
          <w:snapToGrid w:val="0"/>
          <w:sz w:val="24"/>
          <w:szCs w:val="24"/>
        </w:rPr>
        <w:t>“</w:t>
      </w:r>
      <w:r w:rsidRPr="00F412FC">
        <w:rPr>
          <w:rFonts w:ascii="Book Antiqua" w:hAnsi="Book Antiqua"/>
          <w:b/>
          <w:bCs/>
          <w:i/>
          <w:iCs/>
          <w:sz w:val="24"/>
          <w:szCs w:val="24"/>
          <w:lang w:val="es-ES_tradnl"/>
        </w:rPr>
        <w:t>Cantidad de metas operativas vinculadas al PEI igual o menor al 26% de cumplimiento de acuerdo con el Responsable Estratégico”</w:t>
      </w:r>
      <w:r w:rsidRPr="00F412FC">
        <w:rPr>
          <w:rFonts w:ascii="Book Antiqua" w:hAnsi="Book Antiqua"/>
          <w:i/>
          <w:iCs/>
          <w:sz w:val="24"/>
          <w:szCs w:val="24"/>
          <w:lang w:val="es-ES_tradnl"/>
        </w:rPr>
        <w:t xml:space="preserve">, </w:t>
      </w:r>
      <w:r w:rsidRPr="00F412FC" w:rsidDel="00EF5C2A">
        <w:rPr>
          <w:rFonts w:ascii="Book Antiqua" w:hAnsi="Book Antiqua" w:cs="Book Antiqua"/>
          <w:snapToGrid w:val="0"/>
          <w:sz w:val="24"/>
          <w:szCs w:val="24"/>
        </w:rPr>
        <w:t xml:space="preserve"> deberá de excluirse 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la Sala Segunda </w:t>
      </w:r>
      <w:r w:rsidRPr="00F412FC" w:rsidDel="00EF5C2A">
        <w:rPr>
          <w:rFonts w:ascii="Book Antiqua" w:hAnsi="Book Antiqua" w:cs="Book Antiqua"/>
          <w:snapToGrid w:val="0"/>
          <w:sz w:val="24"/>
          <w:szCs w:val="24"/>
        </w:rPr>
        <w:t>y debe leerse de la siguiente manera:</w:t>
      </w:r>
    </w:p>
    <w:p w14:paraId="2D06CA7A" w14:textId="072CBEA1" w:rsidR="00DB5D8F" w:rsidRPr="00F412FC" w:rsidRDefault="00DB5D8F" w:rsidP="00DB5D8F">
      <w:pPr>
        <w:pStyle w:val="Descripcin"/>
        <w:ind w:left="360"/>
        <w:jc w:val="center"/>
        <w:rPr>
          <w:rFonts w:ascii="Book Antiqua" w:hAnsi="Book Antiqua"/>
          <w:b/>
          <w:bCs/>
          <w:i w:val="0"/>
          <w:iCs w:val="0"/>
          <w:noProof/>
          <w:color w:val="auto"/>
          <w:sz w:val="24"/>
          <w:szCs w:val="24"/>
        </w:rPr>
      </w:pP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</w:rPr>
        <w:t>Cuadro 11</w:t>
      </w:r>
    </w:p>
    <w:p w14:paraId="7892850E" w14:textId="77777777" w:rsidR="00DB5D8F" w:rsidRPr="00F412FC" w:rsidRDefault="00DB5D8F" w:rsidP="00DB5D8F">
      <w:pPr>
        <w:pStyle w:val="Descripcin"/>
        <w:ind w:left="360"/>
        <w:jc w:val="center"/>
        <w:rPr>
          <w:rFonts w:ascii="Book Antiqua" w:hAnsi="Book Antiqua"/>
          <w:b/>
          <w:bCs/>
          <w:i w:val="0"/>
          <w:iCs w:val="0"/>
          <w:noProof/>
          <w:color w:val="auto"/>
          <w:sz w:val="24"/>
          <w:szCs w:val="24"/>
        </w:rPr>
      </w:pPr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  <w:lang w:val="es-ES_tradnl"/>
        </w:rPr>
        <w:t xml:space="preserve">Cantidad de metas operativas vinculadas al PEI igual o menor al 26% de cumplimiento de acuerdo con el </w:t>
      </w:r>
      <w:proofErr w:type="gramStart"/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  <w:lang w:val="es-ES_tradnl"/>
        </w:rPr>
        <w:t>Responsable</w:t>
      </w:r>
      <w:proofErr w:type="gramEnd"/>
      <w:r w:rsidRPr="00F412FC">
        <w:rPr>
          <w:rFonts w:ascii="Book Antiqua" w:hAnsi="Book Antiqua"/>
          <w:b/>
          <w:bCs/>
          <w:i w:val="0"/>
          <w:iCs w:val="0"/>
          <w:color w:val="auto"/>
          <w:sz w:val="24"/>
          <w:szCs w:val="24"/>
          <w:lang w:val="es-ES_tradnl"/>
        </w:rPr>
        <w:t xml:space="preserve"> Estratégico.</w:t>
      </w:r>
    </w:p>
    <w:p w14:paraId="28076904" w14:textId="77777777" w:rsidR="00DB5D8F" w:rsidRPr="00F412FC" w:rsidRDefault="00DB5D8F" w:rsidP="00DB5D8F">
      <w:pPr>
        <w:pStyle w:val="Prrafodelista"/>
        <w:spacing w:after="0"/>
        <w:ind w:left="360"/>
        <w:jc w:val="both"/>
        <w:rPr>
          <w:rFonts w:ascii="Book Antiqua" w:hAnsi="Book Antiqua" w:cs="Arial"/>
          <w:sz w:val="24"/>
          <w:szCs w:val="24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2551"/>
      </w:tblGrid>
      <w:tr w:rsidR="00DB5D8F" w:rsidRPr="00F412FC" w14:paraId="20D59F62" w14:textId="77777777" w:rsidTr="005D2CED">
        <w:trPr>
          <w:trHeight w:val="290"/>
          <w:jc w:val="center"/>
        </w:trPr>
        <w:tc>
          <w:tcPr>
            <w:tcW w:w="5524" w:type="dxa"/>
            <w:shd w:val="clear" w:color="000000" w:fill="0070C0"/>
            <w:vAlign w:val="center"/>
            <w:hideMark/>
          </w:tcPr>
          <w:p w14:paraId="3F548CE7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  <w:t xml:space="preserve">Responsable Estratégico </w:t>
            </w:r>
          </w:p>
        </w:tc>
        <w:tc>
          <w:tcPr>
            <w:tcW w:w="2551" w:type="dxa"/>
            <w:shd w:val="clear" w:color="000000" w:fill="0070C0"/>
            <w:noWrap/>
            <w:vAlign w:val="bottom"/>
            <w:hideMark/>
          </w:tcPr>
          <w:p w14:paraId="29AE5A94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  <w:t>Cantidad de metas operativas</w:t>
            </w:r>
          </w:p>
        </w:tc>
      </w:tr>
      <w:tr w:rsidR="00DB5D8F" w:rsidRPr="00F412FC" w14:paraId="2FC64CA9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3E502E3F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Centro de Apoyo, Coordinación y Mejoramiento de la Función Jurisdiccional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50AF0D8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203</w:t>
            </w:r>
          </w:p>
        </w:tc>
      </w:tr>
      <w:tr w:rsidR="00DB5D8F" w:rsidRPr="00F412FC" w14:paraId="32A86253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6577C017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Fiscalia General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E11243F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17</w:t>
            </w:r>
          </w:p>
        </w:tc>
      </w:tr>
      <w:tr w:rsidR="00DB5D8F" w:rsidRPr="00F412FC" w14:paraId="47156EF8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00D0D10A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Consejo Superior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5F019AA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13</w:t>
            </w:r>
          </w:p>
        </w:tc>
      </w:tr>
      <w:tr w:rsidR="00DB5D8F" w:rsidRPr="00F412FC" w14:paraId="55D6B918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1C4EE7BA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de Planificación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A1C96ED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9</w:t>
            </w:r>
          </w:p>
        </w:tc>
      </w:tr>
      <w:tr w:rsidR="00DB5D8F" w:rsidRPr="00F412FC" w14:paraId="68655900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2987B3FF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Secretaría Técnica de Género y Acceso a la Justicia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6111527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6</w:t>
            </w:r>
          </w:p>
        </w:tc>
      </w:tr>
      <w:tr w:rsidR="00DB5D8F" w:rsidRPr="00F412FC" w14:paraId="13807ADD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13143B0E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Gestión Humana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A2A4AB3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4</w:t>
            </w:r>
          </w:p>
        </w:tc>
      </w:tr>
      <w:tr w:rsidR="00DB5D8F" w:rsidRPr="00F412FC" w14:paraId="5FAFCFCC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42F62EDA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Oficina De Cumplimiento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9702E5E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3</w:t>
            </w:r>
          </w:p>
        </w:tc>
      </w:tr>
      <w:tr w:rsidR="00DB5D8F" w:rsidRPr="00F412FC" w14:paraId="386D5C94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76C3A47D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Comisión Nacional para el Mejoramiento de la Administración de Justicia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A8A5861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</w:t>
            </w:r>
          </w:p>
        </w:tc>
      </w:tr>
      <w:tr w:rsidR="00DB5D8F" w:rsidRPr="00F412FC" w14:paraId="22E9E70C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56855D5A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Despacho de la Presidencia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55B1964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</w:t>
            </w:r>
          </w:p>
        </w:tc>
      </w:tr>
      <w:tr w:rsidR="00DB5D8F" w:rsidRPr="00F412FC" w14:paraId="6784304A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02518969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Ejecutiva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D1130A7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2</w:t>
            </w:r>
          </w:p>
        </w:tc>
      </w:tr>
      <w:tr w:rsidR="00DB5D8F" w:rsidRPr="00F412FC" w14:paraId="5446C232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553D6B80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Departamento de Prensa y Comunicación Organizacional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051FC3F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DB5D8F" w:rsidRPr="00F412FC" w14:paraId="7EF0E5AC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3994D2AE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Dirección de Tecnología De Información y Comunicaciones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D6320E0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DB5D8F" w:rsidRPr="00F412FC" w14:paraId="7FA45608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7AA7EF71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lastRenderedPageBreak/>
              <w:t xml:space="preserve">Dirección General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799BAEA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DB5D8F" w:rsidRPr="00F412FC" w14:paraId="3C5DEACE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5E85657E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Escuela Judicial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E9384E4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DB5D8F" w:rsidRPr="00F412FC" w14:paraId="0513B96F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7A05C1B7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Inspección Judicial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9E5845D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DB5D8F" w:rsidRPr="00F412FC" w14:paraId="6DE3645E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60BD7C0A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Juzgado Notarial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04C659F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</w:t>
            </w:r>
          </w:p>
        </w:tc>
      </w:tr>
      <w:tr w:rsidR="00DB5D8F" w:rsidRPr="00F412FC" w14:paraId="4C6B6417" w14:textId="77777777" w:rsidTr="005D2CED">
        <w:trPr>
          <w:trHeight w:val="290"/>
          <w:jc w:val="center"/>
        </w:trPr>
        <w:tc>
          <w:tcPr>
            <w:tcW w:w="5524" w:type="dxa"/>
            <w:shd w:val="clear" w:color="auto" w:fill="auto"/>
            <w:vAlign w:val="center"/>
            <w:hideMark/>
          </w:tcPr>
          <w:p w14:paraId="478E61A9" w14:textId="77777777" w:rsidR="00DB5D8F" w:rsidRPr="00F412FC" w:rsidRDefault="00DB5D8F" w:rsidP="005D2CED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  <w:t>TOTAL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C455F72" w14:textId="77777777" w:rsidR="00DB5D8F" w:rsidRPr="00F412FC" w:rsidRDefault="00DB5D8F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000000"/>
                <w:sz w:val="24"/>
                <w:szCs w:val="24"/>
                <w:lang w:eastAsia="es-CR"/>
              </w:rPr>
              <w:t>267</w:t>
            </w:r>
          </w:p>
        </w:tc>
      </w:tr>
    </w:tbl>
    <w:p w14:paraId="4EEBB1BA" w14:textId="77777777" w:rsidR="00DB5D8F" w:rsidRPr="00F412FC" w:rsidRDefault="00DB5D8F" w:rsidP="00DB5D8F">
      <w:pPr>
        <w:rPr>
          <w:rFonts w:ascii="Book Antiqua" w:hAnsi="Book Antiqua"/>
          <w:sz w:val="24"/>
          <w:szCs w:val="24"/>
          <w:lang w:val="es-ES_tradnl"/>
        </w:rPr>
      </w:pPr>
      <w:r w:rsidRPr="00F412FC">
        <w:rPr>
          <w:rFonts w:ascii="Book Antiqua" w:hAnsi="Book Antiqua" w:cs="Arial"/>
          <w:b/>
          <w:bCs/>
          <w:sz w:val="24"/>
          <w:szCs w:val="24"/>
        </w:rPr>
        <w:t xml:space="preserve">       Fuente:</w:t>
      </w:r>
      <w:r w:rsidRPr="00F412FC">
        <w:rPr>
          <w:rFonts w:ascii="Book Antiqua" w:hAnsi="Book Antiqua" w:cs="Arial"/>
          <w:sz w:val="24"/>
          <w:szCs w:val="24"/>
        </w:rPr>
        <w:t xml:space="preserve"> Sistema PAO al 30 de junio del 2023.</w:t>
      </w:r>
    </w:p>
    <w:p w14:paraId="40A02793" w14:textId="430E1193" w:rsidR="00F32E66" w:rsidRPr="00F412FC" w:rsidRDefault="00F32E66" w:rsidP="00DB5D8F">
      <w:pPr>
        <w:rPr>
          <w:rFonts w:ascii="Book Antiqua" w:hAnsi="Book Antiqua"/>
          <w:snapToGrid w:val="0"/>
          <w:sz w:val="24"/>
          <w:szCs w:val="24"/>
        </w:rPr>
      </w:pPr>
    </w:p>
    <w:p w14:paraId="733F36E3" w14:textId="3667B34C" w:rsidR="00E3784E" w:rsidRPr="00F412FC" w:rsidRDefault="00DB5D8F" w:rsidP="00E3784E">
      <w:pPr>
        <w:pStyle w:val="Prrafodelista"/>
        <w:numPr>
          <w:ilvl w:val="1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En el informe 1031-PLA-EV-2023, se consigna un error material </w:t>
      </w:r>
      <w:r w:rsidR="00E3784E" w:rsidRPr="00F412FC">
        <w:rPr>
          <w:rFonts w:ascii="Book Antiqua" w:hAnsi="Book Antiqua" w:cs="Book Antiqua"/>
          <w:sz w:val="24"/>
          <w:szCs w:val="24"/>
        </w:rPr>
        <w:t>en el Plan de Acción</w:t>
      </w:r>
      <w:r w:rsidR="004A025A" w:rsidRPr="00F412FC">
        <w:rPr>
          <w:rFonts w:ascii="Book Antiqua" w:hAnsi="Book Antiqua" w:cs="Book Antiqua"/>
          <w:sz w:val="24"/>
          <w:szCs w:val="24"/>
        </w:rPr>
        <w:t>,</w:t>
      </w:r>
      <w:r w:rsidR="00E3784E" w:rsidRPr="00F412FC">
        <w:rPr>
          <w:rFonts w:ascii="Book Antiqua" w:hAnsi="Book Antiqua" w:cs="Book Antiqua"/>
          <w:sz w:val="24"/>
          <w:szCs w:val="24"/>
        </w:rPr>
        <w:t xml:space="preserve"> línea 11.4, el cual tiene como objetivo </w:t>
      </w:r>
      <w:r w:rsidR="00E3784E" w:rsidRPr="00F412FC">
        <w:rPr>
          <w:rFonts w:ascii="Book Antiqua" w:hAnsi="Book Antiqua" w:cs="Arial"/>
          <w:sz w:val="24"/>
          <w:szCs w:val="24"/>
          <w:lang w:eastAsia="es-CR"/>
        </w:rPr>
        <w:t xml:space="preserve">realizar de un plan de acción en aras de mejorar la gestión orientada a los resultados de las áreas que se hayan determinado y que se deben priorizar o atender a la brevedad, por lo cual será objeto de seguimiento en el informe de evaluación del PAO 2023 y </w:t>
      </w:r>
      <w:r w:rsidR="00E3784E" w:rsidRPr="00F412FC">
        <w:rPr>
          <w:rFonts w:ascii="Book Antiqua" w:hAnsi="Book Antiqua"/>
          <w:sz w:val="24"/>
          <w:szCs w:val="24"/>
          <w:lang w:val="es-ES_tradnl"/>
        </w:rPr>
        <w:t xml:space="preserve">por error material se consignó </w:t>
      </w:r>
      <w:r w:rsidR="00E3784E" w:rsidRPr="00F412FC">
        <w:rPr>
          <w:rFonts w:ascii="Book Antiqua" w:hAnsi="Book Antiqua" w:cs="Book Antiqua"/>
          <w:sz w:val="24"/>
          <w:szCs w:val="24"/>
        </w:rPr>
        <w:t>a la Sala Segunda con una meta operativa inferior al 26%.</w:t>
      </w:r>
    </w:p>
    <w:p w14:paraId="0B1F7D71" w14:textId="77777777" w:rsidR="00E3784E" w:rsidRPr="00F412FC" w:rsidRDefault="00E3784E" w:rsidP="00E3784E">
      <w:pPr>
        <w:rPr>
          <w:rFonts w:ascii="Book Antiqua" w:hAnsi="Book Antiqua"/>
          <w:snapToGrid w:val="0"/>
          <w:sz w:val="24"/>
          <w:szCs w:val="24"/>
        </w:rPr>
      </w:pPr>
    </w:p>
    <w:p w14:paraId="3D493622" w14:textId="77777777" w:rsidR="00E3784E" w:rsidRPr="00F412FC" w:rsidRDefault="00E3784E" w:rsidP="00E3784E">
      <w:pPr>
        <w:pStyle w:val="Prrafodelista"/>
        <w:numPr>
          <w:ilvl w:val="1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En el informe originalmente se muestra de la siguiente forma (lo marcado en gris y negrita no es parte del original, corresponde al error material detectado):</w:t>
      </w:r>
    </w:p>
    <w:p w14:paraId="45BB03EE" w14:textId="4E1419DA" w:rsidR="00DB5D8F" w:rsidRPr="00F412FC" w:rsidRDefault="00DB5D8F" w:rsidP="00E3784E">
      <w:pPr>
        <w:rPr>
          <w:rFonts w:ascii="Book Antiqua" w:hAnsi="Book Antiqua"/>
          <w:snapToGrid w:val="0"/>
          <w:sz w:val="24"/>
          <w:szCs w:val="24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2977"/>
        <w:gridCol w:w="2835"/>
      </w:tblGrid>
      <w:tr w:rsidR="001715C1" w:rsidRPr="00F412FC" w14:paraId="2362ECAD" w14:textId="77777777" w:rsidTr="002E79F7">
        <w:trPr>
          <w:trHeight w:val="520"/>
          <w:tblHeader/>
        </w:trPr>
        <w:tc>
          <w:tcPr>
            <w:tcW w:w="2972" w:type="dxa"/>
            <w:shd w:val="clear" w:color="000000" w:fill="0070C0"/>
            <w:vAlign w:val="center"/>
            <w:hideMark/>
          </w:tcPr>
          <w:p w14:paraId="388C521E" w14:textId="77777777" w:rsidR="001715C1" w:rsidRPr="00F412FC" w:rsidRDefault="001715C1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  <w:t>Oportunidad de mejora (apartado 11)</w:t>
            </w:r>
          </w:p>
        </w:tc>
        <w:tc>
          <w:tcPr>
            <w:tcW w:w="2977" w:type="dxa"/>
            <w:shd w:val="clear" w:color="000000" w:fill="0070C0"/>
            <w:vAlign w:val="center"/>
            <w:hideMark/>
          </w:tcPr>
          <w:p w14:paraId="7A372D86" w14:textId="77777777" w:rsidR="001715C1" w:rsidRPr="00F412FC" w:rsidRDefault="001715C1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  <w:t>Plan de acción</w:t>
            </w:r>
          </w:p>
        </w:tc>
        <w:tc>
          <w:tcPr>
            <w:tcW w:w="2835" w:type="dxa"/>
            <w:shd w:val="clear" w:color="000000" w:fill="0070C0"/>
            <w:vAlign w:val="center"/>
            <w:hideMark/>
          </w:tcPr>
          <w:p w14:paraId="31DA6BB6" w14:textId="77777777" w:rsidR="001715C1" w:rsidRPr="00F412FC" w:rsidRDefault="001715C1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color w:val="FFFFFF"/>
                <w:sz w:val="24"/>
                <w:szCs w:val="24"/>
                <w:lang w:eastAsia="es-CR"/>
              </w:rPr>
              <w:t>Responsable</w:t>
            </w:r>
          </w:p>
        </w:tc>
      </w:tr>
      <w:tr w:rsidR="001715C1" w:rsidRPr="00F412FC" w14:paraId="588DC1AE" w14:textId="77777777" w:rsidTr="002E79F7">
        <w:trPr>
          <w:trHeight w:val="1090"/>
        </w:trPr>
        <w:tc>
          <w:tcPr>
            <w:tcW w:w="2972" w:type="dxa"/>
            <w:shd w:val="clear" w:color="auto" w:fill="auto"/>
            <w:vAlign w:val="center"/>
            <w:hideMark/>
          </w:tcPr>
          <w:p w14:paraId="251E6E3C" w14:textId="77777777" w:rsidR="001715C1" w:rsidRPr="00F412FC" w:rsidRDefault="001715C1" w:rsidP="005D2CED">
            <w:pPr>
              <w:spacing w:after="0" w:line="240" w:lineRule="auto"/>
              <w:rPr>
                <w:rFonts w:ascii="Book Antiqua" w:eastAsia="Times New Roman" w:hAnsi="Book Antiqua" w:cs="Calibri"/>
                <w:i/>
                <w:i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i/>
                <w:iCs/>
                <w:color w:val="000000"/>
                <w:sz w:val="24"/>
                <w:szCs w:val="24"/>
                <w:lang w:eastAsia="es-CR"/>
              </w:rPr>
              <w:t>11.1 Programas Presupuestarios que presentaron una disminución en comparación del primer semestre 2022 vrs primer semestre 2023.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B77AEEB" w14:textId="77777777" w:rsidR="001715C1" w:rsidRPr="00F412FC" w:rsidRDefault="001715C1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12.1 Bridar un seguimiento y acompañamiento a las oficinas que los integran, de forma que se identifiquen las causas del porque no se logró el avance esperado al semestre del año.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97E2CE9" w14:textId="7942B228" w:rsidR="001715C1" w:rsidRPr="00F412FC" w:rsidRDefault="001715C1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* Programa Servicio de Atención y Protección de Víctimas y Testigos.    </w:t>
            </w:r>
            <w:r w:rsidR="002E79F7"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             </w:t>
            </w: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 xml:space="preserve"> * Programa Administración Fondo de Jubilaciones y Pensiones</w:t>
            </w:r>
          </w:p>
        </w:tc>
      </w:tr>
      <w:tr w:rsidR="001715C1" w:rsidRPr="00F412FC" w14:paraId="4C0DCDD6" w14:textId="77777777" w:rsidTr="002E79F7">
        <w:trPr>
          <w:trHeight w:val="1090"/>
        </w:trPr>
        <w:tc>
          <w:tcPr>
            <w:tcW w:w="2972" w:type="dxa"/>
            <w:shd w:val="clear" w:color="auto" w:fill="auto"/>
            <w:vAlign w:val="center"/>
            <w:hideMark/>
          </w:tcPr>
          <w:p w14:paraId="514C24A6" w14:textId="77777777" w:rsidR="001715C1" w:rsidRPr="00F412FC" w:rsidRDefault="001715C1" w:rsidP="005D2CED">
            <w:pPr>
              <w:spacing w:after="0" w:line="240" w:lineRule="auto"/>
              <w:rPr>
                <w:rFonts w:ascii="Book Antiqua" w:eastAsia="Times New Roman" w:hAnsi="Book Antiqua" w:cs="Calibri"/>
                <w:i/>
                <w:i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i/>
                <w:iCs/>
                <w:color w:val="000000"/>
                <w:sz w:val="24"/>
                <w:szCs w:val="24"/>
                <w:lang w:eastAsia="es-CR"/>
              </w:rPr>
              <w:t xml:space="preserve">11.2 Centros de Responsabilidad que presentaron una disminución en comparación </w:t>
            </w:r>
            <w:r w:rsidRPr="00F412FC">
              <w:rPr>
                <w:rFonts w:ascii="Book Antiqua" w:eastAsia="Times New Roman" w:hAnsi="Book Antiqua" w:cs="Calibri"/>
                <w:i/>
                <w:iCs/>
                <w:color w:val="000000"/>
                <w:sz w:val="24"/>
                <w:szCs w:val="24"/>
                <w:lang w:eastAsia="es-CR"/>
              </w:rPr>
              <w:lastRenderedPageBreak/>
              <w:t>del primer semestre 2022 vrs primer semestre 2023.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126D87B" w14:textId="77777777" w:rsidR="001715C1" w:rsidRPr="00F412FC" w:rsidRDefault="001715C1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lastRenderedPageBreak/>
              <w:t xml:space="preserve">12.2 Bridar un seguimiento y acompañamiento a las oficinas que los integran, de forma que se </w:t>
            </w: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lastRenderedPageBreak/>
              <w:t>identifiquen las causas del porque no se logró el avance esperado al semestre del año, tomando en consideración la Circular 190-2023 correspondiente a la actualización de la Circular 222-2022 “Procedimiento PCDT-DPLA-0110-0115-01-Seguimiento por parte de los Centros de Responsabilidad sobre los Planes Anuales Operativos de las oficinas y despachos judiciales.”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A4BE143" w14:textId="77777777" w:rsidR="001715C1" w:rsidRPr="00F412FC" w:rsidRDefault="001715C1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lastRenderedPageBreak/>
              <w:t>Oficinas y despachos judiciales detalladas en el punto 11.2 del apartado 11 y que se en listan en el anexo 7.</w:t>
            </w:r>
          </w:p>
        </w:tc>
      </w:tr>
      <w:tr w:rsidR="001715C1" w:rsidRPr="00F412FC" w14:paraId="31D01F74" w14:textId="77777777" w:rsidTr="002E79F7">
        <w:trPr>
          <w:trHeight w:val="1830"/>
        </w:trPr>
        <w:tc>
          <w:tcPr>
            <w:tcW w:w="2972" w:type="dxa"/>
            <w:shd w:val="clear" w:color="auto" w:fill="auto"/>
            <w:vAlign w:val="center"/>
            <w:hideMark/>
          </w:tcPr>
          <w:p w14:paraId="489E6661" w14:textId="77777777" w:rsidR="001715C1" w:rsidRPr="00F412FC" w:rsidRDefault="001715C1" w:rsidP="005D2CED">
            <w:pPr>
              <w:spacing w:after="0" w:line="240" w:lineRule="auto"/>
              <w:rPr>
                <w:rFonts w:ascii="Book Antiqua" w:eastAsia="Times New Roman" w:hAnsi="Book Antiqua" w:cs="Calibri"/>
                <w:i/>
                <w:iCs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i/>
                <w:iCs/>
                <w:color w:val="000000"/>
                <w:sz w:val="24"/>
                <w:szCs w:val="24"/>
                <w:lang w:eastAsia="es-CR"/>
              </w:rPr>
              <w:t>11.3 Del análisis al seguimiento del Plan Anual Operativo 2023, se determinó que hay un total de 336 oficinas con registro de cumplimiento inferior al 26%.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FCA76B1" w14:textId="77777777" w:rsidR="001715C1" w:rsidRPr="00F412FC" w:rsidRDefault="001715C1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12.3 Implementar medidas que permitan que al finalizar el año 2023, el Plan Anual Operativo 2023 registre metas operativas con un cumplimiento superiores al 90%.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538743E" w14:textId="77777777" w:rsidR="001715C1" w:rsidRPr="00F412FC" w:rsidRDefault="001715C1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es-CR"/>
              </w:rPr>
              <w:t>Oficinas y despachos judiciales detalladas en el punto 11.3 del apartado 11 y que se en listan en el anexo 7.</w:t>
            </w:r>
          </w:p>
        </w:tc>
      </w:tr>
      <w:tr w:rsidR="001715C1" w:rsidRPr="00F412FC" w14:paraId="67917626" w14:textId="77777777" w:rsidTr="002E79F7">
        <w:trPr>
          <w:trHeight w:val="1830"/>
        </w:trPr>
        <w:tc>
          <w:tcPr>
            <w:tcW w:w="2972" w:type="dxa"/>
            <w:shd w:val="clear" w:color="auto" w:fill="A6A6A6" w:themeFill="background1" w:themeFillShade="A6"/>
            <w:vAlign w:val="center"/>
            <w:hideMark/>
          </w:tcPr>
          <w:p w14:paraId="18537012" w14:textId="77777777" w:rsidR="001715C1" w:rsidRPr="00F412FC" w:rsidRDefault="001715C1" w:rsidP="005D2CED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i/>
                <w:iCs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i/>
                <w:iCs/>
                <w:sz w:val="24"/>
                <w:szCs w:val="24"/>
                <w:lang w:eastAsia="es-CR"/>
              </w:rPr>
              <w:t xml:space="preserve">11.4 Del análisis al seguimiento del Plan Anual Operativo 2023, se determinó que hay un total de 17 </w:t>
            </w:r>
            <w:proofErr w:type="gramStart"/>
            <w:r w:rsidRPr="00F412FC">
              <w:rPr>
                <w:rFonts w:ascii="Book Antiqua" w:eastAsia="Times New Roman" w:hAnsi="Book Antiqua" w:cs="Calibri"/>
                <w:b/>
                <w:bCs/>
                <w:i/>
                <w:iCs/>
                <w:sz w:val="24"/>
                <w:szCs w:val="24"/>
                <w:lang w:eastAsia="es-CR"/>
              </w:rPr>
              <w:t>Responsables</w:t>
            </w:r>
            <w:proofErr w:type="gramEnd"/>
            <w:r w:rsidRPr="00F412FC">
              <w:rPr>
                <w:rFonts w:ascii="Book Antiqua" w:eastAsia="Times New Roman" w:hAnsi="Book Antiqua" w:cs="Calibri"/>
                <w:b/>
                <w:bCs/>
                <w:i/>
                <w:iCs/>
                <w:sz w:val="24"/>
                <w:szCs w:val="24"/>
                <w:lang w:eastAsia="es-CR"/>
              </w:rPr>
              <w:t xml:space="preserve"> Estratégicos con registro de cumplimiento inferior al 26%.</w:t>
            </w:r>
          </w:p>
        </w:tc>
        <w:tc>
          <w:tcPr>
            <w:tcW w:w="2977" w:type="dxa"/>
            <w:shd w:val="clear" w:color="auto" w:fill="A6A6A6" w:themeFill="background1" w:themeFillShade="A6"/>
            <w:vAlign w:val="center"/>
            <w:hideMark/>
          </w:tcPr>
          <w:p w14:paraId="53FF2E97" w14:textId="77777777" w:rsidR="001715C1" w:rsidRPr="00F412FC" w:rsidRDefault="001715C1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es-CR"/>
              </w:rPr>
              <w:t>12.4 Brindar un seguimiento y acompañamiento a las oficinas o despachos para que registren metas operativas con un cumplimiento superiores al 90% al finalizar el año.</w:t>
            </w:r>
          </w:p>
        </w:tc>
        <w:tc>
          <w:tcPr>
            <w:tcW w:w="2835" w:type="dxa"/>
            <w:shd w:val="clear" w:color="auto" w:fill="A6A6A6" w:themeFill="background1" w:themeFillShade="A6"/>
            <w:vAlign w:val="center"/>
            <w:hideMark/>
          </w:tcPr>
          <w:p w14:paraId="7FAB3EB4" w14:textId="77777777" w:rsidR="001715C1" w:rsidRPr="00F412FC" w:rsidRDefault="001715C1" w:rsidP="005D2CED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es-CR"/>
              </w:rPr>
            </w:pPr>
            <w:r w:rsidRPr="00F412FC"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es-CR"/>
              </w:rPr>
              <w:t>Oficinas y despachos judiciales detalladas en el punto 11.4 del apartado 11 y que se en listan en el anexo 7.</w:t>
            </w:r>
          </w:p>
        </w:tc>
      </w:tr>
    </w:tbl>
    <w:p w14:paraId="1CB8286B" w14:textId="77777777" w:rsidR="00E3784E" w:rsidRPr="00F412FC" w:rsidRDefault="00E3784E" w:rsidP="00E3784E">
      <w:pPr>
        <w:rPr>
          <w:rFonts w:ascii="Book Antiqua" w:hAnsi="Book Antiqua"/>
          <w:snapToGrid w:val="0"/>
          <w:sz w:val="24"/>
          <w:szCs w:val="24"/>
        </w:rPr>
      </w:pPr>
    </w:p>
    <w:p w14:paraId="76787C23" w14:textId="79086530" w:rsidR="00D6472F" w:rsidRPr="00F412FC" w:rsidRDefault="001715C1" w:rsidP="00D6472F">
      <w:pPr>
        <w:pStyle w:val="Prrafodelista"/>
        <w:numPr>
          <w:ilvl w:val="1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Por lo </w:t>
      </w:r>
      <w:proofErr w:type="gramStart"/>
      <w:r w:rsidRPr="00F412FC">
        <w:rPr>
          <w:rFonts w:ascii="Book Antiqua" w:hAnsi="Book Antiqua" w:cs="Book Antiqua"/>
          <w:snapToGrid w:val="0"/>
          <w:sz w:val="24"/>
          <w:szCs w:val="24"/>
        </w:rPr>
        <w:t>que</w:t>
      </w:r>
      <w:proofErr w:type="gramEnd"/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e</w:t>
      </w:r>
      <w:r w:rsidRPr="00F412FC" w:rsidDel="00EF5C2A">
        <w:rPr>
          <w:rFonts w:ascii="Book Antiqua" w:hAnsi="Book Antiqua" w:cs="Book Antiqua"/>
          <w:snapToGrid w:val="0"/>
          <w:sz w:val="24"/>
          <w:szCs w:val="24"/>
        </w:rPr>
        <w:t xml:space="preserve">n el </w:t>
      </w:r>
      <w:r w:rsidRPr="00F412FC">
        <w:rPr>
          <w:rFonts w:ascii="Book Antiqua" w:hAnsi="Book Antiqua" w:cs="Book Antiqua"/>
          <w:b/>
          <w:bCs/>
          <w:snapToGrid w:val="0"/>
          <w:sz w:val="24"/>
          <w:szCs w:val="24"/>
        </w:rPr>
        <w:t xml:space="preserve">Plan de Acción, </w:t>
      </w:r>
      <w:r w:rsidR="009C3270" w:rsidRPr="00F412FC">
        <w:rPr>
          <w:rFonts w:ascii="Book Antiqua" w:hAnsi="Book Antiqua" w:cs="Book Antiqua"/>
          <w:b/>
          <w:bCs/>
          <w:snapToGrid w:val="0"/>
          <w:sz w:val="24"/>
          <w:szCs w:val="24"/>
        </w:rPr>
        <w:t xml:space="preserve">adjunto en el anexo 7 </w:t>
      </w:r>
      <w:r w:rsidRPr="00F412FC" w:rsidDel="00EF5C2A">
        <w:rPr>
          <w:rFonts w:ascii="Book Antiqua" w:hAnsi="Book Antiqua" w:cs="Book Antiqua"/>
          <w:snapToGrid w:val="0"/>
          <w:sz w:val="24"/>
          <w:szCs w:val="24"/>
        </w:rPr>
        <w:t xml:space="preserve">deberá de excluirse 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la Sala Segunda </w:t>
      </w:r>
      <w:r w:rsidR="001C753A" w:rsidRPr="00F412FC">
        <w:rPr>
          <w:rFonts w:ascii="Book Antiqua" w:hAnsi="Book Antiqua" w:cs="Book Antiqua"/>
          <w:snapToGrid w:val="0"/>
          <w:sz w:val="24"/>
          <w:szCs w:val="24"/>
        </w:rPr>
        <w:t>del listado de los Responsables Estratégicos</w:t>
      </w:r>
      <w:r w:rsidR="00191860" w:rsidRPr="00F412FC">
        <w:rPr>
          <w:rFonts w:ascii="Book Antiqua" w:hAnsi="Book Antiqua" w:cs="Book Antiqua"/>
          <w:snapToGrid w:val="0"/>
          <w:sz w:val="24"/>
          <w:szCs w:val="24"/>
        </w:rPr>
        <w:t>, (punto 11.4)</w:t>
      </w:r>
      <w:r w:rsidR="00D6472F" w:rsidRPr="00F412FC">
        <w:rPr>
          <w:rFonts w:ascii="Book Antiqua" w:hAnsi="Book Antiqua" w:cs="Book Antiqua"/>
          <w:snapToGrid w:val="0"/>
          <w:sz w:val="24"/>
          <w:szCs w:val="24"/>
        </w:rPr>
        <w:t>.</w:t>
      </w:r>
    </w:p>
    <w:p w14:paraId="1FDFFD87" w14:textId="77777777" w:rsidR="00F62C03" w:rsidRPr="00F412FC" w:rsidRDefault="00F62C03" w:rsidP="00F62C03">
      <w:pPr>
        <w:pStyle w:val="NormalWeb"/>
        <w:spacing w:before="0" w:beforeAutospacing="0" w:after="0" w:afterAutospacing="0" w:line="276" w:lineRule="auto"/>
        <w:jc w:val="both"/>
        <w:rPr>
          <w:rFonts w:ascii="Book Antiqua" w:hAnsi="Book Antiqua"/>
          <w:sz w:val="24"/>
        </w:rPr>
      </w:pPr>
    </w:p>
    <w:p w14:paraId="37308B62" w14:textId="521900D7" w:rsidR="002262FA" w:rsidRPr="00F412FC" w:rsidRDefault="002262FA" w:rsidP="001C753A">
      <w:pPr>
        <w:pStyle w:val="Prrafodelista"/>
        <w:numPr>
          <w:ilvl w:val="0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b/>
          <w:bCs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b/>
          <w:bCs/>
          <w:snapToGrid w:val="0"/>
          <w:sz w:val="24"/>
          <w:szCs w:val="24"/>
        </w:rPr>
        <w:t>Recomendaci</w:t>
      </w:r>
      <w:r w:rsidR="00622F9C" w:rsidRPr="00F412FC">
        <w:rPr>
          <w:rFonts w:ascii="Book Antiqua" w:hAnsi="Book Antiqua" w:cs="Book Antiqua"/>
          <w:b/>
          <w:bCs/>
          <w:snapToGrid w:val="0"/>
          <w:sz w:val="24"/>
          <w:szCs w:val="24"/>
        </w:rPr>
        <w:t>ón</w:t>
      </w:r>
    </w:p>
    <w:p w14:paraId="24422ABF" w14:textId="77777777" w:rsidR="00D04650" w:rsidRPr="00F412FC" w:rsidRDefault="00D04650" w:rsidP="00BB500D">
      <w:pPr>
        <w:rPr>
          <w:rFonts w:ascii="Book Antiqua" w:hAnsi="Book Antiqua"/>
          <w:snapToGrid w:val="0"/>
          <w:sz w:val="24"/>
          <w:szCs w:val="24"/>
        </w:rPr>
      </w:pPr>
    </w:p>
    <w:p w14:paraId="32F9450E" w14:textId="196EB7C8" w:rsidR="00D04650" w:rsidRPr="00F412FC" w:rsidRDefault="00D04650" w:rsidP="00D04650">
      <w:pPr>
        <w:pStyle w:val="Prrafodelista"/>
        <w:suppressAutoHyphens/>
        <w:spacing w:line="276" w:lineRule="auto"/>
        <w:ind w:left="360"/>
        <w:jc w:val="both"/>
        <w:outlineLvl w:val="0"/>
        <w:rPr>
          <w:rFonts w:ascii="Book Antiqua" w:hAnsi="Book Antiqua" w:cs="Book Antiqua"/>
          <w:b/>
          <w:bCs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b/>
          <w:bCs/>
          <w:snapToGrid w:val="0"/>
          <w:sz w:val="24"/>
          <w:szCs w:val="24"/>
        </w:rPr>
        <w:t>Al Consejo Superior</w:t>
      </w:r>
    </w:p>
    <w:p w14:paraId="478D37B1" w14:textId="77777777" w:rsidR="00D04650" w:rsidRPr="00F412FC" w:rsidRDefault="00D04650" w:rsidP="00BB500D">
      <w:pPr>
        <w:rPr>
          <w:rFonts w:ascii="Book Antiqua" w:hAnsi="Book Antiqua"/>
          <w:snapToGrid w:val="0"/>
          <w:sz w:val="24"/>
          <w:szCs w:val="24"/>
        </w:rPr>
      </w:pPr>
    </w:p>
    <w:p w14:paraId="689D0DF8" w14:textId="7B0B5A0A" w:rsidR="00E50B3A" w:rsidRPr="00F412FC" w:rsidRDefault="00D04650" w:rsidP="001C753A">
      <w:pPr>
        <w:pStyle w:val="Prrafodelista"/>
        <w:numPr>
          <w:ilvl w:val="1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Valorar</w:t>
      </w:r>
      <w:r w:rsidR="00976046" w:rsidRPr="00F412FC">
        <w:rPr>
          <w:rFonts w:ascii="Book Antiqua" w:hAnsi="Book Antiqua" w:cs="Book Antiqua"/>
          <w:snapToGrid w:val="0"/>
          <w:sz w:val="24"/>
          <w:szCs w:val="24"/>
        </w:rPr>
        <w:t xml:space="preserve"> </w:t>
      </w:r>
      <w:r w:rsidR="000934B5" w:rsidRPr="00F412FC">
        <w:rPr>
          <w:rFonts w:ascii="Book Antiqua" w:hAnsi="Book Antiqua" w:cs="Book Antiqua"/>
          <w:snapToGrid w:val="0"/>
          <w:sz w:val="24"/>
          <w:szCs w:val="24"/>
        </w:rPr>
        <w:t>la corrección de</w:t>
      </w:r>
      <w:r w:rsidR="00976046" w:rsidRPr="00F412FC">
        <w:rPr>
          <w:rFonts w:ascii="Book Antiqua" w:hAnsi="Book Antiqua" w:cs="Book Antiqua"/>
          <w:snapToGrid w:val="0"/>
          <w:sz w:val="24"/>
          <w:szCs w:val="24"/>
        </w:rPr>
        <w:t>l error material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en l</w:t>
      </w:r>
      <w:r w:rsidR="00BB500D" w:rsidRPr="00F412FC">
        <w:rPr>
          <w:rFonts w:ascii="Book Antiqua" w:hAnsi="Book Antiqua" w:cs="Book Antiqua"/>
          <w:snapToGrid w:val="0"/>
          <w:sz w:val="24"/>
          <w:szCs w:val="24"/>
        </w:rPr>
        <w:t>os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Cuadro</w:t>
      </w:r>
      <w:r w:rsidR="00BB500D" w:rsidRPr="00F412FC">
        <w:rPr>
          <w:rFonts w:ascii="Book Antiqua" w:hAnsi="Book Antiqua" w:cs="Book Antiqua"/>
          <w:snapToGrid w:val="0"/>
          <w:sz w:val="24"/>
          <w:szCs w:val="24"/>
        </w:rPr>
        <w:t>s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</w:t>
      </w:r>
      <w:r w:rsidR="00BB500D" w:rsidRPr="00F412FC">
        <w:rPr>
          <w:rFonts w:ascii="Book Antiqua" w:hAnsi="Book Antiqua" w:cs="Book Antiqua"/>
          <w:snapToGrid w:val="0"/>
          <w:sz w:val="24"/>
          <w:szCs w:val="24"/>
        </w:rPr>
        <w:t>8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</w:t>
      </w:r>
      <w:r w:rsidR="00CC0391" w:rsidRPr="00F412FC">
        <w:rPr>
          <w:rFonts w:ascii="Book Antiqua" w:hAnsi="Book Antiqua" w:cs="Book Antiqua"/>
          <w:snapToGrid w:val="0"/>
          <w:sz w:val="24"/>
          <w:szCs w:val="24"/>
        </w:rPr>
        <w:t xml:space="preserve">y 11 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del informe </w:t>
      </w:r>
      <w:r w:rsidR="00BB500D" w:rsidRPr="00F412FC">
        <w:rPr>
          <w:rFonts w:ascii="Book Antiqua" w:hAnsi="Book Antiqua" w:cs="Book Antiqua"/>
          <w:snapToGrid w:val="0"/>
          <w:sz w:val="24"/>
          <w:szCs w:val="24"/>
        </w:rPr>
        <w:t>1031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>-PLA-EV-2022,</w:t>
      </w:r>
      <w:r w:rsidR="00976046" w:rsidRPr="00F412FC">
        <w:rPr>
          <w:rFonts w:ascii="Book Antiqua" w:hAnsi="Book Antiqua" w:cs="Book Antiqua"/>
          <w:snapToGrid w:val="0"/>
          <w:sz w:val="24"/>
          <w:szCs w:val="24"/>
        </w:rPr>
        <w:t xml:space="preserve"> </w:t>
      </w:r>
      <w:r w:rsidR="000934B5" w:rsidRPr="00F412FC">
        <w:rPr>
          <w:rFonts w:ascii="Book Antiqua" w:hAnsi="Book Antiqua" w:cs="Book Antiqua"/>
          <w:snapToGrid w:val="0"/>
          <w:sz w:val="24"/>
          <w:szCs w:val="24"/>
        </w:rPr>
        <w:t xml:space="preserve">según se 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>detalla</w:t>
      </w:r>
      <w:r w:rsidR="000934B5" w:rsidRPr="00F412FC">
        <w:rPr>
          <w:rFonts w:ascii="Book Antiqua" w:hAnsi="Book Antiqua" w:cs="Book Antiqua"/>
          <w:snapToGrid w:val="0"/>
          <w:sz w:val="24"/>
          <w:szCs w:val="24"/>
        </w:rPr>
        <w:t xml:space="preserve"> en 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>los</w:t>
      </w:r>
      <w:r w:rsidR="000934B5" w:rsidRPr="00F412FC">
        <w:rPr>
          <w:rFonts w:ascii="Book Antiqua" w:hAnsi="Book Antiqua" w:cs="Book Antiqua"/>
          <w:snapToGrid w:val="0"/>
          <w:sz w:val="24"/>
          <w:szCs w:val="24"/>
        </w:rPr>
        <w:t xml:space="preserve"> punto</w:t>
      </w:r>
      <w:r w:rsidRPr="00F412FC">
        <w:rPr>
          <w:rFonts w:ascii="Book Antiqua" w:hAnsi="Book Antiqua" w:cs="Book Antiqua"/>
          <w:snapToGrid w:val="0"/>
          <w:sz w:val="24"/>
          <w:szCs w:val="24"/>
        </w:rPr>
        <w:t>s</w:t>
      </w:r>
      <w:r w:rsidR="000934B5" w:rsidRPr="00F412FC">
        <w:rPr>
          <w:rFonts w:ascii="Book Antiqua" w:hAnsi="Book Antiqua" w:cs="Book Antiqua"/>
          <w:snapToGrid w:val="0"/>
          <w:sz w:val="24"/>
          <w:szCs w:val="24"/>
        </w:rPr>
        <w:t xml:space="preserve"> 2</w:t>
      </w:r>
      <w:r w:rsidR="007363EC" w:rsidRPr="00F412FC">
        <w:rPr>
          <w:rFonts w:ascii="Book Antiqua" w:hAnsi="Book Antiqua" w:cs="Book Antiqua"/>
          <w:snapToGrid w:val="0"/>
          <w:sz w:val="24"/>
          <w:szCs w:val="24"/>
        </w:rPr>
        <w:t>.</w:t>
      </w:r>
      <w:r w:rsidR="00CC0391" w:rsidRPr="00F412FC">
        <w:rPr>
          <w:rFonts w:ascii="Book Antiqua" w:hAnsi="Book Antiqua" w:cs="Book Antiqua"/>
          <w:snapToGrid w:val="0"/>
          <w:sz w:val="24"/>
          <w:szCs w:val="24"/>
        </w:rPr>
        <w:t>3 y 2.6</w:t>
      </w:r>
      <w:r w:rsidR="000934B5" w:rsidRPr="00F412FC">
        <w:rPr>
          <w:rFonts w:ascii="Book Antiqua" w:hAnsi="Book Antiqua" w:cs="Book Antiqua"/>
          <w:snapToGrid w:val="0"/>
          <w:sz w:val="24"/>
          <w:szCs w:val="24"/>
        </w:rPr>
        <w:t xml:space="preserve"> de este informe</w:t>
      </w:r>
      <w:r w:rsidR="0026652A" w:rsidRPr="00F412FC">
        <w:rPr>
          <w:rFonts w:ascii="Book Antiqua" w:hAnsi="Book Antiqua" w:cs="Book Antiqua"/>
          <w:snapToGrid w:val="0"/>
          <w:sz w:val="24"/>
          <w:szCs w:val="24"/>
        </w:rPr>
        <w:t>.</w:t>
      </w:r>
    </w:p>
    <w:p w14:paraId="5A94411D" w14:textId="681C360F" w:rsidR="008C33CA" w:rsidRPr="00F412FC" w:rsidRDefault="008C33CA" w:rsidP="008C33CA">
      <w:pPr>
        <w:rPr>
          <w:rFonts w:ascii="Book Antiqua" w:hAnsi="Book Antiqua"/>
          <w:snapToGrid w:val="0"/>
          <w:sz w:val="24"/>
          <w:szCs w:val="24"/>
        </w:rPr>
      </w:pPr>
    </w:p>
    <w:p w14:paraId="25BAAEF1" w14:textId="60F53ABE" w:rsidR="008C33CA" w:rsidRPr="00F412FC" w:rsidRDefault="008C33CA" w:rsidP="001C753A">
      <w:pPr>
        <w:pStyle w:val="Prrafodelista"/>
        <w:numPr>
          <w:ilvl w:val="1"/>
          <w:numId w:val="12"/>
        </w:numPr>
        <w:suppressAutoHyphens/>
        <w:spacing w:line="276" w:lineRule="auto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Valorar la corrección del erro</w:t>
      </w:r>
      <w:r w:rsidR="00E6253B" w:rsidRPr="00F412FC">
        <w:rPr>
          <w:rFonts w:ascii="Book Antiqua" w:hAnsi="Book Antiqua" w:cs="Book Antiqua"/>
          <w:snapToGrid w:val="0"/>
          <w:sz w:val="24"/>
          <w:szCs w:val="24"/>
        </w:rPr>
        <w:t xml:space="preserve">r material en el Plan de Acción de la línea 4 </w:t>
      </w:r>
      <w:r w:rsidR="00833375" w:rsidRPr="00F412FC">
        <w:rPr>
          <w:rFonts w:ascii="Book Antiqua" w:hAnsi="Book Antiqua" w:cs="Book Antiqua"/>
          <w:snapToGrid w:val="0"/>
          <w:sz w:val="24"/>
          <w:szCs w:val="24"/>
        </w:rPr>
        <w:t xml:space="preserve">de los </w:t>
      </w:r>
      <w:proofErr w:type="gramStart"/>
      <w:r w:rsidR="00833375" w:rsidRPr="00F412FC">
        <w:rPr>
          <w:rFonts w:ascii="Book Antiqua" w:hAnsi="Book Antiqua" w:cs="Book Antiqua"/>
          <w:snapToGrid w:val="0"/>
          <w:sz w:val="24"/>
          <w:szCs w:val="24"/>
        </w:rPr>
        <w:t>Responsables</w:t>
      </w:r>
      <w:proofErr w:type="gramEnd"/>
      <w:r w:rsidR="00833375" w:rsidRPr="00F412FC">
        <w:rPr>
          <w:rFonts w:ascii="Book Antiqua" w:hAnsi="Book Antiqua" w:cs="Book Antiqua"/>
          <w:snapToGrid w:val="0"/>
          <w:sz w:val="24"/>
          <w:szCs w:val="24"/>
        </w:rPr>
        <w:t xml:space="preserve"> Estratégicos del informe 1031-PLA-EV-2023, según se detalla en el punto 2.9</w:t>
      </w:r>
      <w:r w:rsidR="00492CFF" w:rsidRPr="00F412FC">
        <w:rPr>
          <w:rFonts w:ascii="Book Antiqua" w:hAnsi="Book Antiqua" w:cs="Book Antiqua"/>
          <w:snapToGrid w:val="0"/>
          <w:sz w:val="24"/>
          <w:szCs w:val="24"/>
        </w:rPr>
        <w:t xml:space="preserve">. </w:t>
      </w:r>
      <w:r w:rsidR="007F7F55" w:rsidRPr="00F412FC">
        <w:rPr>
          <w:rFonts w:ascii="Book Antiqua" w:hAnsi="Book Antiqua" w:cs="Book Antiqua"/>
          <w:snapToGrid w:val="0"/>
          <w:sz w:val="24"/>
          <w:szCs w:val="24"/>
        </w:rPr>
        <w:t xml:space="preserve">Todo lo demás </w:t>
      </w:r>
      <w:r w:rsidR="00855930" w:rsidRPr="00F412FC">
        <w:rPr>
          <w:rFonts w:ascii="Book Antiqua" w:hAnsi="Book Antiqua" w:cs="Book Antiqua"/>
          <w:snapToGrid w:val="0"/>
          <w:sz w:val="24"/>
          <w:szCs w:val="24"/>
        </w:rPr>
        <w:t xml:space="preserve">contenido en el informe, </w:t>
      </w:r>
      <w:r w:rsidR="007F7F55" w:rsidRPr="00F412FC">
        <w:rPr>
          <w:rFonts w:ascii="Book Antiqua" w:hAnsi="Book Antiqua" w:cs="Book Antiqua"/>
          <w:snapToGrid w:val="0"/>
          <w:sz w:val="24"/>
          <w:szCs w:val="24"/>
        </w:rPr>
        <w:t>se mantiene bajo el mismo criterio de la Dirección de Planificación.</w:t>
      </w:r>
    </w:p>
    <w:p w14:paraId="6CAE35FA" w14:textId="77777777" w:rsidR="00BE2F6B" w:rsidRPr="00F412FC" w:rsidRDefault="00BE2F6B" w:rsidP="00BE2F6B">
      <w:pPr>
        <w:pStyle w:val="Prrafodelista"/>
        <w:suppressAutoHyphens/>
        <w:spacing w:line="276" w:lineRule="auto"/>
        <w:ind w:left="792"/>
        <w:jc w:val="both"/>
        <w:outlineLvl w:val="0"/>
        <w:rPr>
          <w:rFonts w:ascii="Book Antiqua" w:hAnsi="Book Antiqua" w:cs="Book Antiqua"/>
          <w:snapToGrid w:val="0"/>
          <w:sz w:val="24"/>
          <w:szCs w:val="24"/>
        </w:rPr>
      </w:pPr>
    </w:p>
    <w:p w14:paraId="35D7BEE8" w14:textId="187620CE" w:rsidR="00E50B3A" w:rsidRPr="00F412FC" w:rsidRDefault="009A5B4A" w:rsidP="00183067">
      <w:pPr>
        <w:widowControl w:val="0"/>
        <w:tabs>
          <w:tab w:val="left" w:pos="900"/>
        </w:tabs>
        <w:rPr>
          <w:rFonts w:ascii="Book Antiqua" w:eastAsia="Times New Roman" w:hAnsi="Book Antiqua" w:cs="Book Antiqua"/>
          <w:b/>
          <w:bCs/>
          <w:snapToGrid w:val="0"/>
          <w:sz w:val="24"/>
          <w:szCs w:val="24"/>
          <w:lang w:val="es-ES" w:eastAsia="es-ES"/>
        </w:rPr>
      </w:pPr>
      <w:r w:rsidRPr="00F412FC">
        <w:rPr>
          <w:rFonts w:ascii="Book Antiqua" w:hAnsi="Book Antiqua" w:cs="Book Antiqua"/>
          <w:b/>
          <w:bCs/>
          <w:sz w:val="24"/>
          <w:szCs w:val="24"/>
        </w:rPr>
        <w:tab/>
      </w:r>
      <w:r w:rsidR="0038572A" w:rsidRPr="00F412FC">
        <w:rPr>
          <w:rFonts w:ascii="Book Antiqua" w:eastAsia="Times New Roman" w:hAnsi="Book Antiqua" w:cs="Book Antiqua"/>
          <w:b/>
          <w:bCs/>
          <w:snapToGrid w:val="0"/>
          <w:sz w:val="24"/>
          <w:szCs w:val="24"/>
          <w:lang w:val="es-ES" w:eastAsia="es-ES"/>
        </w:rPr>
        <w:t>Anexo</w:t>
      </w:r>
      <w:r w:rsidR="00D975CB" w:rsidRPr="00F412FC">
        <w:rPr>
          <w:rFonts w:ascii="Book Antiqua" w:hAnsi="Book Antiqua" w:cs="Book Antiqua"/>
          <w:b/>
          <w:bCs/>
          <w:snapToGrid w:val="0"/>
          <w:sz w:val="24"/>
          <w:szCs w:val="24"/>
        </w:rPr>
        <w:t>s</w:t>
      </w:r>
    </w:p>
    <w:p w14:paraId="62401166" w14:textId="4EE85C42" w:rsidR="007C28E1" w:rsidRPr="00F412FC" w:rsidRDefault="007C28E1" w:rsidP="00E50B3A">
      <w:pPr>
        <w:widowControl w:val="0"/>
        <w:spacing w:line="240" w:lineRule="auto"/>
        <w:rPr>
          <w:rFonts w:ascii="Book Antiqua" w:hAnsi="Book Antiqua" w:cs="Book Antiqua"/>
          <w:b/>
          <w:bCs/>
          <w:sz w:val="24"/>
          <w:szCs w:val="24"/>
        </w:rPr>
      </w:pPr>
    </w:p>
    <w:tbl>
      <w:tblPr>
        <w:tblW w:w="7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9"/>
        <w:gridCol w:w="2420"/>
      </w:tblGrid>
      <w:tr w:rsidR="00B07EED" w:rsidRPr="00F412FC" w14:paraId="2CF51E4D" w14:textId="77777777" w:rsidTr="00FF3C19">
        <w:trPr>
          <w:trHeight w:val="288"/>
          <w:jc w:val="center"/>
        </w:trPr>
        <w:tc>
          <w:tcPr>
            <w:tcW w:w="5399" w:type="dxa"/>
            <w:shd w:val="clear" w:color="000000" w:fill="4F81BD"/>
            <w:noWrap/>
            <w:vAlign w:val="center"/>
            <w:hideMark/>
          </w:tcPr>
          <w:p w14:paraId="2795B9A5" w14:textId="77777777" w:rsidR="00B07EED" w:rsidRPr="00F412FC" w:rsidRDefault="00B07EED" w:rsidP="00B07EED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F412FC">
              <w:rPr>
                <w:rFonts w:ascii="Book Antiqua" w:eastAsia="Times New Roman" w:hAnsi="Book Antiqua" w:cs="Times New Roman"/>
                <w:b/>
                <w:bCs/>
                <w:color w:val="FFFFFF"/>
                <w:sz w:val="24"/>
                <w:szCs w:val="24"/>
                <w:lang w:val="es-ES" w:eastAsia="es-ES"/>
              </w:rPr>
              <w:t>Instancia Judicial</w:t>
            </w:r>
          </w:p>
        </w:tc>
        <w:tc>
          <w:tcPr>
            <w:tcW w:w="2420" w:type="dxa"/>
            <w:shd w:val="clear" w:color="000000" w:fill="4F81BD"/>
            <w:noWrap/>
            <w:vAlign w:val="center"/>
            <w:hideMark/>
          </w:tcPr>
          <w:p w14:paraId="35FFAF4E" w14:textId="77777777" w:rsidR="00B07EED" w:rsidRPr="00F412FC" w:rsidRDefault="00B07EED" w:rsidP="00B07EED">
            <w:pPr>
              <w:jc w:val="center"/>
              <w:rPr>
                <w:rFonts w:ascii="Book Antiqua" w:eastAsia="Times New Roman" w:hAnsi="Book Antiqua" w:cs="Times New Roman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F412FC">
              <w:rPr>
                <w:rFonts w:ascii="Book Antiqua" w:eastAsia="Times New Roman" w:hAnsi="Book Antiqua" w:cs="Times New Roman"/>
                <w:b/>
                <w:bCs/>
                <w:color w:val="FFFFFF"/>
                <w:sz w:val="24"/>
                <w:szCs w:val="24"/>
                <w:lang w:val="es-ES" w:eastAsia="es-ES"/>
              </w:rPr>
              <w:t>Anexo</w:t>
            </w:r>
          </w:p>
        </w:tc>
      </w:tr>
      <w:tr w:rsidR="00B07EED" w:rsidRPr="00F412FC" w14:paraId="7D48EF42" w14:textId="77777777" w:rsidTr="00FF3C19">
        <w:trPr>
          <w:trHeight w:val="288"/>
          <w:jc w:val="center"/>
        </w:trPr>
        <w:tc>
          <w:tcPr>
            <w:tcW w:w="5399" w:type="dxa"/>
            <w:shd w:val="clear" w:color="auto" w:fill="auto"/>
            <w:vAlign w:val="center"/>
          </w:tcPr>
          <w:p w14:paraId="52983714" w14:textId="3A56F63C" w:rsidR="00B07EED" w:rsidRPr="00F412FC" w:rsidRDefault="0086668E" w:rsidP="00B07EED">
            <w:pPr>
              <w:jc w:val="center"/>
              <w:rPr>
                <w:rFonts w:ascii="Book Antiqua" w:eastAsia="Times New Roman" w:hAnsi="Book Antiqua" w:cs="Book Antiqua"/>
                <w:bCs/>
                <w:sz w:val="24"/>
                <w:szCs w:val="24"/>
                <w:lang w:eastAsia="es-ES"/>
              </w:rPr>
            </w:pPr>
            <w:r w:rsidRPr="00F412FC">
              <w:rPr>
                <w:rFonts w:ascii="Book Antiqua" w:hAnsi="Book Antiqua" w:cs="Book Antiqua"/>
                <w:bCs/>
                <w:sz w:val="24"/>
                <w:szCs w:val="24"/>
              </w:rPr>
              <w:t xml:space="preserve">Correo electrónico </w:t>
            </w:r>
            <w:r w:rsidR="0044057C" w:rsidRPr="00F412FC">
              <w:rPr>
                <w:rFonts w:ascii="Book Antiqua" w:hAnsi="Book Antiqua" w:cs="Book Antiqua"/>
                <w:bCs/>
                <w:sz w:val="24"/>
                <w:szCs w:val="24"/>
              </w:rPr>
              <w:t xml:space="preserve">de don Kenneth Muñoz Rojas, </w:t>
            </w:r>
            <w:proofErr w:type="gramStart"/>
            <w:r w:rsidR="0044057C" w:rsidRPr="00F412FC">
              <w:rPr>
                <w:rFonts w:ascii="Book Antiqua" w:hAnsi="Book Antiqua" w:cs="Book Antiqua"/>
                <w:bCs/>
                <w:sz w:val="24"/>
                <w:szCs w:val="24"/>
              </w:rPr>
              <w:t>Secretario</w:t>
            </w:r>
            <w:proofErr w:type="gramEnd"/>
            <w:r w:rsidR="0044057C" w:rsidRPr="00F412FC">
              <w:rPr>
                <w:rFonts w:ascii="Book Antiqua" w:hAnsi="Book Antiqua" w:cs="Book Antiqua"/>
                <w:bCs/>
                <w:sz w:val="24"/>
                <w:szCs w:val="24"/>
              </w:rPr>
              <w:t xml:space="preserve"> de la Sala Segunda</w:t>
            </w:r>
          </w:p>
        </w:tc>
        <w:tc>
          <w:tcPr>
            <w:tcW w:w="2420" w:type="dxa"/>
            <w:shd w:val="clear" w:color="auto" w:fill="auto"/>
            <w:noWrap/>
            <w:vAlign w:val="center"/>
          </w:tcPr>
          <w:p w14:paraId="3485E291" w14:textId="57BDC0DE" w:rsidR="00B07EED" w:rsidRPr="00F412FC" w:rsidRDefault="00B07EED" w:rsidP="00B07EED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es-ES" w:eastAsia="es-ES"/>
              </w:rPr>
            </w:pPr>
            <w:r w:rsidRPr="00F412FC">
              <w:rPr>
                <w:rFonts w:ascii="Book Antiqua" w:eastAsia="Times New Roman" w:hAnsi="Book Antiqua" w:cs="Times New Roman"/>
                <w:sz w:val="24"/>
                <w:szCs w:val="24"/>
                <w:lang w:val="es-ES" w:eastAsia="es-ES"/>
              </w:rPr>
              <w:t>Anexo 1</w:t>
            </w:r>
          </w:p>
          <w:p w14:paraId="259CE396" w14:textId="148B6FFF" w:rsidR="00232635" w:rsidRPr="00F412FC" w:rsidRDefault="00013E9E" w:rsidP="00B07EED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es-ES" w:eastAsia="es-ES"/>
              </w:rPr>
            </w:pPr>
            <w:r w:rsidRPr="00F412FC">
              <w:rPr>
                <w:rFonts w:ascii="Book Antiqua" w:eastAsia="Times New Roman" w:hAnsi="Book Antiqua" w:cs="Times New Roman"/>
                <w:sz w:val="24"/>
                <w:szCs w:val="24"/>
                <w:lang w:val="es-ES" w:eastAsia="es-ES"/>
              </w:rPr>
              <w:object w:dxaOrig="1508" w:dyaOrig="983" w14:anchorId="7AE19C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50.7pt" o:ole="">
                  <v:imagedata r:id="rId9" o:title=""/>
                </v:shape>
                <o:OLEObject Type="Embed" ProgID="Package" ShapeID="_x0000_i1025" DrawAspect="Icon" ObjectID="_1757242011" r:id="rId10"/>
              </w:object>
            </w:r>
          </w:p>
          <w:p w14:paraId="4ABAD9F9" w14:textId="35313BEE" w:rsidR="00B07EED" w:rsidRPr="00F412FC" w:rsidRDefault="00B07EED" w:rsidP="009C49FF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es-ES" w:eastAsia="es-ES"/>
              </w:rPr>
            </w:pPr>
          </w:p>
        </w:tc>
      </w:tr>
      <w:tr w:rsidR="00164E0C" w:rsidRPr="00F412FC" w14:paraId="782708F2" w14:textId="77777777" w:rsidTr="00FF3C19">
        <w:trPr>
          <w:trHeight w:val="288"/>
          <w:jc w:val="center"/>
        </w:trPr>
        <w:tc>
          <w:tcPr>
            <w:tcW w:w="5399" w:type="dxa"/>
            <w:shd w:val="clear" w:color="auto" w:fill="auto"/>
            <w:vAlign w:val="center"/>
          </w:tcPr>
          <w:p w14:paraId="7ECD02A5" w14:textId="1A61B28B" w:rsidR="00164E0C" w:rsidRPr="00F412FC" w:rsidRDefault="0044057C" w:rsidP="00B07EED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bCs/>
                <w:sz w:val="24"/>
                <w:szCs w:val="24"/>
              </w:rPr>
              <w:t>Plan de Acción del informe 1031-PLA-EV-2023</w:t>
            </w:r>
          </w:p>
        </w:tc>
        <w:tc>
          <w:tcPr>
            <w:tcW w:w="2420" w:type="dxa"/>
            <w:shd w:val="clear" w:color="auto" w:fill="auto"/>
            <w:noWrap/>
            <w:vAlign w:val="center"/>
          </w:tcPr>
          <w:p w14:paraId="134206F3" w14:textId="5CC3A98C" w:rsidR="00164E0C" w:rsidRPr="00F412FC" w:rsidRDefault="0044057C" w:rsidP="00B07EED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es-ES" w:eastAsia="es-ES"/>
              </w:rPr>
            </w:pPr>
            <w:r w:rsidRPr="00F412FC">
              <w:rPr>
                <w:rFonts w:ascii="Book Antiqua" w:eastAsia="Times New Roman" w:hAnsi="Book Antiqua" w:cs="Times New Roman"/>
                <w:sz w:val="24"/>
                <w:szCs w:val="24"/>
                <w:lang w:val="es-ES" w:eastAsia="es-ES"/>
              </w:rPr>
              <w:t>Anexo 2</w:t>
            </w:r>
          </w:p>
          <w:bookmarkStart w:id="2" w:name="_MON_1756820091"/>
          <w:bookmarkEnd w:id="2"/>
          <w:p w14:paraId="19EB6FA7" w14:textId="507A1A6F" w:rsidR="00164E0C" w:rsidRPr="00F412FC" w:rsidRDefault="00F412FC" w:rsidP="00B07EED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es-ES" w:eastAsia="es-ES"/>
              </w:rPr>
            </w:pPr>
            <w:r w:rsidRPr="00F412FC">
              <w:rPr>
                <w:rFonts w:ascii="Book Antiqua" w:hAnsi="Book Antiqua"/>
                <w:sz w:val="24"/>
                <w:szCs w:val="24"/>
                <w:lang w:val="es-ES" w:eastAsia="ja-JP"/>
              </w:rPr>
              <w:object w:dxaOrig="1376" w:dyaOrig="893" w14:anchorId="67115E8F">
                <v:shape id="_x0000_i1026" type="#_x0000_t75" style="width:65.75pt;height:45.7pt" o:ole="">
                  <v:imagedata r:id="rId11" o:title=""/>
                </v:shape>
                <o:OLEObject Type="Embed" ProgID="Excel.Sheet.12" ShapeID="_x0000_i1026" DrawAspect="Icon" ObjectID="_1757242012" r:id="rId12"/>
              </w:object>
            </w:r>
          </w:p>
        </w:tc>
      </w:tr>
      <w:tr w:rsidR="00573598" w:rsidRPr="00F412FC" w14:paraId="697A7A77" w14:textId="77777777" w:rsidTr="00FF3C19">
        <w:trPr>
          <w:trHeight w:val="288"/>
          <w:jc w:val="center"/>
        </w:trPr>
        <w:tc>
          <w:tcPr>
            <w:tcW w:w="5399" w:type="dxa"/>
            <w:shd w:val="clear" w:color="auto" w:fill="auto"/>
            <w:vAlign w:val="center"/>
          </w:tcPr>
          <w:p w14:paraId="1C3ABD9E" w14:textId="44A5A687" w:rsidR="00573598" w:rsidRPr="00F412FC" w:rsidRDefault="00573598" w:rsidP="00B07EED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</w:rPr>
            </w:pPr>
            <w:r w:rsidRPr="00F412FC">
              <w:rPr>
                <w:rFonts w:ascii="Book Antiqua" w:hAnsi="Book Antiqua" w:cs="Book Antiqua"/>
                <w:bCs/>
                <w:sz w:val="24"/>
                <w:szCs w:val="24"/>
              </w:rPr>
              <w:t xml:space="preserve">Informe </w:t>
            </w:r>
            <w:r w:rsidR="00C554D1" w:rsidRPr="00F412FC">
              <w:rPr>
                <w:rFonts w:ascii="Book Antiqua" w:hAnsi="Book Antiqua" w:cs="Book Antiqua"/>
                <w:bCs/>
                <w:sz w:val="24"/>
                <w:szCs w:val="24"/>
              </w:rPr>
              <w:t>Seguimiento al Plan Anual Operativo 2023</w:t>
            </w:r>
            <w:r w:rsidRPr="00F412FC">
              <w:rPr>
                <w:rFonts w:ascii="Book Antiqua" w:hAnsi="Book Antiqua" w:cs="Book Antiqua"/>
                <w:bCs/>
                <w:sz w:val="24"/>
                <w:szCs w:val="24"/>
              </w:rPr>
              <w:t xml:space="preserve"> </w:t>
            </w:r>
            <w:r w:rsidR="00C554D1" w:rsidRPr="00F412FC">
              <w:rPr>
                <w:rFonts w:ascii="Book Antiqua" w:hAnsi="Book Antiqua" w:cs="Book Antiqua"/>
                <w:bCs/>
                <w:sz w:val="24"/>
                <w:szCs w:val="24"/>
              </w:rPr>
              <w:t>1031</w:t>
            </w:r>
            <w:r w:rsidRPr="00F412FC">
              <w:rPr>
                <w:rFonts w:ascii="Book Antiqua" w:hAnsi="Book Antiqua" w:cs="Book Antiqua"/>
                <w:bCs/>
                <w:sz w:val="24"/>
                <w:szCs w:val="24"/>
              </w:rPr>
              <w:t>- PLA-EV-202</w:t>
            </w:r>
            <w:r w:rsidR="00C554D1" w:rsidRPr="00F412FC">
              <w:rPr>
                <w:rFonts w:ascii="Book Antiqua" w:hAnsi="Book Antiqua" w:cs="Book Antiqua"/>
                <w:bCs/>
                <w:sz w:val="24"/>
                <w:szCs w:val="24"/>
              </w:rPr>
              <w:t>3</w:t>
            </w:r>
            <w:r w:rsidRPr="00F412FC">
              <w:rPr>
                <w:rFonts w:ascii="Book Antiqua" w:hAnsi="Book Antiqua" w:cs="Book Antiqua"/>
                <w:bCs/>
                <w:sz w:val="24"/>
                <w:szCs w:val="24"/>
              </w:rPr>
              <w:t xml:space="preserve"> (con corrección del error material)</w:t>
            </w:r>
          </w:p>
        </w:tc>
        <w:tc>
          <w:tcPr>
            <w:tcW w:w="2420" w:type="dxa"/>
            <w:shd w:val="clear" w:color="auto" w:fill="auto"/>
            <w:noWrap/>
            <w:vAlign w:val="center"/>
          </w:tcPr>
          <w:p w14:paraId="5B25DD97" w14:textId="77777777" w:rsidR="00573598" w:rsidRPr="00F412FC" w:rsidRDefault="00C554D1" w:rsidP="00B07EED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es-ES" w:eastAsia="es-ES"/>
              </w:rPr>
            </w:pPr>
            <w:r w:rsidRPr="00F412FC">
              <w:rPr>
                <w:rFonts w:ascii="Book Antiqua" w:eastAsia="Times New Roman" w:hAnsi="Book Antiqua" w:cs="Times New Roman"/>
                <w:sz w:val="24"/>
                <w:szCs w:val="24"/>
                <w:lang w:val="es-ES" w:eastAsia="es-ES"/>
              </w:rPr>
              <w:t>Anexo 3</w:t>
            </w:r>
          </w:p>
          <w:bookmarkStart w:id="3" w:name="_MON_1757235296"/>
          <w:bookmarkEnd w:id="3"/>
          <w:p w14:paraId="148911BF" w14:textId="33EF5BE4" w:rsidR="00C554D1" w:rsidRPr="00F412FC" w:rsidRDefault="006031C3" w:rsidP="00B07EED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val="es-ES" w:eastAsia="es-ES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val="es-ES" w:eastAsia="es-ES"/>
              </w:rPr>
              <w:object w:dxaOrig="1537" w:dyaOrig="997" w14:anchorId="00A5176B">
                <v:shape id="_x0000_i1027" type="#_x0000_t75" style="width:77pt;height:50.1pt" o:ole="">
                  <v:imagedata r:id="rId13" o:title=""/>
                </v:shape>
                <o:OLEObject Type="Embed" ProgID="Word.Document.12" ShapeID="_x0000_i1027" DrawAspect="Icon" ObjectID="_1757242013" r:id="rId14">
                  <o:FieldCodes>\s</o:FieldCodes>
                </o:OLEObject>
              </w:object>
            </w:r>
          </w:p>
        </w:tc>
      </w:tr>
    </w:tbl>
    <w:p w14:paraId="43282086" w14:textId="77777777" w:rsidR="007C28E1" w:rsidRPr="00F412FC" w:rsidRDefault="007C28E1" w:rsidP="00E50B3A">
      <w:pPr>
        <w:widowControl w:val="0"/>
        <w:spacing w:line="240" w:lineRule="auto"/>
        <w:rPr>
          <w:rFonts w:ascii="Book Antiqua" w:hAnsi="Book Antiqua" w:cs="Book Antiqua"/>
          <w:b/>
          <w:bCs/>
          <w:sz w:val="24"/>
          <w:szCs w:val="24"/>
        </w:rPr>
      </w:pPr>
    </w:p>
    <w:p w14:paraId="4EA70C9C" w14:textId="77777777" w:rsidR="0038572A" w:rsidRPr="00F412FC" w:rsidRDefault="0038572A" w:rsidP="00E50B3A">
      <w:pPr>
        <w:widowControl w:val="0"/>
        <w:spacing w:line="240" w:lineRule="auto"/>
        <w:rPr>
          <w:rFonts w:ascii="Book Antiqua" w:hAnsi="Book Antiqua" w:cs="Book Antiqua"/>
          <w:b/>
          <w:bCs/>
          <w:sz w:val="24"/>
          <w:szCs w:val="24"/>
        </w:rPr>
      </w:pPr>
    </w:p>
    <w:p w14:paraId="30C38F71" w14:textId="77777777" w:rsidR="00E50B3A" w:rsidRPr="00F412FC" w:rsidRDefault="00E50B3A" w:rsidP="00E50B3A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lastRenderedPageBreak/>
        <w:t>Atentamente,</w:t>
      </w:r>
    </w:p>
    <w:p w14:paraId="22D20DEC" w14:textId="77777777" w:rsidR="00183067" w:rsidRPr="00F412FC" w:rsidRDefault="00183067" w:rsidP="00F412FC">
      <w:pPr>
        <w:widowControl w:val="0"/>
        <w:spacing w:after="0"/>
        <w:rPr>
          <w:rFonts w:ascii="Book Antiqua" w:hAnsi="Book Antiqua" w:cs="Book Antiqua"/>
          <w:snapToGrid w:val="0"/>
          <w:sz w:val="24"/>
          <w:szCs w:val="24"/>
        </w:rPr>
      </w:pPr>
    </w:p>
    <w:p w14:paraId="2472D8D3" w14:textId="77777777" w:rsidR="00183067" w:rsidRPr="00F412FC" w:rsidRDefault="00183067" w:rsidP="00F412FC">
      <w:pPr>
        <w:widowControl w:val="0"/>
        <w:spacing w:after="0"/>
        <w:rPr>
          <w:rFonts w:ascii="Book Antiqua" w:eastAsia="Calibri" w:hAnsi="Book Antiqua" w:cs="Book Antiqua"/>
          <w:snapToGrid w:val="0"/>
          <w:sz w:val="24"/>
          <w:szCs w:val="24"/>
          <w:lang w:val="es-ES"/>
        </w:rPr>
      </w:pPr>
      <w:r w:rsidRPr="00F412FC">
        <w:rPr>
          <w:rFonts w:ascii="Book Antiqua" w:eastAsia="Calibri" w:hAnsi="Book Antiqua" w:cs="Book Antiqua"/>
          <w:snapToGrid w:val="0"/>
          <w:sz w:val="24"/>
          <w:szCs w:val="24"/>
          <w:lang w:val="es-ES"/>
        </w:rPr>
        <w:t xml:space="preserve">Máster Erick Antonio Mora Leiva, </w:t>
      </w:r>
    </w:p>
    <w:p w14:paraId="78F6EC2A" w14:textId="33CEED50" w:rsidR="00183067" w:rsidRPr="00F412FC" w:rsidRDefault="00183067" w:rsidP="00F412FC">
      <w:pPr>
        <w:widowControl w:val="0"/>
        <w:spacing w:after="0"/>
        <w:rPr>
          <w:rFonts w:ascii="Book Antiqua" w:eastAsia="Calibri" w:hAnsi="Book Antiqua" w:cs="Book Antiqua"/>
          <w:snapToGrid w:val="0"/>
          <w:sz w:val="24"/>
          <w:szCs w:val="24"/>
          <w:lang w:val="es-ES"/>
        </w:rPr>
      </w:pPr>
      <w:r w:rsidRPr="00F412FC">
        <w:rPr>
          <w:rFonts w:ascii="Book Antiqua" w:eastAsia="Calibri" w:hAnsi="Book Antiqua" w:cs="Book Antiqua"/>
          <w:snapToGrid w:val="0"/>
          <w:sz w:val="24"/>
          <w:szCs w:val="24"/>
          <w:lang w:val="es-ES"/>
        </w:rPr>
        <w:t>Jefe Proceso Planeación y Evaluación</w:t>
      </w:r>
    </w:p>
    <w:p w14:paraId="32264EFA" w14:textId="2074D8FE" w:rsidR="006514B7" w:rsidRDefault="006514B7" w:rsidP="006514B7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</w:p>
    <w:p w14:paraId="3DB54D0F" w14:textId="77777777" w:rsidR="00F412FC" w:rsidRPr="00F412FC" w:rsidRDefault="00F412FC" w:rsidP="006514B7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</w:p>
    <w:p w14:paraId="02B0AD42" w14:textId="77777777" w:rsidR="006514B7" w:rsidRPr="00F412FC" w:rsidRDefault="006514B7" w:rsidP="00F412FC">
      <w:pPr>
        <w:widowControl w:val="0"/>
        <w:spacing w:after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Ing. Elena Gabriela Picado Gonzalez, </w:t>
      </w:r>
      <w:proofErr w:type="gramStart"/>
      <w:r w:rsidRPr="00F412FC">
        <w:rPr>
          <w:rFonts w:ascii="Book Antiqua" w:hAnsi="Book Antiqua" w:cs="Book Antiqua"/>
          <w:snapToGrid w:val="0"/>
          <w:sz w:val="24"/>
          <w:szCs w:val="24"/>
        </w:rPr>
        <w:t>Jefa</w:t>
      </w:r>
      <w:proofErr w:type="gramEnd"/>
      <w:r w:rsidRPr="00F412FC">
        <w:rPr>
          <w:rFonts w:ascii="Book Antiqua" w:hAnsi="Book Antiqua" w:cs="Book Antiqua"/>
          <w:snapToGrid w:val="0"/>
          <w:sz w:val="24"/>
          <w:szCs w:val="24"/>
        </w:rPr>
        <w:t xml:space="preserve"> a.i.</w:t>
      </w:r>
    </w:p>
    <w:p w14:paraId="06EB1CF6" w14:textId="492D5E6E" w:rsidR="006514B7" w:rsidRPr="00F412FC" w:rsidRDefault="006514B7" w:rsidP="00F412FC">
      <w:pPr>
        <w:widowControl w:val="0"/>
        <w:spacing w:after="0"/>
        <w:rPr>
          <w:rFonts w:ascii="Book Antiqua" w:hAnsi="Book Antiqua" w:cs="Book Antiqua"/>
          <w:snapToGrid w:val="0"/>
          <w:sz w:val="24"/>
          <w:szCs w:val="24"/>
        </w:rPr>
      </w:pPr>
      <w:r w:rsidRPr="00F412FC">
        <w:rPr>
          <w:rFonts w:ascii="Book Antiqua" w:hAnsi="Book Antiqua" w:cs="Book Antiqua"/>
          <w:snapToGrid w:val="0"/>
          <w:sz w:val="24"/>
          <w:szCs w:val="24"/>
        </w:rPr>
        <w:t>Subproceso de Evaluación</w:t>
      </w:r>
      <w:r w:rsidR="00564EDB" w:rsidRPr="00F412FC">
        <w:rPr>
          <w:rFonts w:ascii="Book Antiqua" w:hAnsi="Book Antiqua" w:cs="Book Antiqua"/>
          <w:snapToGrid w:val="0"/>
          <w:sz w:val="24"/>
          <w:szCs w:val="24"/>
        </w:rPr>
        <w:t>.</w:t>
      </w:r>
    </w:p>
    <w:p w14:paraId="25D41B0A" w14:textId="77777777" w:rsidR="00FD42AF" w:rsidRPr="00F412FC" w:rsidRDefault="00FD42AF" w:rsidP="00F412FC">
      <w:pPr>
        <w:spacing w:after="0"/>
        <w:rPr>
          <w:rFonts w:ascii="Book Antiqua" w:hAnsi="Book Antiqua"/>
          <w:sz w:val="24"/>
          <w:szCs w:val="24"/>
        </w:rPr>
      </w:pPr>
    </w:p>
    <w:p w14:paraId="7AAB3F31" w14:textId="30947201" w:rsidR="0076670F" w:rsidRPr="00F412FC" w:rsidRDefault="006514B7" w:rsidP="00464C16">
      <w:pPr>
        <w:rPr>
          <w:rFonts w:ascii="Book Antiqua" w:hAnsi="Book Antiqua"/>
          <w:sz w:val="24"/>
          <w:szCs w:val="24"/>
        </w:rPr>
      </w:pPr>
      <w:r w:rsidRPr="00F412FC">
        <w:rPr>
          <w:rFonts w:ascii="Book Antiqua" w:hAnsi="Book Antiqua"/>
          <w:sz w:val="24"/>
          <w:szCs w:val="24"/>
        </w:rPr>
        <w:t>Copias:</w:t>
      </w:r>
    </w:p>
    <w:p w14:paraId="516E61AF" w14:textId="2E96208B" w:rsidR="00564EDB" w:rsidRPr="00F412FC" w:rsidRDefault="00A8660B" w:rsidP="0030400E">
      <w:pPr>
        <w:pStyle w:val="Prrafodelista"/>
        <w:numPr>
          <w:ilvl w:val="0"/>
          <w:numId w:val="9"/>
        </w:numPr>
        <w:suppressAutoHyphens/>
        <w:rPr>
          <w:rFonts w:ascii="Book Antiqua" w:hAnsi="Book Antiqua" w:cs="Book Antiqua"/>
          <w:sz w:val="24"/>
          <w:szCs w:val="24"/>
        </w:rPr>
      </w:pPr>
      <w:r w:rsidRPr="00F412FC">
        <w:rPr>
          <w:rFonts w:ascii="Book Antiqua" w:hAnsi="Book Antiqua" w:cs="Book Antiqua"/>
          <w:sz w:val="24"/>
          <w:szCs w:val="24"/>
        </w:rPr>
        <w:t>Sala Segunda</w:t>
      </w:r>
    </w:p>
    <w:p w14:paraId="0994A153" w14:textId="2E93B4E2" w:rsidR="00E65D9F" w:rsidRPr="00F412FC" w:rsidRDefault="00A8660B" w:rsidP="00E65D9F">
      <w:pPr>
        <w:pStyle w:val="Prrafodelista"/>
        <w:numPr>
          <w:ilvl w:val="0"/>
          <w:numId w:val="9"/>
        </w:numPr>
        <w:suppressAutoHyphens/>
        <w:rPr>
          <w:rFonts w:ascii="Book Antiqua" w:hAnsi="Book Antiqua" w:cs="Book Antiqua"/>
          <w:sz w:val="24"/>
          <w:szCs w:val="24"/>
        </w:rPr>
      </w:pPr>
      <w:r w:rsidRPr="00F412FC">
        <w:rPr>
          <w:rFonts w:ascii="Book Antiqua" w:hAnsi="Book Antiqua" w:cs="Book Antiqua"/>
          <w:sz w:val="24"/>
          <w:szCs w:val="24"/>
        </w:rPr>
        <w:t>Kenneth Muñoz Rojas</w:t>
      </w:r>
      <w:r w:rsidR="00FD42AF" w:rsidRPr="00F412FC">
        <w:rPr>
          <w:rFonts w:ascii="Book Antiqua" w:hAnsi="Book Antiqua" w:cs="Book Antiqua"/>
          <w:sz w:val="24"/>
          <w:szCs w:val="24"/>
        </w:rPr>
        <w:t xml:space="preserve">, </w:t>
      </w:r>
      <w:proofErr w:type="gramStart"/>
      <w:r w:rsidR="00FD42AF" w:rsidRPr="00F412FC">
        <w:rPr>
          <w:rFonts w:ascii="Book Antiqua" w:hAnsi="Book Antiqua" w:cs="Book Antiqua"/>
          <w:sz w:val="24"/>
          <w:szCs w:val="24"/>
        </w:rPr>
        <w:t>Secretario</w:t>
      </w:r>
      <w:proofErr w:type="gramEnd"/>
      <w:r w:rsidR="00FD42AF" w:rsidRPr="00F412FC">
        <w:rPr>
          <w:rFonts w:ascii="Book Antiqua" w:hAnsi="Book Antiqua" w:cs="Book Antiqua"/>
          <w:sz w:val="24"/>
          <w:szCs w:val="24"/>
        </w:rPr>
        <w:t xml:space="preserve"> de la Sala Segunda</w:t>
      </w:r>
    </w:p>
    <w:p w14:paraId="261475EB" w14:textId="483C8BE3" w:rsidR="0030400E" w:rsidRPr="00F412FC" w:rsidRDefault="007E30F6" w:rsidP="007E30F6">
      <w:pPr>
        <w:pStyle w:val="Prrafodelista"/>
        <w:numPr>
          <w:ilvl w:val="0"/>
          <w:numId w:val="9"/>
        </w:numPr>
        <w:suppressAutoHyphens/>
        <w:rPr>
          <w:rFonts w:ascii="Book Antiqua" w:hAnsi="Book Antiqua" w:cs="Book Antiqua"/>
          <w:sz w:val="24"/>
          <w:szCs w:val="24"/>
        </w:rPr>
      </w:pPr>
      <w:r w:rsidRPr="00F412FC">
        <w:rPr>
          <w:rFonts w:ascii="Book Antiqua" w:hAnsi="Book Antiqua" w:cs="Book Antiqua"/>
          <w:sz w:val="24"/>
          <w:szCs w:val="24"/>
        </w:rPr>
        <w:t>Archivo</w:t>
      </w:r>
    </w:p>
    <w:p w14:paraId="0FDDD195" w14:textId="607E7335" w:rsidR="00275139" w:rsidRDefault="00F412FC" w:rsidP="00275139">
      <w:pPr>
        <w:suppressAutoHyphens/>
        <w:contextualSpacing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hca</w:t>
      </w:r>
    </w:p>
    <w:p w14:paraId="57302D77" w14:textId="77777777" w:rsidR="00F412FC" w:rsidRDefault="00F412FC" w:rsidP="00AD2B5A">
      <w:pPr>
        <w:suppressAutoHyphens/>
        <w:spacing w:line="240" w:lineRule="auto"/>
        <w:rPr>
          <w:rFonts w:ascii="Book Antiqua" w:hAnsi="Book Antiqua" w:cs="Book Antiqua"/>
          <w:sz w:val="24"/>
          <w:szCs w:val="24"/>
        </w:rPr>
      </w:pPr>
    </w:p>
    <w:p w14:paraId="6F48BC3C" w14:textId="78EA7FA7" w:rsidR="00AD2B5A" w:rsidRPr="00F412FC" w:rsidRDefault="00AD2B5A" w:rsidP="00F412FC">
      <w:pPr>
        <w:suppressAutoHyphens/>
        <w:spacing w:line="240" w:lineRule="auto"/>
        <w:ind w:left="-284"/>
        <w:rPr>
          <w:rFonts w:ascii="Book Antiqua" w:eastAsia="Times New Roman" w:hAnsi="Book Antiqua" w:cs="Book Antiqua"/>
          <w:i/>
          <w:iCs/>
          <w:sz w:val="24"/>
          <w:szCs w:val="24"/>
          <w:lang w:val="es-ES" w:eastAsia="ar-SA"/>
        </w:rPr>
      </w:pPr>
      <w:r w:rsidRPr="00F412FC">
        <w:rPr>
          <w:rFonts w:ascii="Book Antiqua" w:eastAsia="Times New Roman" w:hAnsi="Book Antiqua" w:cs="Book Antiqua"/>
          <w:i/>
          <w:iCs/>
          <w:sz w:val="24"/>
          <w:szCs w:val="24"/>
          <w:lang w:val="es-ES" w:eastAsia="ar-SA"/>
        </w:rPr>
        <w:t>Este informe cuenta con las revisiones y ajustes correspondientes de las jefaturas indicadas.</w:t>
      </w:r>
    </w:p>
    <w:p w14:paraId="6C3015AF" w14:textId="1733A399" w:rsidR="00275139" w:rsidRDefault="00275139" w:rsidP="00275139">
      <w:pPr>
        <w:suppressAutoHyphens/>
        <w:contextualSpacing/>
        <w:rPr>
          <w:rFonts w:ascii="Book Antiqua" w:hAnsi="Book Antiqua" w:cs="Book Antiqua"/>
          <w:sz w:val="24"/>
          <w:szCs w:val="24"/>
        </w:rPr>
      </w:pPr>
    </w:p>
    <w:tbl>
      <w:tblPr>
        <w:tblW w:w="631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9"/>
        <w:gridCol w:w="4438"/>
        <w:gridCol w:w="4253"/>
      </w:tblGrid>
      <w:tr w:rsidR="00F412FC" w:rsidRPr="006031C3" w14:paraId="152076E6" w14:textId="77777777" w:rsidTr="00F412FC">
        <w:trPr>
          <w:trHeight w:val="300"/>
          <w:jc w:val="center"/>
        </w:trPr>
        <w:tc>
          <w:tcPr>
            <w:tcW w:w="1017" w:type="pct"/>
            <w:shd w:val="clear" w:color="auto" w:fill="2F5496" w:themeFill="accent1" w:themeFillShade="BF"/>
            <w:vAlign w:val="center"/>
          </w:tcPr>
          <w:p w14:paraId="34DF8816" w14:textId="77777777" w:rsidR="00F412FC" w:rsidRPr="006031C3" w:rsidRDefault="00F412FC" w:rsidP="00A31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lang w:val="es-ES" w:eastAsia="es-CR"/>
              </w:rPr>
            </w:pPr>
            <w:r w:rsidRPr="006031C3">
              <w:rPr>
                <w:rFonts w:ascii="Book Antiqua" w:eastAsia="Times New Roman" w:hAnsi="Book Antiqua" w:cs="Arial"/>
                <w:b/>
                <w:color w:val="FFFFFF" w:themeColor="background1"/>
                <w:lang w:val="es-ES" w:eastAsia="es-CR"/>
              </w:rPr>
              <w:t>INFORME</w:t>
            </w:r>
          </w:p>
        </w:tc>
        <w:tc>
          <w:tcPr>
            <w:tcW w:w="2034" w:type="pct"/>
            <w:shd w:val="clear" w:color="auto" w:fill="2F5496" w:themeFill="accent1" w:themeFillShade="BF"/>
            <w:vAlign w:val="center"/>
          </w:tcPr>
          <w:p w14:paraId="7E7492C6" w14:textId="77777777" w:rsidR="00F412FC" w:rsidRPr="006031C3" w:rsidRDefault="00F412FC" w:rsidP="00A31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lang w:val="es-ES" w:eastAsia="es-ES"/>
              </w:rPr>
            </w:pPr>
            <w:r w:rsidRPr="006031C3">
              <w:rPr>
                <w:rFonts w:ascii="Book Antiqua" w:eastAsia="Times New Roman" w:hAnsi="Book Antiqua" w:cs="Arial"/>
                <w:b/>
                <w:color w:val="FFFFFF" w:themeColor="background1"/>
                <w:lang w:val="es-ES" w:eastAsia="es-ES"/>
              </w:rPr>
              <w:t>NOMBRE</w:t>
            </w:r>
          </w:p>
        </w:tc>
        <w:tc>
          <w:tcPr>
            <w:tcW w:w="1949" w:type="pct"/>
            <w:shd w:val="clear" w:color="auto" w:fill="2F5496" w:themeFill="accent1" w:themeFillShade="BF"/>
            <w:vAlign w:val="center"/>
          </w:tcPr>
          <w:p w14:paraId="592FAD84" w14:textId="77777777" w:rsidR="00F412FC" w:rsidRPr="006031C3" w:rsidRDefault="00F412FC" w:rsidP="00A31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FFFFFF" w:themeColor="background1"/>
                <w:lang w:val="es-ES" w:eastAsia="es-ES"/>
              </w:rPr>
            </w:pPr>
            <w:r w:rsidRPr="006031C3">
              <w:rPr>
                <w:rFonts w:ascii="Book Antiqua" w:eastAsia="Times New Roman" w:hAnsi="Book Antiqua" w:cs="Arial"/>
                <w:b/>
                <w:color w:val="FFFFFF" w:themeColor="background1"/>
                <w:lang w:val="es-ES" w:eastAsia="es-ES"/>
              </w:rPr>
              <w:t>PUESTO</w:t>
            </w:r>
          </w:p>
        </w:tc>
      </w:tr>
      <w:tr w:rsidR="00F412FC" w:rsidRPr="006031C3" w14:paraId="5F747C3D" w14:textId="77777777" w:rsidTr="00F412FC">
        <w:trPr>
          <w:trHeight w:val="632"/>
          <w:jc w:val="center"/>
        </w:trPr>
        <w:tc>
          <w:tcPr>
            <w:tcW w:w="1017" w:type="pct"/>
            <w:shd w:val="clear" w:color="auto" w:fill="F2F2F2"/>
            <w:vAlign w:val="center"/>
          </w:tcPr>
          <w:p w14:paraId="197E1625" w14:textId="77777777" w:rsidR="00F412FC" w:rsidRPr="006031C3" w:rsidRDefault="00F412FC" w:rsidP="00A31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lang w:val="es-ES" w:eastAsia="es-CR"/>
              </w:rPr>
            </w:pPr>
            <w:r w:rsidRPr="006031C3">
              <w:rPr>
                <w:rFonts w:ascii="Book Antiqua" w:eastAsia="Times New Roman" w:hAnsi="Book Antiqua" w:cs="Arial"/>
                <w:b/>
                <w:color w:val="000000"/>
                <w:lang w:val="es-ES" w:eastAsia="es-CR"/>
              </w:rPr>
              <w:t>Elaborado por:</w:t>
            </w:r>
          </w:p>
        </w:tc>
        <w:tc>
          <w:tcPr>
            <w:tcW w:w="2034" w:type="pct"/>
            <w:vAlign w:val="center"/>
          </w:tcPr>
          <w:p w14:paraId="152452F3" w14:textId="09B014CF" w:rsidR="00F412FC" w:rsidRPr="006031C3" w:rsidRDefault="00F412FC" w:rsidP="00A31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Arial"/>
                <w:lang w:val="es-ES" w:eastAsia="es-ES"/>
              </w:rPr>
            </w:pPr>
            <w:r w:rsidRPr="006031C3">
              <w:rPr>
                <w:rFonts w:ascii="Book Antiqua" w:eastAsia="Calibri" w:hAnsi="Book Antiqua" w:cs="Book Antiqua"/>
                <w:snapToGrid w:val="0"/>
                <w:lang w:val="es-ES"/>
              </w:rPr>
              <w:t>Lic. Andrey Rojas Monge</w:t>
            </w:r>
            <w:r w:rsidRPr="006031C3">
              <w:rPr>
                <w:rFonts w:ascii="Book Antiqua" w:hAnsi="Book Antiqua"/>
              </w:rPr>
              <w:t xml:space="preserve">, </w:t>
            </w:r>
          </w:p>
        </w:tc>
        <w:tc>
          <w:tcPr>
            <w:tcW w:w="1949" w:type="pct"/>
            <w:vAlign w:val="center"/>
          </w:tcPr>
          <w:p w14:paraId="2D8EEF06" w14:textId="77777777" w:rsidR="00F412FC" w:rsidRPr="006031C3" w:rsidRDefault="00F412FC" w:rsidP="00A31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Arial"/>
                <w:lang w:val="es-ES" w:eastAsia="es-ES"/>
              </w:rPr>
            </w:pPr>
            <w:r w:rsidRPr="006031C3">
              <w:rPr>
                <w:rFonts w:ascii="Book Antiqua" w:eastAsia="Times New Roman" w:hAnsi="Book Antiqua" w:cs="Arial"/>
                <w:lang w:val="es-ES" w:eastAsia="es-ES"/>
              </w:rPr>
              <w:t>Profesional 2</w:t>
            </w:r>
          </w:p>
        </w:tc>
      </w:tr>
      <w:tr w:rsidR="00F412FC" w:rsidRPr="006031C3" w14:paraId="786063CF" w14:textId="77777777" w:rsidTr="00F412FC">
        <w:trPr>
          <w:trHeight w:val="632"/>
          <w:jc w:val="center"/>
        </w:trPr>
        <w:tc>
          <w:tcPr>
            <w:tcW w:w="1017" w:type="pct"/>
            <w:shd w:val="clear" w:color="auto" w:fill="F2F2F2"/>
            <w:vAlign w:val="center"/>
          </w:tcPr>
          <w:p w14:paraId="11364914" w14:textId="77777777" w:rsidR="00F412FC" w:rsidRPr="006031C3" w:rsidRDefault="00F412FC" w:rsidP="00A31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lang w:val="es-ES" w:eastAsia="es-CR"/>
              </w:rPr>
            </w:pPr>
            <w:r w:rsidRPr="006031C3">
              <w:rPr>
                <w:rFonts w:ascii="Book Antiqua" w:eastAsia="Times New Roman" w:hAnsi="Book Antiqua" w:cs="Arial"/>
                <w:b/>
                <w:color w:val="000000"/>
                <w:lang w:val="es-ES" w:eastAsia="es-CR"/>
              </w:rPr>
              <w:t>Aprobado por:</w:t>
            </w:r>
          </w:p>
        </w:tc>
        <w:tc>
          <w:tcPr>
            <w:tcW w:w="2034" w:type="pct"/>
            <w:vAlign w:val="center"/>
          </w:tcPr>
          <w:p w14:paraId="6A9E44ED" w14:textId="50342E3D" w:rsidR="00F412FC" w:rsidRPr="006031C3" w:rsidRDefault="00F412FC" w:rsidP="00A31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Arial"/>
                <w:color w:val="000000"/>
                <w:lang w:val="es-ES" w:eastAsia="es-CR"/>
              </w:rPr>
            </w:pPr>
            <w:r w:rsidRPr="006031C3">
              <w:rPr>
                <w:rFonts w:ascii="Book Antiqua" w:eastAsia="Calibri" w:hAnsi="Book Antiqua" w:cs="Book Antiqua"/>
                <w:snapToGrid w:val="0"/>
                <w:lang w:val="es-ES"/>
              </w:rPr>
              <w:t>Inga. Elena Gabriela Picado González</w:t>
            </w:r>
          </w:p>
        </w:tc>
        <w:tc>
          <w:tcPr>
            <w:tcW w:w="1949" w:type="pct"/>
            <w:vAlign w:val="center"/>
          </w:tcPr>
          <w:p w14:paraId="54C72EEF" w14:textId="004CAD90" w:rsidR="00F412FC" w:rsidRPr="006031C3" w:rsidRDefault="00F412FC" w:rsidP="00A31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Arial"/>
                <w:color w:val="000000"/>
                <w:lang w:val="es-ES" w:eastAsia="es-CR"/>
              </w:rPr>
            </w:pPr>
            <w:r w:rsidRPr="006031C3">
              <w:rPr>
                <w:rFonts w:ascii="Book Antiqua" w:eastAsia="Calibri" w:hAnsi="Book Antiqua" w:cs="Book Antiqua"/>
                <w:snapToGrid w:val="0"/>
                <w:lang w:val="es-ES"/>
              </w:rPr>
              <w:t>Jefa a.í. Subproceso de Evaluación</w:t>
            </w:r>
          </w:p>
        </w:tc>
      </w:tr>
      <w:tr w:rsidR="00F412FC" w:rsidRPr="006031C3" w14:paraId="1E8AF4FD" w14:textId="77777777" w:rsidTr="00F412FC">
        <w:trPr>
          <w:trHeight w:val="510"/>
          <w:jc w:val="center"/>
        </w:trPr>
        <w:tc>
          <w:tcPr>
            <w:tcW w:w="1017" w:type="pct"/>
            <w:shd w:val="clear" w:color="auto" w:fill="F2F2F2"/>
            <w:vAlign w:val="center"/>
          </w:tcPr>
          <w:p w14:paraId="24E1E600" w14:textId="77777777" w:rsidR="00F412FC" w:rsidRPr="006031C3" w:rsidRDefault="00F412FC" w:rsidP="00A31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lang w:val="es-ES" w:eastAsia="es-CR"/>
              </w:rPr>
            </w:pPr>
            <w:r w:rsidRPr="006031C3">
              <w:rPr>
                <w:rFonts w:ascii="Book Antiqua" w:eastAsia="Times New Roman" w:hAnsi="Book Antiqua" w:cs="Arial"/>
                <w:b/>
                <w:color w:val="000000"/>
                <w:lang w:val="es-ES" w:eastAsia="es-CR"/>
              </w:rPr>
              <w:t>Visto Bueno:</w:t>
            </w:r>
          </w:p>
        </w:tc>
        <w:tc>
          <w:tcPr>
            <w:tcW w:w="2034" w:type="pct"/>
            <w:vAlign w:val="center"/>
          </w:tcPr>
          <w:p w14:paraId="094153C3" w14:textId="1EBB0D9D" w:rsidR="00F412FC" w:rsidRPr="006031C3" w:rsidRDefault="00F37F60" w:rsidP="00A31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Arial"/>
                <w:lang w:val="es-ES" w:eastAsia="es-CR"/>
              </w:rPr>
            </w:pPr>
            <w:r>
              <w:rPr>
                <w:rFonts w:ascii="Book Antiqua" w:eastAsia="Calibri" w:hAnsi="Book Antiqua" w:cs="Times New Roman"/>
                <w:color w:val="000000"/>
                <w:lang w:eastAsia="es-CR"/>
              </w:rPr>
              <w:t>Máster Erick Mora Leiva</w:t>
            </w:r>
          </w:p>
        </w:tc>
        <w:tc>
          <w:tcPr>
            <w:tcW w:w="1949" w:type="pct"/>
            <w:vAlign w:val="center"/>
          </w:tcPr>
          <w:p w14:paraId="2A371770" w14:textId="4D6DA980" w:rsidR="00F412FC" w:rsidRPr="006031C3" w:rsidRDefault="00F37F60" w:rsidP="00A31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Times New Roman" w:hAnsi="Book Antiqua" w:cs="Arial"/>
                <w:color w:val="000000"/>
                <w:lang w:val="es-ES" w:eastAsia="es-CR"/>
              </w:rPr>
            </w:pPr>
            <w:r>
              <w:rPr>
                <w:rFonts w:ascii="Book Antiqua" w:eastAsia="Calibri" w:hAnsi="Book Antiqua" w:cs="Times New Roman"/>
                <w:color w:val="000000"/>
                <w:lang w:eastAsia="es-CR"/>
              </w:rPr>
              <w:t>Jefe de Proceso Planeación y Evaluación</w:t>
            </w:r>
            <w:r w:rsidR="00F412FC" w:rsidRPr="006031C3">
              <w:rPr>
                <w:rFonts w:ascii="Book Antiqua" w:eastAsia="Times New Roman" w:hAnsi="Book Antiqua" w:cs="Arial"/>
                <w:lang w:val="es-ES" w:eastAsia="es-CR"/>
              </w:rPr>
              <w:t xml:space="preserve"> </w:t>
            </w:r>
          </w:p>
        </w:tc>
      </w:tr>
    </w:tbl>
    <w:p w14:paraId="3317D8A9" w14:textId="77777777" w:rsidR="00F412FC" w:rsidRPr="006031C3" w:rsidRDefault="00F412FC" w:rsidP="00275139">
      <w:pPr>
        <w:suppressAutoHyphens/>
        <w:contextualSpacing/>
        <w:rPr>
          <w:rFonts w:ascii="Book Antiqua" w:hAnsi="Book Antiqua" w:cs="Book Antiqua"/>
        </w:rPr>
      </w:pPr>
    </w:p>
    <w:sectPr w:rsidR="00F412FC" w:rsidRPr="006031C3" w:rsidSect="00CF6960">
      <w:headerReference w:type="default" r:id="rId15"/>
      <w:footerReference w:type="default" r:id="rId16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4B08B" w14:textId="77777777" w:rsidR="00375460" w:rsidRDefault="00375460" w:rsidP="002E79F7">
      <w:pPr>
        <w:spacing w:after="0" w:line="240" w:lineRule="auto"/>
      </w:pPr>
      <w:r>
        <w:separator/>
      </w:r>
    </w:p>
  </w:endnote>
  <w:endnote w:type="continuationSeparator" w:id="0">
    <w:p w14:paraId="37F3D676" w14:textId="77777777" w:rsidR="00375460" w:rsidRDefault="00375460" w:rsidP="002E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2144111"/>
      <w:docPartObj>
        <w:docPartGallery w:val="Page Numbers (Bottom of Page)"/>
        <w:docPartUnique/>
      </w:docPartObj>
    </w:sdtPr>
    <w:sdtContent>
      <w:p w14:paraId="247DB174" w14:textId="77777777" w:rsidR="006B7CBA" w:rsidRDefault="006B7CB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  <w:p w14:paraId="7E58E54E" w14:textId="0398BD64" w:rsidR="006B7CBA" w:rsidRPr="006B7CBA" w:rsidRDefault="006B7CBA" w:rsidP="006B7CBA">
        <w:pPr>
          <w:pBdr>
            <w:top w:val="single" w:sz="4" w:space="1" w:color="auto"/>
          </w:pBdr>
          <w:ind w:right="360"/>
          <w:jc w:val="center"/>
          <w:rPr>
            <w:rFonts w:ascii="Book Antiqua" w:hAnsi="Book Antiqua"/>
            <w:b/>
            <w:bCs/>
            <w:color w:val="000000"/>
            <w:sz w:val="24"/>
            <w:szCs w:val="24"/>
          </w:rPr>
        </w:pPr>
        <w:r w:rsidRPr="0036463A">
          <w:rPr>
            <w:rFonts w:ascii="Book Antiqua" w:hAnsi="Book Antiqua"/>
            <w:b/>
            <w:bCs/>
            <w:color w:val="000000"/>
            <w:sz w:val="24"/>
            <w:szCs w:val="24"/>
          </w:rPr>
          <w:t>Trabajamos por el desarrollo de la administración de justicia                               con proyección e innovación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1E3E8" w14:textId="77777777" w:rsidR="00375460" w:rsidRDefault="00375460" w:rsidP="002E79F7">
      <w:pPr>
        <w:spacing w:after="0" w:line="240" w:lineRule="auto"/>
      </w:pPr>
      <w:r>
        <w:separator/>
      </w:r>
    </w:p>
  </w:footnote>
  <w:footnote w:type="continuationSeparator" w:id="0">
    <w:p w14:paraId="5D027309" w14:textId="77777777" w:rsidR="00375460" w:rsidRDefault="00375460" w:rsidP="002E7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0277" w14:textId="77777777" w:rsidR="006B7CBA" w:rsidRPr="006B7CBA" w:rsidRDefault="006B7CBA" w:rsidP="006B7CBA">
    <w:pPr>
      <w:tabs>
        <w:tab w:val="center" w:pos="8804"/>
        <w:tab w:val="right" w:pos="8875"/>
      </w:tabs>
      <w:spacing w:after="0" w:line="240" w:lineRule="auto"/>
      <w:jc w:val="center"/>
      <w:rPr>
        <w:rFonts w:ascii="Book Antiqua" w:eastAsia="Times New Roman" w:hAnsi="Book Antiqua" w:cs="Book Antiqua"/>
        <w:i/>
        <w:iCs/>
        <w:sz w:val="18"/>
        <w:szCs w:val="18"/>
        <w:lang w:val="es-CR" w:eastAsia="es-ES"/>
      </w:rPr>
    </w:pPr>
    <w:r w:rsidRPr="006B7CBA">
      <w:rPr>
        <w:rFonts w:ascii="Book Antiqua" w:eastAsia="Times New Roman" w:hAnsi="Book Antiqua" w:cs="Book Antiqua"/>
        <w:i/>
        <w:iCs/>
        <w:sz w:val="18"/>
        <w:szCs w:val="18"/>
        <w:lang w:val="es-CR" w:eastAsia="es-ES"/>
      </w:rPr>
      <w:t xml:space="preserve">Poder Judicial - </w:t>
    </w:r>
    <w:proofErr w:type="gramStart"/>
    <w:r w:rsidRPr="006B7CBA">
      <w:rPr>
        <w:rFonts w:ascii="Book Antiqua" w:eastAsia="Times New Roman" w:hAnsi="Book Antiqua" w:cs="Book Antiqua"/>
        <w:i/>
        <w:iCs/>
        <w:sz w:val="18"/>
        <w:szCs w:val="18"/>
        <w:lang w:val="es-CR" w:eastAsia="es-ES"/>
      </w:rPr>
      <w:t>Dirección  de</w:t>
    </w:r>
    <w:proofErr w:type="gramEnd"/>
    <w:r w:rsidRPr="006B7CBA">
      <w:rPr>
        <w:rFonts w:ascii="Book Antiqua" w:eastAsia="Times New Roman" w:hAnsi="Book Antiqua" w:cs="Book Antiqua"/>
        <w:i/>
        <w:iCs/>
        <w:sz w:val="18"/>
        <w:szCs w:val="18"/>
        <w:lang w:val="es-CR" w:eastAsia="es-ES"/>
      </w:rPr>
      <w:t xml:space="preserve"> Planificación</w:t>
    </w:r>
    <w:r w:rsidRPr="006B7CBA">
      <w:rPr>
        <w:rFonts w:ascii="Times New Roman" w:eastAsia="Times New Roman" w:hAnsi="Times New Roman" w:cs="Times New Roman"/>
        <w:sz w:val="24"/>
        <w:szCs w:val="24"/>
        <w:lang w:val="es-CR" w:eastAsia="es-ES"/>
      </w:rPr>
      <w:object w:dxaOrig="1845" w:dyaOrig="2145" w14:anchorId="149520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5.65pt;height:31.95pt" o:ole="">
          <v:imagedata r:id="rId1" o:title=""/>
        </v:shape>
        <o:OLEObject Type="Embed" ProgID="PBrush" ShapeID="_x0000_i1028" DrawAspect="Content" ObjectID="_1757242014" r:id="rId2"/>
      </w:object>
    </w:r>
  </w:p>
  <w:p w14:paraId="32805178" w14:textId="77777777" w:rsidR="006B7CBA" w:rsidRPr="006B7CBA" w:rsidRDefault="006B7CBA" w:rsidP="006B7CBA">
    <w:pPr>
      <w:tabs>
        <w:tab w:val="center" w:pos="4252"/>
        <w:tab w:val="right" w:pos="8875"/>
      </w:tabs>
      <w:spacing w:after="0" w:line="240" w:lineRule="auto"/>
      <w:jc w:val="center"/>
      <w:rPr>
        <w:rFonts w:ascii="Book Antiqua" w:eastAsia="Times New Roman" w:hAnsi="Book Antiqua" w:cs="Book Antiqua"/>
        <w:i/>
        <w:iCs/>
        <w:sz w:val="18"/>
        <w:szCs w:val="18"/>
        <w:lang w:val="es-CR" w:eastAsia="es-ES"/>
      </w:rPr>
    </w:pPr>
    <w:r w:rsidRPr="006B7CBA">
      <w:rPr>
        <w:rFonts w:ascii="Book Antiqua" w:eastAsia="Times New Roman" w:hAnsi="Book Antiqua" w:cs="Book Antiqua"/>
        <w:i/>
        <w:iCs/>
        <w:sz w:val="18"/>
        <w:szCs w:val="18"/>
        <w:lang w:val="es-CR" w:eastAsia="es-ES"/>
      </w:rPr>
      <w:t xml:space="preserve">San José </w:t>
    </w:r>
    <w:proofErr w:type="gramStart"/>
    <w:r w:rsidRPr="006B7CBA">
      <w:rPr>
        <w:rFonts w:ascii="Book Antiqua" w:eastAsia="Times New Roman" w:hAnsi="Book Antiqua" w:cs="Book Antiqua"/>
        <w:i/>
        <w:iCs/>
        <w:sz w:val="18"/>
        <w:szCs w:val="18"/>
        <w:lang w:val="es-CR" w:eastAsia="es-ES"/>
      </w:rPr>
      <w:t>-  Costa</w:t>
    </w:r>
    <w:proofErr w:type="gramEnd"/>
    <w:r w:rsidRPr="006B7CBA">
      <w:rPr>
        <w:rFonts w:ascii="Book Antiqua" w:eastAsia="Times New Roman" w:hAnsi="Book Antiqua" w:cs="Book Antiqua"/>
        <w:i/>
        <w:iCs/>
        <w:sz w:val="18"/>
        <w:szCs w:val="18"/>
        <w:lang w:val="es-CR" w:eastAsia="es-ES"/>
      </w:rPr>
      <w:t xml:space="preserve"> Rica</w:t>
    </w:r>
  </w:p>
  <w:p w14:paraId="7FC231F2" w14:textId="77777777" w:rsidR="006B7CBA" w:rsidRPr="006B7CBA" w:rsidRDefault="006B7CBA" w:rsidP="006B7CB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en-US" w:eastAsia="es-ES"/>
      </w:rPr>
    </w:pPr>
    <w:r w:rsidRPr="006B7CBA">
      <w:rPr>
        <w:rFonts w:ascii="Book Antiqua" w:eastAsia="Times New Roman" w:hAnsi="Book Antiqua" w:cs="Book Antiqua"/>
        <w:i/>
        <w:iCs/>
        <w:sz w:val="18"/>
        <w:szCs w:val="18"/>
        <w:lang w:val="en-US" w:eastAsia="es-ES"/>
      </w:rPr>
      <w:t>Telf.   2295-3600 / 3599 / Apdo.  95-1003 / planificacion@poder-judicial.go.cr</w:t>
    </w:r>
  </w:p>
  <w:p w14:paraId="58030A72" w14:textId="77777777" w:rsidR="006B7CBA" w:rsidRPr="006B7CBA" w:rsidRDefault="006B7CBA" w:rsidP="006B7CBA">
    <w:pPr>
      <w:pBdr>
        <w:bottom w:val="single" w:sz="6" w:space="0" w:color="auto"/>
      </w:pBdr>
      <w:spacing w:after="2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en-US" w:eastAsia="es-ES"/>
      </w:rPr>
    </w:pPr>
  </w:p>
  <w:p w14:paraId="4540BB8F" w14:textId="77777777" w:rsidR="006B7CBA" w:rsidRPr="00912A37" w:rsidRDefault="006B7CBA">
    <w:pPr>
      <w:pStyle w:val="Encabezado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SUBPROGRAMA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0235A"/>
    <w:multiLevelType w:val="multilevel"/>
    <w:tmpl w:val="D7E61D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1E43B82"/>
    <w:multiLevelType w:val="hybridMultilevel"/>
    <w:tmpl w:val="6D0A750E"/>
    <w:lvl w:ilvl="0" w:tplc="8110E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F6284"/>
    <w:multiLevelType w:val="hybridMultilevel"/>
    <w:tmpl w:val="7DC4699C"/>
    <w:lvl w:ilvl="0" w:tplc="4F3C0644">
      <w:start w:val="2"/>
      <w:numFmt w:val="decimal"/>
      <w:lvlText w:val="%1"/>
      <w:lvlJc w:val="left"/>
      <w:pPr>
        <w:ind w:left="720" w:hanging="360"/>
      </w:pPr>
      <w:rPr>
        <w:rFonts w:ascii="Book Antiqua" w:hAnsi="Book Antiqua" w:hint="default"/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76FE2"/>
    <w:multiLevelType w:val="hybridMultilevel"/>
    <w:tmpl w:val="E8C08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C72B5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7673D8"/>
    <w:multiLevelType w:val="hybridMultilevel"/>
    <w:tmpl w:val="3D2641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90849"/>
    <w:multiLevelType w:val="hybridMultilevel"/>
    <w:tmpl w:val="EF02DDE8"/>
    <w:lvl w:ilvl="0" w:tplc="BF68B02A">
      <w:start w:val="2"/>
      <w:numFmt w:val="decimal"/>
      <w:lvlText w:val="%1.2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F3D12"/>
    <w:multiLevelType w:val="hybridMultilevel"/>
    <w:tmpl w:val="89D2D476"/>
    <w:lvl w:ilvl="0" w:tplc="7C5EB938">
      <w:start w:val="2"/>
      <w:numFmt w:val="decimal"/>
      <w:lvlText w:val="%1.2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E234D"/>
    <w:multiLevelType w:val="multilevel"/>
    <w:tmpl w:val="0A862364"/>
    <w:lvl w:ilvl="0">
      <w:start w:val="8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Calibri" w:hint="default"/>
      </w:rPr>
    </w:lvl>
  </w:abstractNum>
  <w:abstractNum w:abstractNumId="10" w15:restartNumberingAfterBreak="0">
    <w:nsid w:val="248077C4"/>
    <w:multiLevelType w:val="hybridMultilevel"/>
    <w:tmpl w:val="609E04C8"/>
    <w:lvl w:ilvl="0" w:tplc="30EAEACC">
      <w:start w:val="2"/>
      <w:numFmt w:val="decimal"/>
      <w:lvlText w:val="%1.3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A40A8"/>
    <w:multiLevelType w:val="hybridMultilevel"/>
    <w:tmpl w:val="5652F3A2"/>
    <w:lvl w:ilvl="0" w:tplc="9AE6055E">
      <w:start w:val="3"/>
      <w:numFmt w:val="decimal"/>
      <w:lvlText w:val="%1.1"/>
      <w:lvlJc w:val="left"/>
      <w:pPr>
        <w:ind w:left="72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8333D"/>
    <w:multiLevelType w:val="multilevel"/>
    <w:tmpl w:val="D7E61D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EF400EA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AC60ED"/>
    <w:multiLevelType w:val="hybridMultilevel"/>
    <w:tmpl w:val="2EDCFEEE"/>
    <w:lvl w:ilvl="0" w:tplc="00507B88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3040E"/>
    <w:multiLevelType w:val="hybridMultilevel"/>
    <w:tmpl w:val="71DECEF4"/>
    <w:lvl w:ilvl="0" w:tplc="5962A000">
      <w:start w:val="2"/>
      <w:numFmt w:val="decimal"/>
      <w:lvlText w:val="%1.6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72814"/>
    <w:multiLevelType w:val="hybridMultilevel"/>
    <w:tmpl w:val="19FE6442"/>
    <w:lvl w:ilvl="0" w:tplc="9408849C">
      <w:start w:val="1"/>
      <w:numFmt w:val="decimal"/>
      <w:lvlText w:val="%1.1"/>
      <w:lvlJc w:val="left"/>
      <w:pPr>
        <w:ind w:left="72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130B1"/>
    <w:multiLevelType w:val="hybridMultilevel"/>
    <w:tmpl w:val="4A122674"/>
    <w:lvl w:ilvl="0" w:tplc="00507B88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2BFA"/>
    <w:multiLevelType w:val="hybridMultilevel"/>
    <w:tmpl w:val="C0D2B0FA"/>
    <w:lvl w:ilvl="0" w:tplc="4F3C0644">
      <w:start w:val="2"/>
      <w:numFmt w:val="decimal"/>
      <w:lvlText w:val="%1"/>
      <w:lvlJc w:val="left"/>
      <w:pPr>
        <w:ind w:left="720" w:hanging="360"/>
      </w:pPr>
      <w:rPr>
        <w:rFonts w:ascii="Book Antiqua" w:hAnsi="Book Antiqua" w:hint="default"/>
        <w:b/>
        <w:bCs/>
        <w:color w:val="000000" w:themeColor="text1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C4643"/>
    <w:multiLevelType w:val="hybridMultilevel"/>
    <w:tmpl w:val="BC9065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121E6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65FD4"/>
    <w:multiLevelType w:val="multilevel"/>
    <w:tmpl w:val="32C050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BBD49ED"/>
    <w:multiLevelType w:val="hybridMultilevel"/>
    <w:tmpl w:val="AB4032C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3349C"/>
    <w:multiLevelType w:val="multilevel"/>
    <w:tmpl w:val="0A862364"/>
    <w:lvl w:ilvl="0">
      <w:start w:val="8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Calibri" w:hint="default"/>
      </w:rPr>
    </w:lvl>
  </w:abstractNum>
  <w:abstractNum w:abstractNumId="24" w15:restartNumberingAfterBreak="0">
    <w:nsid w:val="58E9308F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05485E"/>
    <w:multiLevelType w:val="hybridMultilevel"/>
    <w:tmpl w:val="E2BE2C10"/>
    <w:lvl w:ilvl="0" w:tplc="4F3C0644">
      <w:start w:val="2"/>
      <w:numFmt w:val="decimal"/>
      <w:lvlText w:val="%1"/>
      <w:lvlJc w:val="left"/>
      <w:pPr>
        <w:ind w:left="720" w:hanging="360"/>
      </w:pPr>
      <w:rPr>
        <w:rFonts w:ascii="Book Antiqua" w:hAnsi="Book Antiqua" w:hint="default"/>
        <w:b/>
        <w:bCs/>
        <w:color w:val="000000" w:themeColor="text1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419AF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AB219A2"/>
    <w:multiLevelType w:val="hybridMultilevel"/>
    <w:tmpl w:val="BA26ED6E"/>
    <w:lvl w:ilvl="0" w:tplc="69100A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45C3A"/>
    <w:multiLevelType w:val="multilevel"/>
    <w:tmpl w:val="1778BCF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05F651F"/>
    <w:multiLevelType w:val="hybridMultilevel"/>
    <w:tmpl w:val="A8B4A7B2"/>
    <w:lvl w:ilvl="0" w:tplc="3A9E1D86">
      <w:start w:val="2"/>
      <w:numFmt w:val="decimal"/>
      <w:lvlText w:val="%1.5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A0A34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18025B"/>
    <w:multiLevelType w:val="hybridMultilevel"/>
    <w:tmpl w:val="28A463DC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6484B"/>
    <w:multiLevelType w:val="hybridMultilevel"/>
    <w:tmpl w:val="1820C3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815B9"/>
    <w:multiLevelType w:val="hybridMultilevel"/>
    <w:tmpl w:val="3D26515C"/>
    <w:lvl w:ilvl="0" w:tplc="BBAEB2F6">
      <w:start w:val="1"/>
      <w:numFmt w:val="decimal"/>
      <w:isLgl/>
      <w:lvlText w:val="8.%1."/>
      <w:lvlJc w:val="left"/>
      <w:pPr>
        <w:ind w:left="1440" w:hanging="360"/>
      </w:pPr>
      <w:rPr>
        <w:rFonts w:hint="default"/>
        <w:i w:val="0"/>
        <w:iCs w:val="0"/>
      </w:r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A226DEB"/>
    <w:multiLevelType w:val="hybridMultilevel"/>
    <w:tmpl w:val="1AE88672"/>
    <w:lvl w:ilvl="0" w:tplc="7BE6CCC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0283B"/>
    <w:multiLevelType w:val="hybridMultilevel"/>
    <w:tmpl w:val="14C2C984"/>
    <w:lvl w:ilvl="0" w:tplc="3BD48FD6">
      <w:start w:val="2"/>
      <w:numFmt w:val="decimal"/>
      <w:lvlText w:val="%1.4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126E7"/>
    <w:multiLevelType w:val="hybridMultilevel"/>
    <w:tmpl w:val="523420C2"/>
    <w:lvl w:ilvl="0" w:tplc="EF16BFB8">
      <w:start w:val="2"/>
      <w:numFmt w:val="decimal"/>
      <w:lvlText w:val="%1.2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709F2"/>
    <w:multiLevelType w:val="hybridMultilevel"/>
    <w:tmpl w:val="2EDCFE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E561E7"/>
    <w:multiLevelType w:val="hybridMultilevel"/>
    <w:tmpl w:val="157485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52D22"/>
    <w:multiLevelType w:val="multilevel"/>
    <w:tmpl w:val="575E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CC5A8D"/>
    <w:multiLevelType w:val="hybridMultilevel"/>
    <w:tmpl w:val="52807498"/>
    <w:lvl w:ilvl="0" w:tplc="817AA8B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51508">
    <w:abstractNumId w:val="33"/>
  </w:num>
  <w:num w:numId="2" w16cid:durableId="1718165429">
    <w:abstractNumId w:val="1"/>
  </w:num>
  <w:num w:numId="3" w16cid:durableId="1853958191">
    <w:abstractNumId w:val="12"/>
  </w:num>
  <w:num w:numId="4" w16cid:durableId="1785225569">
    <w:abstractNumId w:val="21"/>
  </w:num>
  <w:num w:numId="5" w16cid:durableId="1258248773">
    <w:abstractNumId w:val="2"/>
  </w:num>
  <w:num w:numId="6" w16cid:durableId="793133788">
    <w:abstractNumId w:val="19"/>
  </w:num>
  <w:num w:numId="7" w16cid:durableId="2071884494">
    <w:abstractNumId w:val="9"/>
  </w:num>
  <w:num w:numId="8" w16cid:durableId="324557464">
    <w:abstractNumId w:val="23"/>
  </w:num>
  <w:num w:numId="9" w16cid:durableId="709502359">
    <w:abstractNumId w:val="22"/>
  </w:num>
  <w:num w:numId="10" w16cid:durableId="1076127477">
    <w:abstractNumId w:val="39"/>
  </w:num>
  <w:num w:numId="11" w16cid:durableId="166604318">
    <w:abstractNumId w:val="31"/>
  </w:num>
  <w:num w:numId="12" w16cid:durableId="995303731">
    <w:abstractNumId w:val="28"/>
  </w:num>
  <w:num w:numId="13" w16cid:durableId="716594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319531">
    <w:abstractNumId w:val="14"/>
  </w:num>
  <w:num w:numId="15" w16cid:durableId="789671400">
    <w:abstractNumId w:val="14"/>
  </w:num>
  <w:num w:numId="16" w16cid:durableId="1759135259">
    <w:abstractNumId w:val="17"/>
  </w:num>
  <w:num w:numId="17" w16cid:durableId="860438016">
    <w:abstractNumId w:val="37"/>
  </w:num>
  <w:num w:numId="18" w16cid:durableId="2005236692">
    <w:abstractNumId w:val="6"/>
  </w:num>
  <w:num w:numId="19" w16cid:durableId="696279030">
    <w:abstractNumId w:val="38"/>
  </w:num>
  <w:num w:numId="20" w16cid:durableId="371853111">
    <w:abstractNumId w:val="32"/>
  </w:num>
  <w:num w:numId="21" w16cid:durableId="1978296960">
    <w:abstractNumId w:val="40"/>
  </w:num>
  <w:num w:numId="22" w16cid:durableId="1136993383">
    <w:abstractNumId w:val="20"/>
  </w:num>
  <w:num w:numId="23" w16cid:durableId="405689990">
    <w:abstractNumId w:val="8"/>
  </w:num>
  <w:num w:numId="24" w16cid:durableId="1061559446">
    <w:abstractNumId w:val="36"/>
  </w:num>
  <w:num w:numId="25" w16cid:durableId="634529414">
    <w:abstractNumId w:val="10"/>
  </w:num>
  <w:num w:numId="26" w16cid:durableId="188952435">
    <w:abstractNumId w:val="35"/>
  </w:num>
  <w:num w:numId="27" w16cid:durableId="21126519">
    <w:abstractNumId w:val="29"/>
  </w:num>
  <w:num w:numId="28" w16cid:durableId="106588572">
    <w:abstractNumId w:val="27"/>
  </w:num>
  <w:num w:numId="29" w16cid:durableId="695815686">
    <w:abstractNumId w:val="3"/>
  </w:num>
  <w:num w:numId="30" w16cid:durableId="600525413">
    <w:abstractNumId w:val="18"/>
  </w:num>
  <w:num w:numId="31" w16cid:durableId="1746756506">
    <w:abstractNumId w:val="25"/>
  </w:num>
  <w:num w:numId="32" w16cid:durableId="1463108773">
    <w:abstractNumId w:val="15"/>
  </w:num>
  <w:num w:numId="33" w16cid:durableId="1273702945">
    <w:abstractNumId w:val="34"/>
  </w:num>
  <w:num w:numId="34" w16cid:durableId="63841829">
    <w:abstractNumId w:val="7"/>
  </w:num>
  <w:num w:numId="35" w16cid:durableId="1513227782">
    <w:abstractNumId w:val="16"/>
  </w:num>
  <w:num w:numId="36" w16cid:durableId="364142118">
    <w:abstractNumId w:val="11"/>
  </w:num>
  <w:num w:numId="37" w16cid:durableId="576087515">
    <w:abstractNumId w:val="26"/>
  </w:num>
  <w:num w:numId="38" w16cid:durableId="743842889">
    <w:abstractNumId w:val="13"/>
  </w:num>
  <w:num w:numId="39" w16cid:durableId="618295203">
    <w:abstractNumId w:val="30"/>
  </w:num>
  <w:num w:numId="40" w16cid:durableId="309679400">
    <w:abstractNumId w:val="24"/>
  </w:num>
  <w:num w:numId="41" w16cid:durableId="1638611642">
    <w:abstractNumId w:val="5"/>
  </w:num>
  <w:num w:numId="42" w16cid:durableId="1546258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F2"/>
    <w:rsid w:val="00003DDE"/>
    <w:rsid w:val="00012B10"/>
    <w:rsid w:val="00013E9E"/>
    <w:rsid w:val="0001478D"/>
    <w:rsid w:val="00020153"/>
    <w:rsid w:val="00021B08"/>
    <w:rsid w:val="00023EBF"/>
    <w:rsid w:val="00030C37"/>
    <w:rsid w:val="000364E1"/>
    <w:rsid w:val="00044D08"/>
    <w:rsid w:val="000528D7"/>
    <w:rsid w:val="00054305"/>
    <w:rsid w:val="0006115D"/>
    <w:rsid w:val="00077757"/>
    <w:rsid w:val="000934B5"/>
    <w:rsid w:val="000A039E"/>
    <w:rsid w:val="000A3D11"/>
    <w:rsid w:val="000A7263"/>
    <w:rsid w:val="000C13BB"/>
    <w:rsid w:val="000C2E73"/>
    <w:rsid w:val="000C4B95"/>
    <w:rsid w:val="000C5FC0"/>
    <w:rsid w:val="000D389F"/>
    <w:rsid w:val="000E12F8"/>
    <w:rsid w:val="000F3E3D"/>
    <w:rsid w:val="000F4FE8"/>
    <w:rsid w:val="001051C9"/>
    <w:rsid w:val="0010659B"/>
    <w:rsid w:val="00110E8E"/>
    <w:rsid w:val="001178BF"/>
    <w:rsid w:val="00122FB1"/>
    <w:rsid w:val="001269B3"/>
    <w:rsid w:val="00131E50"/>
    <w:rsid w:val="00132C4D"/>
    <w:rsid w:val="00141608"/>
    <w:rsid w:val="0016271A"/>
    <w:rsid w:val="00164E0C"/>
    <w:rsid w:val="001650F2"/>
    <w:rsid w:val="00166E07"/>
    <w:rsid w:val="001715C1"/>
    <w:rsid w:val="0017226C"/>
    <w:rsid w:val="00174CA7"/>
    <w:rsid w:val="00176314"/>
    <w:rsid w:val="00183067"/>
    <w:rsid w:val="00191860"/>
    <w:rsid w:val="001936C3"/>
    <w:rsid w:val="001947BA"/>
    <w:rsid w:val="0019564A"/>
    <w:rsid w:val="001A33B1"/>
    <w:rsid w:val="001B2246"/>
    <w:rsid w:val="001B6D11"/>
    <w:rsid w:val="001C224D"/>
    <w:rsid w:val="001C4259"/>
    <w:rsid w:val="001C753A"/>
    <w:rsid w:val="001D20C1"/>
    <w:rsid w:val="001E073D"/>
    <w:rsid w:val="001E70BC"/>
    <w:rsid w:val="001F128B"/>
    <w:rsid w:val="001F3DE5"/>
    <w:rsid w:val="00206546"/>
    <w:rsid w:val="00217183"/>
    <w:rsid w:val="002262FA"/>
    <w:rsid w:val="00232635"/>
    <w:rsid w:val="0023318C"/>
    <w:rsid w:val="00237D9C"/>
    <w:rsid w:val="00245701"/>
    <w:rsid w:val="00255ACE"/>
    <w:rsid w:val="0026410A"/>
    <w:rsid w:val="002647AF"/>
    <w:rsid w:val="0026652A"/>
    <w:rsid w:val="00266AF8"/>
    <w:rsid w:val="00270261"/>
    <w:rsid w:val="002737C3"/>
    <w:rsid w:val="00273DAE"/>
    <w:rsid w:val="00275139"/>
    <w:rsid w:val="00280CCD"/>
    <w:rsid w:val="002869A2"/>
    <w:rsid w:val="002943AA"/>
    <w:rsid w:val="0029497E"/>
    <w:rsid w:val="002B029D"/>
    <w:rsid w:val="002B02CD"/>
    <w:rsid w:val="002B60E2"/>
    <w:rsid w:val="002C0F73"/>
    <w:rsid w:val="002C4DDB"/>
    <w:rsid w:val="002D01D9"/>
    <w:rsid w:val="002D245F"/>
    <w:rsid w:val="002D562F"/>
    <w:rsid w:val="002D5D50"/>
    <w:rsid w:val="002E0713"/>
    <w:rsid w:val="002E1225"/>
    <w:rsid w:val="002E79F7"/>
    <w:rsid w:val="002F0640"/>
    <w:rsid w:val="002F4ED6"/>
    <w:rsid w:val="002F582B"/>
    <w:rsid w:val="0030400E"/>
    <w:rsid w:val="00310852"/>
    <w:rsid w:val="0031578D"/>
    <w:rsid w:val="00316052"/>
    <w:rsid w:val="003166BF"/>
    <w:rsid w:val="003217AD"/>
    <w:rsid w:val="00331CA0"/>
    <w:rsid w:val="003370E4"/>
    <w:rsid w:val="00362E5D"/>
    <w:rsid w:val="00367AC1"/>
    <w:rsid w:val="00375460"/>
    <w:rsid w:val="00383976"/>
    <w:rsid w:val="00384F0A"/>
    <w:rsid w:val="0038572A"/>
    <w:rsid w:val="00386C36"/>
    <w:rsid w:val="00387E95"/>
    <w:rsid w:val="003A2433"/>
    <w:rsid w:val="003B0CB5"/>
    <w:rsid w:val="003B4A5F"/>
    <w:rsid w:val="003B65A1"/>
    <w:rsid w:val="003B6F59"/>
    <w:rsid w:val="003B706B"/>
    <w:rsid w:val="003C5025"/>
    <w:rsid w:val="003C5E01"/>
    <w:rsid w:val="003C73EF"/>
    <w:rsid w:val="003C79C3"/>
    <w:rsid w:val="003D076D"/>
    <w:rsid w:val="003D11FB"/>
    <w:rsid w:val="003D7D72"/>
    <w:rsid w:val="003E0709"/>
    <w:rsid w:val="003E0979"/>
    <w:rsid w:val="00400E41"/>
    <w:rsid w:val="00401A6B"/>
    <w:rsid w:val="00406CC3"/>
    <w:rsid w:val="00415016"/>
    <w:rsid w:val="0042411B"/>
    <w:rsid w:val="00430BC4"/>
    <w:rsid w:val="00435670"/>
    <w:rsid w:val="00435A97"/>
    <w:rsid w:val="0044057C"/>
    <w:rsid w:val="00443EF1"/>
    <w:rsid w:val="00454EDF"/>
    <w:rsid w:val="004579E2"/>
    <w:rsid w:val="004623E8"/>
    <w:rsid w:val="00464C16"/>
    <w:rsid w:val="00470960"/>
    <w:rsid w:val="0047529C"/>
    <w:rsid w:val="004809FB"/>
    <w:rsid w:val="00491E89"/>
    <w:rsid w:val="00492CFF"/>
    <w:rsid w:val="00496A73"/>
    <w:rsid w:val="004A025A"/>
    <w:rsid w:val="004B516C"/>
    <w:rsid w:val="004C26F2"/>
    <w:rsid w:val="004C45DA"/>
    <w:rsid w:val="004C7535"/>
    <w:rsid w:val="004D2B6B"/>
    <w:rsid w:val="004D4B93"/>
    <w:rsid w:val="004D5725"/>
    <w:rsid w:val="004F5AD3"/>
    <w:rsid w:val="004F7E89"/>
    <w:rsid w:val="00500B34"/>
    <w:rsid w:val="00507E94"/>
    <w:rsid w:val="00513084"/>
    <w:rsid w:val="00513CD4"/>
    <w:rsid w:val="00516373"/>
    <w:rsid w:val="005215F6"/>
    <w:rsid w:val="00521A2C"/>
    <w:rsid w:val="00525DCB"/>
    <w:rsid w:val="00527927"/>
    <w:rsid w:val="005600B2"/>
    <w:rsid w:val="005623EF"/>
    <w:rsid w:val="00564EDB"/>
    <w:rsid w:val="00573598"/>
    <w:rsid w:val="00580FD1"/>
    <w:rsid w:val="005A018F"/>
    <w:rsid w:val="005A799D"/>
    <w:rsid w:val="005B18FA"/>
    <w:rsid w:val="005B56E3"/>
    <w:rsid w:val="005B699A"/>
    <w:rsid w:val="005D43A0"/>
    <w:rsid w:val="005E3AAF"/>
    <w:rsid w:val="006031C3"/>
    <w:rsid w:val="00603DD3"/>
    <w:rsid w:val="006050F5"/>
    <w:rsid w:val="00613498"/>
    <w:rsid w:val="006202D2"/>
    <w:rsid w:val="00620EC4"/>
    <w:rsid w:val="00622F9C"/>
    <w:rsid w:val="00623EC6"/>
    <w:rsid w:val="0063064F"/>
    <w:rsid w:val="00630D22"/>
    <w:rsid w:val="006474BC"/>
    <w:rsid w:val="00650BB0"/>
    <w:rsid w:val="006514B7"/>
    <w:rsid w:val="00652280"/>
    <w:rsid w:val="006575F2"/>
    <w:rsid w:val="006631AC"/>
    <w:rsid w:val="00670BFD"/>
    <w:rsid w:val="006763CB"/>
    <w:rsid w:val="006778B6"/>
    <w:rsid w:val="00681998"/>
    <w:rsid w:val="0069009E"/>
    <w:rsid w:val="006931CB"/>
    <w:rsid w:val="0069798A"/>
    <w:rsid w:val="006A74CE"/>
    <w:rsid w:val="006B02C1"/>
    <w:rsid w:val="006B48BD"/>
    <w:rsid w:val="006B7CBA"/>
    <w:rsid w:val="006B7ECD"/>
    <w:rsid w:val="006C37F1"/>
    <w:rsid w:val="006C5BEC"/>
    <w:rsid w:val="006D2BD8"/>
    <w:rsid w:val="006D4B54"/>
    <w:rsid w:val="006D5ED6"/>
    <w:rsid w:val="006E09DF"/>
    <w:rsid w:val="006E3068"/>
    <w:rsid w:val="006E4C62"/>
    <w:rsid w:val="006E7136"/>
    <w:rsid w:val="006F06D1"/>
    <w:rsid w:val="006F6330"/>
    <w:rsid w:val="00707564"/>
    <w:rsid w:val="00711432"/>
    <w:rsid w:val="00711614"/>
    <w:rsid w:val="00711DAC"/>
    <w:rsid w:val="007131C3"/>
    <w:rsid w:val="00714A55"/>
    <w:rsid w:val="0072085E"/>
    <w:rsid w:val="00723917"/>
    <w:rsid w:val="0073514C"/>
    <w:rsid w:val="007363EC"/>
    <w:rsid w:val="007430D6"/>
    <w:rsid w:val="00745DF6"/>
    <w:rsid w:val="007469F3"/>
    <w:rsid w:val="0075103E"/>
    <w:rsid w:val="007533E5"/>
    <w:rsid w:val="007569B4"/>
    <w:rsid w:val="00762BAB"/>
    <w:rsid w:val="0076670F"/>
    <w:rsid w:val="00771C87"/>
    <w:rsid w:val="00782F8B"/>
    <w:rsid w:val="007909EA"/>
    <w:rsid w:val="00794950"/>
    <w:rsid w:val="007A1A67"/>
    <w:rsid w:val="007A6BDF"/>
    <w:rsid w:val="007B010A"/>
    <w:rsid w:val="007B309A"/>
    <w:rsid w:val="007C28E1"/>
    <w:rsid w:val="007C4547"/>
    <w:rsid w:val="007D6F8C"/>
    <w:rsid w:val="007E0A1E"/>
    <w:rsid w:val="007E0EFA"/>
    <w:rsid w:val="007E188C"/>
    <w:rsid w:val="007E30F6"/>
    <w:rsid w:val="007E6CC3"/>
    <w:rsid w:val="007F1D2A"/>
    <w:rsid w:val="007F1D80"/>
    <w:rsid w:val="007F2497"/>
    <w:rsid w:val="007F7F55"/>
    <w:rsid w:val="0080180A"/>
    <w:rsid w:val="008034A8"/>
    <w:rsid w:val="00804291"/>
    <w:rsid w:val="008212A7"/>
    <w:rsid w:val="0083012C"/>
    <w:rsid w:val="00833375"/>
    <w:rsid w:val="0083606B"/>
    <w:rsid w:val="00836722"/>
    <w:rsid w:val="00842745"/>
    <w:rsid w:val="00843B2C"/>
    <w:rsid w:val="008452DA"/>
    <w:rsid w:val="00850A35"/>
    <w:rsid w:val="008511BF"/>
    <w:rsid w:val="00854181"/>
    <w:rsid w:val="00855930"/>
    <w:rsid w:val="00856BCA"/>
    <w:rsid w:val="00861B14"/>
    <w:rsid w:val="00864A11"/>
    <w:rsid w:val="0086564D"/>
    <w:rsid w:val="0086668E"/>
    <w:rsid w:val="00871169"/>
    <w:rsid w:val="008749E6"/>
    <w:rsid w:val="008842C2"/>
    <w:rsid w:val="00894F18"/>
    <w:rsid w:val="00895F78"/>
    <w:rsid w:val="00897985"/>
    <w:rsid w:val="008A019F"/>
    <w:rsid w:val="008A0677"/>
    <w:rsid w:val="008A2E83"/>
    <w:rsid w:val="008A3E95"/>
    <w:rsid w:val="008B2B20"/>
    <w:rsid w:val="008B3C02"/>
    <w:rsid w:val="008C33CA"/>
    <w:rsid w:val="008D0833"/>
    <w:rsid w:val="008D1A49"/>
    <w:rsid w:val="008D78A9"/>
    <w:rsid w:val="008E44FE"/>
    <w:rsid w:val="008F4DDD"/>
    <w:rsid w:val="00912A37"/>
    <w:rsid w:val="00916964"/>
    <w:rsid w:val="00921412"/>
    <w:rsid w:val="0092378A"/>
    <w:rsid w:val="009238CF"/>
    <w:rsid w:val="0092496F"/>
    <w:rsid w:val="009372B9"/>
    <w:rsid w:val="009408C9"/>
    <w:rsid w:val="0094368B"/>
    <w:rsid w:val="00946B2D"/>
    <w:rsid w:val="0095181F"/>
    <w:rsid w:val="0095345F"/>
    <w:rsid w:val="00973606"/>
    <w:rsid w:val="00974E6B"/>
    <w:rsid w:val="00976046"/>
    <w:rsid w:val="00985DE9"/>
    <w:rsid w:val="009A2649"/>
    <w:rsid w:val="009A5B4A"/>
    <w:rsid w:val="009B6997"/>
    <w:rsid w:val="009C2372"/>
    <w:rsid w:val="009C27F8"/>
    <w:rsid w:val="009C3270"/>
    <w:rsid w:val="009C49FF"/>
    <w:rsid w:val="009D0415"/>
    <w:rsid w:val="009F1D0F"/>
    <w:rsid w:val="009F6863"/>
    <w:rsid w:val="00A000A2"/>
    <w:rsid w:val="00A01530"/>
    <w:rsid w:val="00A01C3F"/>
    <w:rsid w:val="00A037FF"/>
    <w:rsid w:val="00A13D64"/>
    <w:rsid w:val="00A14385"/>
    <w:rsid w:val="00A2256B"/>
    <w:rsid w:val="00A233B6"/>
    <w:rsid w:val="00A322BA"/>
    <w:rsid w:val="00A47BD5"/>
    <w:rsid w:val="00A47DA9"/>
    <w:rsid w:val="00A5450C"/>
    <w:rsid w:val="00A56D9D"/>
    <w:rsid w:val="00A665F6"/>
    <w:rsid w:val="00A6688E"/>
    <w:rsid w:val="00A85E38"/>
    <w:rsid w:val="00A8660B"/>
    <w:rsid w:val="00A945B6"/>
    <w:rsid w:val="00AA390A"/>
    <w:rsid w:val="00AA6BE1"/>
    <w:rsid w:val="00AB1500"/>
    <w:rsid w:val="00AB75E0"/>
    <w:rsid w:val="00AC31BF"/>
    <w:rsid w:val="00AD2B5A"/>
    <w:rsid w:val="00AD6564"/>
    <w:rsid w:val="00AE1E81"/>
    <w:rsid w:val="00AE20C2"/>
    <w:rsid w:val="00AE3DA6"/>
    <w:rsid w:val="00AE5A34"/>
    <w:rsid w:val="00AF489C"/>
    <w:rsid w:val="00AF5D9D"/>
    <w:rsid w:val="00B01CBB"/>
    <w:rsid w:val="00B02F1F"/>
    <w:rsid w:val="00B07EED"/>
    <w:rsid w:val="00B138BB"/>
    <w:rsid w:val="00B15D82"/>
    <w:rsid w:val="00B274FC"/>
    <w:rsid w:val="00B3065D"/>
    <w:rsid w:val="00B30961"/>
    <w:rsid w:val="00B36697"/>
    <w:rsid w:val="00B52D35"/>
    <w:rsid w:val="00B54658"/>
    <w:rsid w:val="00B556A9"/>
    <w:rsid w:val="00B645F9"/>
    <w:rsid w:val="00B667BC"/>
    <w:rsid w:val="00B8075C"/>
    <w:rsid w:val="00B87BCF"/>
    <w:rsid w:val="00B9203A"/>
    <w:rsid w:val="00B92840"/>
    <w:rsid w:val="00B92913"/>
    <w:rsid w:val="00B95CBF"/>
    <w:rsid w:val="00B97492"/>
    <w:rsid w:val="00BA19F4"/>
    <w:rsid w:val="00BA2706"/>
    <w:rsid w:val="00BA4F37"/>
    <w:rsid w:val="00BA7907"/>
    <w:rsid w:val="00BB1A2E"/>
    <w:rsid w:val="00BB3D95"/>
    <w:rsid w:val="00BB500D"/>
    <w:rsid w:val="00BB5423"/>
    <w:rsid w:val="00BB706E"/>
    <w:rsid w:val="00BC29EF"/>
    <w:rsid w:val="00BD1338"/>
    <w:rsid w:val="00BD6BA6"/>
    <w:rsid w:val="00BE2C77"/>
    <w:rsid w:val="00BE2F6B"/>
    <w:rsid w:val="00BF4679"/>
    <w:rsid w:val="00C1294A"/>
    <w:rsid w:val="00C148F1"/>
    <w:rsid w:val="00C25B7E"/>
    <w:rsid w:val="00C33EF4"/>
    <w:rsid w:val="00C44A6B"/>
    <w:rsid w:val="00C46521"/>
    <w:rsid w:val="00C505A4"/>
    <w:rsid w:val="00C51A33"/>
    <w:rsid w:val="00C5335F"/>
    <w:rsid w:val="00C554D1"/>
    <w:rsid w:val="00C56DF4"/>
    <w:rsid w:val="00C60FF5"/>
    <w:rsid w:val="00C6266D"/>
    <w:rsid w:val="00C6333F"/>
    <w:rsid w:val="00C67A04"/>
    <w:rsid w:val="00C70893"/>
    <w:rsid w:val="00C70FC3"/>
    <w:rsid w:val="00C71E13"/>
    <w:rsid w:val="00C73FAC"/>
    <w:rsid w:val="00C77CC7"/>
    <w:rsid w:val="00C77E4C"/>
    <w:rsid w:val="00C92BB0"/>
    <w:rsid w:val="00C9353C"/>
    <w:rsid w:val="00C95120"/>
    <w:rsid w:val="00CA19B4"/>
    <w:rsid w:val="00CA1ADA"/>
    <w:rsid w:val="00CA6905"/>
    <w:rsid w:val="00CA734B"/>
    <w:rsid w:val="00CA7A77"/>
    <w:rsid w:val="00CB0815"/>
    <w:rsid w:val="00CB6A33"/>
    <w:rsid w:val="00CC0223"/>
    <w:rsid w:val="00CC0391"/>
    <w:rsid w:val="00CC7F91"/>
    <w:rsid w:val="00CD1B2F"/>
    <w:rsid w:val="00CD3B54"/>
    <w:rsid w:val="00CF020C"/>
    <w:rsid w:val="00CF28D8"/>
    <w:rsid w:val="00CF6960"/>
    <w:rsid w:val="00CF6FB7"/>
    <w:rsid w:val="00D04650"/>
    <w:rsid w:val="00D04E9F"/>
    <w:rsid w:val="00D11B43"/>
    <w:rsid w:val="00D135ED"/>
    <w:rsid w:val="00D240E3"/>
    <w:rsid w:val="00D32780"/>
    <w:rsid w:val="00D40ADC"/>
    <w:rsid w:val="00D432A9"/>
    <w:rsid w:val="00D60048"/>
    <w:rsid w:val="00D60169"/>
    <w:rsid w:val="00D6472F"/>
    <w:rsid w:val="00D67B87"/>
    <w:rsid w:val="00D80A2E"/>
    <w:rsid w:val="00D82542"/>
    <w:rsid w:val="00D96BDC"/>
    <w:rsid w:val="00D9713F"/>
    <w:rsid w:val="00D975CB"/>
    <w:rsid w:val="00DA196D"/>
    <w:rsid w:val="00DA5A9F"/>
    <w:rsid w:val="00DB5D8F"/>
    <w:rsid w:val="00DC4990"/>
    <w:rsid w:val="00DD6810"/>
    <w:rsid w:val="00DE17DB"/>
    <w:rsid w:val="00DE3863"/>
    <w:rsid w:val="00DE7104"/>
    <w:rsid w:val="00DE7C03"/>
    <w:rsid w:val="00DF134D"/>
    <w:rsid w:val="00DF1A64"/>
    <w:rsid w:val="00DF3656"/>
    <w:rsid w:val="00DF7717"/>
    <w:rsid w:val="00E10F2B"/>
    <w:rsid w:val="00E1123B"/>
    <w:rsid w:val="00E112C1"/>
    <w:rsid w:val="00E15DFB"/>
    <w:rsid w:val="00E3444D"/>
    <w:rsid w:val="00E3784E"/>
    <w:rsid w:val="00E50B3A"/>
    <w:rsid w:val="00E53148"/>
    <w:rsid w:val="00E56141"/>
    <w:rsid w:val="00E61C93"/>
    <w:rsid w:val="00E6253B"/>
    <w:rsid w:val="00E65D9F"/>
    <w:rsid w:val="00E72078"/>
    <w:rsid w:val="00E736B9"/>
    <w:rsid w:val="00E91212"/>
    <w:rsid w:val="00E925EC"/>
    <w:rsid w:val="00E935C6"/>
    <w:rsid w:val="00E96FA5"/>
    <w:rsid w:val="00EB57F2"/>
    <w:rsid w:val="00EC1812"/>
    <w:rsid w:val="00ED3D9A"/>
    <w:rsid w:val="00ED693A"/>
    <w:rsid w:val="00ED6C74"/>
    <w:rsid w:val="00ED70DB"/>
    <w:rsid w:val="00EE4867"/>
    <w:rsid w:val="00EF26EE"/>
    <w:rsid w:val="00EF5C2A"/>
    <w:rsid w:val="00EF5F77"/>
    <w:rsid w:val="00F03ADD"/>
    <w:rsid w:val="00F10250"/>
    <w:rsid w:val="00F10998"/>
    <w:rsid w:val="00F1721E"/>
    <w:rsid w:val="00F31D1F"/>
    <w:rsid w:val="00F32E66"/>
    <w:rsid w:val="00F379FD"/>
    <w:rsid w:val="00F37F60"/>
    <w:rsid w:val="00F412FC"/>
    <w:rsid w:val="00F466FC"/>
    <w:rsid w:val="00F55F48"/>
    <w:rsid w:val="00F62C03"/>
    <w:rsid w:val="00F70B37"/>
    <w:rsid w:val="00F77103"/>
    <w:rsid w:val="00F7734F"/>
    <w:rsid w:val="00F837EB"/>
    <w:rsid w:val="00F85EDB"/>
    <w:rsid w:val="00F91FD5"/>
    <w:rsid w:val="00F924A1"/>
    <w:rsid w:val="00F9337D"/>
    <w:rsid w:val="00F933B6"/>
    <w:rsid w:val="00F95434"/>
    <w:rsid w:val="00FA7B8D"/>
    <w:rsid w:val="00FB0DD5"/>
    <w:rsid w:val="00FB3A7F"/>
    <w:rsid w:val="00FB5646"/>
    <w:rsid w:val="00FB6EC4"/>
    <w:rsid w:val="00FC092A"/>
    <w:rsid w:val="00FC2E91"/>
    <w:rsid w:val="00FC30C6"/>
    <w:rsid w:val="00FC6643"/>
    <w:rsid w:val="00FC6811"/>
    <w:rsid w:val="00FD42AF"/>
    <w:rsid w:val="00FD5119"/>
    <w:rsid w:val="00FE3517"/>
    <w:rsid w:val="00FF0B04"/>
    <w:rsid w:val="00FF37AC"/>
    <w:rsid w:val="00FF3C06"/>
    <w:rsid w:val="00FF3C19"/>
    <w:rsid w:val="3BE7C56A"/>
    <w:rsid w:val="7EDCD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15F35"/>
  <w15:docId w15:val="{1BF36A83-30AA-46AA-B52A-848AAF96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5CB"/>
  </w:style>
  <w:style w:type="paragraph" w:styleId="Ttulo1">
    <w:name w:val="heading 1"/>
    <w:basedOn w:val="Normal"/>
    <w:next w:val="Normal"/>
    <w:link w:val="Ttulo1Car"/>
    <w:uiPriority w:val="9"/>
    <w:qFormat/>
    <w:rsid w:val="00FE35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5D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351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SCar">
    <w:name w:val="FUENTES Car"/>
    <w:basedOn w:val="Fuentedeprrafopredeter"/>
    <w:link w:val="FUENTES"/>
    <w:locked/>
    <w:rsid w:val="004C26F2"/>
    <w:rPr>
      <w:b/>
      <w:bCs/>
      <w:sz w:val="20"/>
    </w:rPr>
  </w:style>
  <w:style w:type="paragraph" w:customStyle="1" w:styleId="FUENTES">
    <w:name w:val="FUENTES"/>
    <w:basedOn w:val="Normal"/>
    <w:link w:val="FUENTESCar"/>
    <w:rsid w:val="004C26F2"/>
    <w:pPr>
      <w:spacing w:line="240" w:lineRule="auto"/>
    </w:pPr>
    <w:rPr>
      <w:b/>
      <w:bCs/>
      <w:sz w:val="20"/>
    </w:rPr>
  </w:style>
  <w:style w:type="paragraph" w:styleId="Prrafodelista">
    <w:name w:val="List Paragraph"/>
    <w:aliases w:val="Bullet 1,Use Case List Paragraph,Lista vistosa - Énfasis 11,Párrafo de lista Car Car Car,Informe,Footnote,FooterText,numbered,Paragraphe de liste1,Bulletr List Paragraph,列出段落,列出段落1,lp1,lp11,List Paragraph 1,Numbered List Paragraph"/>
    <w:basedOn w:val="Normal"/>
    <w:link w:val="PrrafodelistaCar"/>
    <w:uiPriority w:val="34"/>
    <w:qFormat/>
    <w:rsid w:val="00CF6960"/>
    <w:pPr>
      <w:ind w:left="720"/>
      <w:contextualSpacing/>
    </w:pPr>
  </w:style>
  <w:style w:type="character" w:customStyle="1" w:styleId="PrrafodelistaCar">
    <w:name w:val="Párrafo de lista Car"/>
    <w:aliases w:val="Bullet 1 Car,Use Case List Paragraph Car,Lista vistosa - Énfasis 11 Car,Párrafo de lista Car Car Car Car,Informe Car,Footnote Car,FooterText Car,numbered Car,Paragraphe de liste1 Car,Bulletr List Paragraph Car,列出段落 Car,列出段落1 Car"/>
    <w:link w:val="Prrafodelista"/>
    <w:uiPriority w:val="34"/>
    <w:qFormat/>
    <w:locked/>
    <w:rsid w:val="00CF6960"/>
  </w:style>
  <w:style w:type="paragraph" w:styleId="Descripcin">
    <w:name w:val="caption"/>
    <w:aliases w:val="Epígrafe"/>
    <w:basedOn w:val="Normal"/>
    <w:next w:val="Normal"/>
    <w:uiPriority w:val="35"/>
    <w:unhideWhenUsed/>
    <w:qFormat/>
    <w:rsid w:val="0023318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0A3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s-CR"/>
    </w:rPr>
  </w:style>
  <w:style w:type="paragraph" w:styleId="Revisin">
    <w:name w:val="Revision"/>
    <w:hidden/>
    <w:uiPriority w:val="99"/>
    <w:semiHidden/>
    <w:rsid w:val="00D135ED"/>
    <w:pPr>
      <w:spacing w:after="0" w:line="240" w:lineRule="auto"/>
    </w:pPr>
    <w:rPr>
      <w:rFonts w:ascii="Times New Roman" w:hAnsi="Times New Roman"/>
      <w:sz w:val="24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31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31AC"/>
    <w:rPr>
      <w:rFonts w:ascii="Tahoma" w:hAnsi="Tahoma" w:cs="Tahoma"/>
      <w:sz w:val="16"/>
      <w:szCs w:val="16"/>
      <w:lang w:val="es-CR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631A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631AC"/>
    <w:rPr>
      <w:lang w:val="es-CR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351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Ttulo31">
    <w:name w:val="Título 31"/>
    <w:next w:val="Normal"/>
    <w:rsid w:val="00FE3517"/>
    <w:pPr>
      <w:widowControl w:val="0"/>
      <w:numPr>
        <w:ilvl w:val="2"/>
        <w:numId w:val="13"/>
      </w:numPr>
      <w:shd w:val="clear" w:color="auto" w:fill="FFFFFF"/>
      <w:suppressAutoHyphens/>
      <w:spacing w:after="0" w:line="240" w:lineRule="auto"/>
      <w:outlineLvl w:val="2"/>
    </w:pPr>
    <w:rPr>
      <w:rFonts w:ascii="Times New Roman" w:eastAsia="Arial Unicode MS" w:hAnsi="Times New Roman" w:cs="Times New Roman"/>
      <w:sz w:val="24"/>
      <w:szCs w:val="24"/>
      <w:u w:val="single"/>
      <w:lang w:val="es-ES_tradnl" w:eastAsia="es-ES"/>
    </w:rPr>
  </w:style>
  <w:style w:type="paragraph" w:customStyle="1" w:styleId="SUBPROGRAMA">
    <w:name w:val="SUBPROGRAMA"/>
    <w:basedOn w:val="Ttulo1"/>
    <w:next w:val="Normal"/>
    <w:rsid w:val="00FE3517"/>
    <w:pPr>
      <w:keepLines w:val="0"/>
      <w:numPr>
        <w:numId w:val="13"/>
      </w:numPr>
      <w:tabs>
        <w:tab w:val="clear" w:pos="0"/>
        <w:tab w:val="num" w:pos="360"/>
      </w:tabs>
      <w:spacing w:after="60" w:line="240" w:lineRule="auto"/>
      <w:ind w:left="1080" w:hanging="720"/>
    </w:pPr>
    <w:rPr>
      <w:rFonts w:ascii="Bookman Old Style" w:eastAsia="Times New Roman" w:hAnsi="Bookman Old Style" w:cs="Times New Roman"/>
      <w:b/>
      <w:smallCaps/>
      <w:color w:val="000080"/>
      <w:kern w:val="28"/>
      <w:sz w:val="28"/>
      <w:szCs w:val="20"/>
      <w:u w:val="single"/>
      <w:lang w:val="es-ES" w:eastAsia="es-ES"/>
    </w:rPr>
  </w:style>
  <w:style w:type="paragraph" w:customStyle="1" w:styleId="Normal0">
    <w:name w:val="[Normal]"/>
    <w:uiPriority w:val="99"/>
    <w:rsid w:val="00FE35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s-CR"/>
    </w:rPr>
  </w:style>
  <w:style w:type="character" w:customStyle="1" w:styleId="Ttulo1Car">
    <w:name w:val="Título 1 Car"/>
    <w:basedOn w:val="Fuentedeprrafopredeter"/>
    <w:link w:val="Ttulo1"/>
    <w:uiPriority w:val="9"/>
    <w:rsid w:val="00FE3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5D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264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1">
    <w:name w:val="contentpasted1"/>
    <w:basedOn w:val="Fuentedeprrafopredeter"/>
    <w:rsid w:val="00CA19B4"/>
  </w:style>
  <w:style w:type="paragraph" w:styleId="Encabezado">
    <w:name w:val="header"/>
    <w:basedOn w:val="Normal"/>
    <w:link w:val="EncabezadoCar"/>
    <w:uiPriority w:val="99"/>
    <w:unhideWhenUsed/>
    <w:rsid w:val="002E79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79F7"/>
  </w:style>
  <w:style w:type="paragraph" w:styleId="Piedepgina">
    <w:name w:val="footer"/>
    <w:basedOn w:val="Normal"/>
    <w:link w:val="PiedepginaCar"/>
    <w:uiPriority w:val="99"/>
    <w:unhideWhenUsed/>
    <w:rsid w:val="002E79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9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.xls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Word_Document.doc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0E6B0-5F2C-4964-B931-A7EDD8DB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4823</Words>
  <Characters>26531</Characters>
  <Application>Microsoft Office Word</Application>
  <DocSecurity>0</DocSecurity>
  <Lines>221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Gabriela Picado González</dc:creator>
  <cp:keywords/>
  <dc:description/>
  <cp:lastModifiedBy>Lester Torrentes Ávila</cp:lastModifiedBy>
  <cp:revision>2</cp:revision>
  <dcterms:created xsi:type="dcterms:W3CDTF">2023-09-26T20:00:00Z</dcterms:created>
  <dcterms:modified xsi:type="dcterms:W3CDTF">2023-09-26T20:00:00Z</dcterms:modified>
</cp:coreProperties>
</file>