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6" w:rsidRPr="00364756" w:rsidRDefault="006C2356" w:rsidP="00BD295E">
      <w:pPr>
        <w:jc w:val="center"/>
        <w:rPr>
          <w:b/>
          <w:bCs/>
          <w:lang w:val="es-CR"/>
        </w:rPr>
      </w:pPr>
      <w:r w:rsidRPr="00364756">
        <w:rPr>
          <w:b/>
          <w:bCs/>
          <w:lang w:val="es-CR"/>
        </w:rPr>
        <w:t>Instructivo:</w:t>
      </w:r>
      <w:r w:rsidR="00BD295E" w:rsidRPr="00364756">
        <w:rPr>
          <w:b/>
          <w:bCs/>
          <w:lang w:val="es-CR"/>
        </w:rPr>
        <w:t xml:space="preserve"> </w:t>
      </w:r>
      <w:r w:rsidRPr="00364756">
        <w:rPr>
          <w:b/>
          <w:bCs/>
          <w:lang w:val="es-CR"/>
        </w:rPr>
        <w:t>EJ-12 Motivos de no realización de los Debates Señalados por los Tribunales Penales</w:t>
      </w:r>
      <w:r w:rsidR="00934309">
        <w:rPr>
          <w:b/>
          <w:bCs/>
          <w:lang w:val="es-CR"/>
        </w:rPr>
        <w:t xml:space="preserve"> (JEDO)</w:t>
      </w:r>
    </w:p>
    <w:p w:rsidR="006C2356" w:rsidRPr="00364756" w:rsidRDefault="006C2356" w:rsidP="009166DA">
      <w:pPr>
        <w:jc w:val="center"/>
        <w:rPr>
          <w:b/>
          <w:bCs/>
          <w:lang w:val="es-CR"/>
        </w:rPr>
      </w:pPr>
    </w:p>
    <w:p w:rsidR="006C2356" w:rsidRPr="00364756" w:rsidRDefault="006C2356" w:rsidP="009166DA">
      <w:pPr>
        <w:jc w:val="center"/>
        <w:rPr>
          <w:i/>
          <w:lang w:val="es-CR"/>
        </w:rPr>
      </w:pPr>
      <w:r w:rsidRPr="00364756">
        <w:rPr>
          <w:i/>
          <w:lang w:val="es-CR"/>
        </w:rPr>
        <w:t xml:space="preserve">El presente documento ofrece una guía a las personas responsables </w:t>
      </w:r>
      <w:r w:rsidR="009847CE" w:rsidRPr="00364756">
        <w:rPr>
          <w:i/>
          <w:lang w:val="es-CR"/>
        </w:rPr>
        <w:t>de elaborar</w:t>
      </w:r>
      <w:r w:rsidRPr="00364756">
        <w:rPr>
          <w:i/>
          <w:lang w:val="es-CR"/>
        </w:rPr>
        <w:t>, los informes estadísticos de las oficinas judiciales del país que tramitan la materia de penal, ofreciéndoles las indicaciones básicas para su correcta interpretación, confección y presentación.</w:t>
      </w:r>
    </w:p>
    <w:p w:rsidR="00C06B19" w:rsidRPr="00364756" w:rsidRDefault="00C06B19" w:rsidP="00C42E25">
      <w:pPr>
        <w:pStyle w:val="PredeterminadoLTGliederung1"/>
        <w:spacing w:before="70" w:line="360" w:lineRule="auto"/>
        <w:jc w:val="both"/>
        <w:rPr>
          <w:rFonts w:ascii="Times New Roman" w:hAnsi="Times New Roman" w:cs="Times New Roman"/>
          <w:color w:val="010000"/>
          <w:sz w:val="24"/>
          <w:szCs w:val="24"/>
        </w:rPr>
      </w:pPr>
    </w:p>
    <w:p w:rsidR="00332B47" w:rsidRDefault="002A5AD4" w:rsidP="002D3671">
      <w:pPr>
        <w:pStyle w:val="PredeterminadoLTGliederung1"/>
        <w:spacing w:before="70" w:line="360" w:lineRule="auto"/>
        <w:jc w:val="both"/>
        <w:rPr>
          <w:rFonts w:ascii="Times New Roman" w:hAnsi="Times New Roman" w:cs="Times New Roman"/>
          <w:color w:val="010000"/>
          <w:sz w:val="24"/>
          <w:szCs w:val="24"/>
        </w:rPr>
      </w:pPr>
      <w:r w:rsidRPr="00364756">
        <w:rPr>
          <w:rFonts w:ascii="Times New Roman" w:hAnsi="Times New Roman" w:cs="Times New Roman"/>
          <w:b/>
          <w:bCs/>
          <w:i/>
          <w:iCs/>
          <w:color w:val="010000"/>
          <w:sz w:val="24"/>
          <w:szCs w:val="24"/>
        </w:rPr>
        <w:t>Definición de debate no realizado: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364756">
        <w:rPr>
          <w:rFonts w:ascii="Times New Roman" w:hAnsi="Times New Roman" w:cs="Times New Roman"/>
          <w:color w:val="010000"/>
          <w:sz w:val="24"/>
          <w:szCs w:val="24"/>
        </w:rPr>
        <w:t>se refiere a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aquello</w:t>
      </w:r>
      <w:r w:rsidR="002F464B" w:rsidRPr="00364756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debates señalados </w:t>
      </w:r>
      <w:r w:rsidR="00364756">
        <w:rPr>
          <w:rFonts w:ascii="Times New Roman" w:hAnsi="Times New Roman" w:cs="Times New Roman"/>
          <w:color w:val="010000"/>
          <w:sz w:val="24"/>
          <w:szCs w:val="24"/>
        </w:rPr>
        <w:t xml:space="preserve">como 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no realizados, </w:t>
      </w:r>
      <w:r w:rsidR="00364756">
        <w:rPr>
          <w:rFonts w:ascii="Times New Roman" w:hAnsi="Times New Roman" w:cs="Times New Roman"/>
          <w:color w:val="010000"/>
          <w:sz w:val="24"/>
          <w:szCs w:val="24"/>
        </w:rPr>
        <w:t>significando esto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que el debate se señaló; </w:t>
      </w:r>
      <w:r w:rsidR="002F464B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pero 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no se </w:t>
      </w:r>
      <w:r w:rsidR="00364756">
        <w:rPr>
          <w:rFonts w:ascii="Times New Roman" w:hAnsi="Times New Roman" w:cs="Times New Roman"/>
          <w:color w:val="010000"/>
          <w:sz w:val="24"/>
          <w:szCs w:val="24"/>
        </w:rPr>
        <w:t>llevó a cabo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y la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(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)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audiencia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(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)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programada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(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)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no fue</w:t>
      </w:r>
      <w:r w:rsidR="00C42E25"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(</w:t>
      </w:r>
      <w:r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ron</w:t>
      </w:r>
      <w:r w:rsidR="00C42E25"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)</w:t>
      </w:r>
      <w:r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 xml:space="preserve"> </w:t>
      </w:r>
      <w:r w:rsidR="00C42E25"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 xml:space="preserve">ocupada(s) en </w:t>
      </w:r>
      <w:r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otro</w:t>
      </w:r>
      <w:r w:rsidR="00C42E25"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(s)</w:t>
      </w:r>
      <w:r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 xml:space="preserve"> debate</w:t>
      </w:r>
      <w:r w:rsidR="00C42E25" w:rsidRPr="00364756">
        <w:rPr>
          <w:rFonts w:ascii="Times New Roman" w:hAnsi="Times New Roman" w:cs="Times New Roman"/>
          <w:b/>
          <w:color w:val="010000"/>
          <w:sz w:val="24"/>
          <w:szCs w:val="24"/>
          <w:u w:val="single"/>
        </w:rPr>
        <w:t>(s)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. </w:t>
      </w:r>
    </w:p>
    <w:p w:rsidR="0039143D" w:rsidRPr="00364756" w:rsidRDefault="002A5AD4" w:rsidP="002D3671">
      <w:pPr>
        <w:pStyle w:val="PredeterminadoLTGliederung1"/>
        <w:spacing w:before="70" w:line="360" w:lineRule="auto"/>
        <w:jc w:val="both"/>
        <w:rPr>
          <w:rFonts w:ascii="Times New Roman" w:hAnsi="Times New Roman" w:cs="Times New Roman"/>
          <w:color w:val="010000"/>
          <w:sz w:val="24"/>
          <w:szCs w:val="24"/>
        </w:rPr>
      </w:pP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Por lo tanto, en este formulario </w:t>
      </w:r>
      <w:r w:rsidRPr="00364756">
        <w:rPr>
          <w:rFonts w:ascii="Times New Roman" w:hAnsi="Times New Roman" w:cs="Times New Roman"/>
          <w:b/>
          <w:bCs/>
          <w:i/>
          <w:iCs/>
          <w:color w:val="010000"/>
          <w:sz w:val="24"/>
          <w:szCs w:val="24"/>
        </w:rPr>
        <w:t>NO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se </w:t>
      </w:r>
      <w:r w:rsidR="00B5474A" w:rsidRPr="00364756">
        <w:rPr>
          <w:rFonts w:ascii="Times New Roman" w:hAnsi="Times New Roman" w:cs="Times New Roman"/>
          <w:color w:val="010000"/>
          <w:sz w:val="24"/>
          <w:szCs w:val="24"/>
        </w:rPr>
        <w:t>incluirán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los debates que se suspenden para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continuarlos en otra fecha, ni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aquello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que se señalan y que antes de su celebración </w:t>
      </w:r>
      <w:r w:rsidR="00332B47">
        <w:rPr>
          <w:rFonts w:ascii="Times New Roman" w:hAnsi="Times New Roman" w:cs="Times New Roman"/>
          <w:color w:val="010000"/>
          <w:sz w:val="24"/>
          <w:szCs w:val="24"/>
        </w:rPr>
        <w:t>son</w:t>
      </w:r>
      <w:r w:rsidR="00B5474A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sustituido</w:t>
      </w:r>
      <w:r w:rsidR="00332B47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B5474A" w:rsidRPr="00364756">
        <w:rPr>
          <w:rFonts w:ascii="Times New Roman" w:hAnsi="Times New Roman" w:cs="Times New Roman"/>
          <w:color w:val="010000"/>
          <w:sz w:val="24"/>
          <w:szCs w:val="24"/>
        </w:rPr>
        <w:t>o reemplazado</w:t>
      </w:r>
      <w:r w:rsidR="00332B47">
        <w:rPr>
          <w:rFonts w:ascii="Times New Roman" w:hAnsi="Times New Roman" w:cs="Times New Roman"/>
          <w:color w:val="010000"/>
          <w:sz w:val="24"/>
          <w:szCs w:val="24"/>
        </w:rPr>
        <w:t>s</w:t>
      </w:r>
      <w:r w:rsidR="00B5474A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por otro </w:t>
      </w:r>
      <w:r w:rsidR="009847CE" w:rsidRPr="00364756">
        <w:rPr>
          <w:rFonts w:ascii="Times New Roman" w:hAnsi="Times New Roman" w:cs="Times New Roman"/>
          <w:color w:val="010000"/>
          <w:sz w:val="24"/>
          <w:szCs w:val="24"/>
        </w:rPr>
        <w:t>que,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si se lleva a cabo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, n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>i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tampoco los que se celebra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>n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y 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se 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>resuelve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>n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con sobreseimiento definitivo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en la etapa </w:t>
      </w:r>
      <w:r w:rsidR="002F464B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de 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juicio previsto en el Código Procesal Penal,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por 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ejemplo, por 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>p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rescripción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, 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>r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eparación integral</w:t>
      </w:r>
      <w:r w:rsidR="00CC6395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del daño</w:t>
      </w:r>
      <w:r w:rsidR="00C42E25" w:rsidRPr="00364756">
        <w:rPr>
          <w:rFonts w:ascii="Times New Roman" w:hAnsi="Times New Roman" w:cs="Times New Roman"/>
          <w:color w:val="010000"/>
          <w:sz w:val="24"/>
          <w:szCs w:val="24"/>
        </w:rPr>
        <w:t>, pago de multa</w:t>
      </w:r>
      <w:r w:rsidR="003B1A9A" w:rsidRPr="00364756">
        <w:rPr>
          <w:rFonts w:ascii="Times New Roman" w:hAnsi="Times New Roman" w:cs="Times New Roman"/>
          <w:color w:val="010000"/>
          <w:sz w:val="24"/>
          <w:szCs w:val="24"/>
        </w:rPr>
        <w:t xml:space="preserve"> y/o conciliación</w:t>
      </w:r>
      <w:r w:rsidRPr="00364756">
        <w:rPr>
          <w:rFonts w:ascii="Times New Roman" w:hAnsi="Times New Roman" w:cs="Times New Roman"/>
          <w:color w:val="010000"/>
          <w:sz w:val="24"/>
          <w:szCs w:val="24"/>
        </w:rPr>
        <w:t>.</w:t>
      </w:r>
    </w:p>
    <w:p w:rsidR="002D3671" w:rsidRPr="00364756" w:rsidRDefault="002D3671" w:rsidP="002D3671">
      <w:pPr>
        <w:pStyle w:val="PredeterminadoLTGliederung1"/>
        <w:spacing w:before="70" w:line="360" w:lineRule="auto"/>
        <w:jc w:val="both"/>
        <w:rPr>
          <w:rFonts w:ascii="Times New Roman" w:hAnsi="Times New Roman" w:cs="Times New Roman"/>
          <w:color w:val="010000"/>
          <w:sz w:val="24"/>
          <w:szCs w:val="24"/>
        </w:rPr>
      </w:pPr>
    </w:p>
    <w:p w:rsidR="007F4D47" w:rsidRPr="00364756" w:rsidRDefault="007F4D47" w:rsidP="007F4D47">
      <w:pPr>
        <w:autoSpaceDE w:val="0"/>
        <w:autoSpaceDN w:val="0"/>
        <w:adjustRightInd w:val="0"/>
        <w:spacing w:line="360" w:lineRule="auto"/>
        <w:jc w:val="both"/>
      </w:pPr>
      <w:r w:rsidRPr="00364756">
        <w:rPr>
          <w:b/>
          <w:bCs/>
        </w:rPr>
        <w:t>ESTRUCTURA DEL FORMULARIO</w:t>
      </w:r>
      <w:r w:rsidRPr="00364756">
        <w:t xml:space="preserve">: </w:t>
      </w:r>
    </w:p>
    <w:p w:rsidR="007F4D47" w:rsidRPr="00364756" w:rsidRDefault="007F4D47" w:rsidP="007F4D47">
      <w:pPr>
        <w:autoSpaceDE w:val="0"/>
        <w:autoSpaceDN w:val="0"/>
        <w:adjustRightInd w:val="0"/>
        <w:spacing w:line="360" w:lineRule="auto"/>
        <w:jc w:val="both"/>
      </w:pPr>
    </w:p>
    <w:p w:rsidR="00A62C41" w:rsidRPr="00364756" w:rsidRDefault="006B49A9" w:rsidP="006B49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364756">
        <w:rPr>
          <w:b/>
          <w:bCs/>
        </w:rPr>
        <w:t xml:space="preserve">Motivo </w:t>
      </w:r>
      <w:r w:rsidR="002D3671" w:rsidRPr="00364756">
        <w:rPr>
          <w:b/>
          <w:bCs/>
        </w:rPr>
        <w:t>de no realización de los debates señalados por los Tribunales Penales</w:t>
      </w:r>
      <w:r w:rsidR="00D15DC3" w:rsidRPr="00364756">
        <w:t xml:space="preserve">: en este bloque se consigna la información referente </w:t>
      </w:r>
      <w:r w:rsidRPr="00364756">
        <w:t>a los motivos de no realización de los debates señalados</w:t>
      </w:r>
      <w:r w:rsidR="002D3671" w:rsidRPr="00364756">
        <w:t xml:space="preserve">. </w:t>
      </w:r>
      <w:r w:rsidRPr="00364756">
        <w:t>En términos generales</w:t>
      </w:r>
      <w:r w:rsidR="00332B47">
        <w:t xml:space="preserve"> se establecen un total de </w:t>
      </w:r>
      <w:r w:rsidR="00C84D82">
        <w:t>68</w:t>
      </w:r>
      <w:r w:rsidR="00332B47">
        <w:t xml:space="preserve"> </w:t>
      </w:r>
      <w:r w:rsidRPr="00364756">
        <w:t>motivos</w:t>
      </w:r>
      <w:r w:rsidR="00332B47">
        <w:t xml:space="preserve"> como justificante para la </w:t>
      </w:r>
      <w:r w:rsidRPr="00364756">
        <w:t>no realización de los debates señalados</w:t>
      </w:r>
      <w:r w:rsidR="00332B47">
        <w:t xml:space="preserve">, siendo el desglose el </w:t>
      </w:r>
      <w:r w:rsidRPr="00364756">
        <w:t xml:space="preserve">siguiente:  </w:t>
      </w:r>
    </w:p>
    <w:p w:rsidR="0041647E" w:rsidRPr="00364756" w:rsidRDefault="0041647E" w:rsidP="0041647E">
      <w:pPr>
        <w:autoSpaceDE w:val="0"/>
        <w:autoSpaceDN w:val="0"/>
        <w:adjustRightInd w:val="0"/>
        <w:spacing w:line="360" w:lineRule="auto"/>
        <w:ind w:left="720"/>
        <w:jc w:val="both"/>
      </w:pPr>
    </w:p>
    <w:tbl>
      <w:tblPr>
        <w:tblpPr w:leftFromText="141" w:rightFromText="141" w:vertAnchor="text" w:tblpY="1"/>
        <w:tblOverlap w:val="never"/>
        <w:tblW w:w="7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898"/>
        <w:gridCol w:w="146"/>
      </w:tblGrid>
      <w:tr w:rsidR="0041647E" w:rsidRPr="00364756" w:rsidTr="00E100DA">
        <w:trPr>
          <w:gridAfter w:val="1"/>
          <w:wAfter w:w="146" w:type="dxa"/>
          <w:trHeight w:val="290"/>
        </w:trPr>
        <w:tc>
          <w:tcPr>
            <w:tcW w:w="70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647E" w:rsidRPr="00364756" w:rsidRDefault="0041647E" w:rsidP="00E100DA">
            <w:pPr>
              <w:jc w:val="center"/>
              <w:rPr>
                <w:b/>
                <w:bCs/>
                <w:lang w:val="es-CR" w:eastAsia="es-CR"/>
              </w:rPr>
            </w:pPr>
            <w:r w:rsidRPr="00364756">
              <w:rPr>
                <w:b/>
                <w:bCs/>
              </w:rPr>
              <w:t>MOTIVO</w:t>
            </w:r>
          </w:p>
        </w:tc>
      </w:tr>
      <w:tr w:rsidR="0041647E" w:rsidRPr="00364756" w:rsidTr="00E100DA">
        <w:trPr>
          <w:trHeight w:val="290"/>
        </w:trPr>
        <w:tc>
          <w:tcPr>
            <w:tcW w:w="70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647E" w:rsidRPr="00364756" w:rsidRDefault="0041647E" w:rsidP="00E100DA">
            <w:pPr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47E" w:rsidRPr="00364756" w:rsidRDefault="0041647E" w:rsidP="00E100DA">
            <w:pPr>
              <w:jc w:val="center"/>
              <w:rPr>
                <w:b/>
                <w:bCs/>
              </w:rPr>
            </w:pPr>
          </w:p>
        </w:tc>
      </w:tr>
      <w:tr w:rsidR="0041647E" w:rsidRPr="00364756" w:rsidTr="00E100DA">
        <w:trPr>
          <w:trHeight w:val="310"/>
        </w:trPr>
        <w:tc>
          <w:tcPr>
            <w:tcW w:w="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47E" w:rsidRPr="00364756" w:rsidRDefault="0041647E" w:rsidP="00E100DA"/>
        </w:tc>
        <w:tc>
          <w:tcPr>
            <w:tcW w:w="146" w:type="dxa"/>
            <w:vAlign w:val="center"/>
            <w:hideMark/>
          </w:tcPr>
          <w:p w:rsidR="0041647E" w:rsidRPr="00364756" w:rsidRDefault="0041647E" w:rsidP="00E100DA"/>
        </w:tc>
      </w:tr>
      <w:tr w:rsidR="0041647E" w:rsidRPr="00364756" w:rsidTr="00E100DA">
        <w:trPr>
          <w:trHeight w:val="290"/>
        </w:trPr>
        <w:tc>
          <w:tcPr>
            <w:tcW w:w="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Acción civil resarcitoria pendiente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Acción Inconstitucionalidad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Actividad procesal defectuosa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Acumulación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Anulado todo lo Actuado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Error Señalamiento Debate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Incompetencia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No se Citó/</w:t>
            </w:r>
            <w:proofErr w:type="spellStart"/>
            <w:r w:rsidRPr="0093755C">
              <w:rPr>
                <w:sz w:val="20"/>
                <w:szCs w:val="20"/>
              </w:rPr>
              <w:t>Not</w:t>
            </w:r>
            <w:proofErr w:type="spellEnd"/>
            <w:r w:rsidRPr="0093755C">
              <w:rPr>
                <w:sz w:val="20"/>
                <w:szCs w:val="20"/>
              </w:rPr>
              <w:t>. Partes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Prejudicialidad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Recalificación del delito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Reorganización de Agenda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Falta Prueba (</w:t>
            </w:r>
            <w:proofErr w:type="spellStart"/>
            <w:r w:rsidRPr="0093755C">
              <w:rPr>
                <w:sz w:val="20"/>
                <w:szCs w:val="20"/>
              </w:rPr>
              <w:t>dict</w:t>
            </w:r>
            <w:proofErr w:type="spellEnd"/>
            <w:r w:rsidRPr="0093755C">
              <w:rPr>
                <w:sz w:val="20"/>
                <w:szCs w:val="20"/>
              </w:rPr>
              <w:t xml:space="preserve">. </w:t>
            </w:r>
            <w:proofErr w:type="spellStart"/>
            <w:r w:rsidRPr="0093755C">
              <w:rPr>
                <w:sz w:val="20"/>
                <w:szCs w:val="20"/>
              </w:rPr>
              <w:t>Perit</w:t>
            </w:r>
            <w:proofErr w:type="spellEnd"/>
            <w:r w:rsidRPr="0093755C">
              <w:rPr>
                <w:sz w:val="20"/>
                <w:szCs w:val="20"/>
              </w:rPr>
              <w:t>. etc.)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Inhibitoria Juez/a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No Hay Juez Nombrado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Choque de debates (Defensor/a)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Choques Debates (fiscal/a)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Choque de debates (Procurador/a)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Consulta a Sala Constitucional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Juez/a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Juez/a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Defensor/a Público/a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Defensor/a Público/a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Fiscal/a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Fiscal/a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Cambio Defensor Público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Solicitud Defensor/a Público/a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Por </w:t>
            </w:r>
            <w:proofErr w:type="spellStart"/>
            <w:r w:rsidRPr="0093755C">
              <w:rPr>
                <w:sz w:val="20"/>
                <w:szCs w:val="20"/>
              </w:rPr>
              <w:t>Solic</w:t>
            </w:r>
            <w:proofErr w:type="spellEnd"/>
            <w:r w:rsidRPr="0093755C">
              <w:rPr>
                <w:sz w:val="20"/>
                <w:szCs w:val="20"/>
              </w:rPr>
              <w:t xml:space="preserve">. Ministerio Público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No se Trasladó persona detenida por causa del despacho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Cárceles del OIJ no traslado a la persona privada de libertad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No traslado de la persona privada de libertad por indicación del Ministerio de Justicia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No traslado por Sección de Cárceles por orden sanitaria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Se dicta sobreseimiento previo al señalamiento</w:t>
            </w:r>
          </w:p>
          <w:p w:rsidR="0041647E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Por aplicación de Medida Altern</w:t>
            </w:r>
            <w:r>
              <w:rPr>
                <w:sz w:val="20"/>
                <w:szCs w:val="20"/>
              </w:rPr>
              <w:t>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Defensor/a Privado/a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Defensor/a Privado/a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Actor/a Civil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Actor/a Civil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Procurador/a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Procurador/a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Testigos debidamente citados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del representante del querellante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Imputado/a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Imputado/a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Intérprete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Ofendido/a (Injustificada)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Ofendido/a (Justificada)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Cambio de Centro de Atención Institucional (sin com.)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Imputado/a se presentó tarde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Persona Imputada se acoge a </w:t>
            </w:r>
            <w:proofErr w:type="spellStart"/>
            <w:r w:rsidRPr="0093755C">
              <w:rPr>
                <w:sz w:val="20"/>
                <w:szCs w:val="20"/>
              </w:rPr>
              <w:t>Proc</w:t>
            </w:r>
            <w:proofErr w:type="spellEnd"/>
            <w:r w:rsidRPr="0093755C">
              <w:rPr>
                <w:sz w:val="20"/>
                <w:szCs w:val="20"/>
              </w:rPr>
              <w:t>. Abreviado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Intereses contrapuestos 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Ausencia del representante del actor civil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Por Desastre natural /Fuerza mayor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Solicitud Defensor/a Privado/a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Solicitud Procurador/a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Rebeldía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Limitación uso de la Sala por requerimiento sanitario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 xml:space="preserve">Limitación en el uso de las herramientas </w:t>
            </w:r>
            <w:proofErr w:type="spellStart"/>
            <w:r w:rsidRPr="0093755C">
              <w:rPr>
                <w:sz w:val="20"/>
                <w:szCs w:val="20"/>
              </w:rPr>
              <w:t>tecnologicas</w:t>
            </w:r>
            <w:proofErr w:type="spellEnd"/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Falta de conexión para realizar videoconferencia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3755C">
              <w:rPr>
                <w:sz w:val="20"/>
                <w:szCs w:val="20"/>
              </w:rPr>
              <w:t>Just.Rest</w:t>
            </w:r>
            <w:proofErr w:type="spellEnd"/>
            <w:r w:rsidRPr="0093755C">
              <w:rPr>
                <w:sz w:val="20"/>
                <w:szCs w:val="20"/>
              </w:rPr>
              <w:t>. No se presentó abogado particular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3755C">
              <w:rPr>
                <w:sz w:val="20"/>
                <w:szCs w:val="20"/>
              </w:rPr>
              <w:t>Just.Rest</w:t>
            </w:r>
            <w:proofErr w:type="spellEnd"/>
            <w:r w:rsidRPr="0093755C">
              <w:rPr>
                <w:sz w:val="20"/>
                <w:szCs w:val="20"/>
              </w:rPr>
              <w:t>. Persona ofensora no se presentó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3755C">
              <w:rPr>
                <w:sz w:val="20"/>
                <w:szCs w:val="20"/>
              </w:rPr>
              <w:t>Just.Rest</w:t>
            </w:r>
            <w:proofErr w:type="spellEnd"/>
            <w:r w:rsidRPr="0093755C">
              <w:rPr>
                <w:sz w:val="20"/>
                <w:szCs w:val="20"/>
              </w:rPr>
              <w:t>. Persona víctima no se presentó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3755C">
              <w:rPr>
                <w:sz w:val="20"/>
                <w:szCs w:val="20"/>
              </w:rPr>
              <w:t>Just.Rest</w:t>
            </w:r>
            <w:proofErr w:type="spellEnd"/>
            <w:r w:rsidRPr="0093755C">
              <w:rPr>
                <w:sz w:val="20"/>
                <w:szCs w:val="20"/>
              </w:rPr>
              <w:t>. Renuncia voluntaria de una de las partes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Las partes solicitan reprogramación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93755C">
              <w:rPr>
                <w:sz w:val="20"/>
                <w:szCs w:val="20"/>
              </w:rPr>
              <w:t>Muerte imputado</w:t>
            </w:r>
            <w:proofErr w:type="gramEnd"/>
            <w:r w:rsidRPr="0093755C">
              <w:rPr>
                <w:sz w:val="20"/>
                <w:szCs w:val="20"/>
              </w:rPr>
              <w:t>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Renuncia Defensor/a Privado/a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Renuncia Defensor/a Público/a</w:t>
            </w:r>
          </w:p>
          <w:p w:rsidR="0093755C" w:rsidRPr="0093755C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Cortes del fluido eléctrico</w:t>
            </w:r>
          </w:p>
          <w:p w:rsidR="0093755C" w:rsidRPr="001A68A5" w:rsidRDefault="0093755C" w:rsidP="00E100D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755C">
              <w:rPr>
                <w:sz w:val="20"/>
                <w:szCs w:val="20"/>
              </w:rPr>
              <w:t>Circular 47-2020</w:t>
            </w:r>
          </w:p>
        </w:tc>
        <w:tc>
          <w:tcPr>
            <w:tcW w:w="146" w:type="dxa"/>
            <w:vAlign w:val="center"/>
            <w:hideMark/>
          </w:tcPr>
          <w:p w:rsidR="0041647E" w:rsidRPr="00364756" w:rsidRDefault="0041647E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vAlign w:val="center"/>
            <w:hideMark/>
          </w:tcPr>
          <w:p w:rsidR="0093755C" w:rsidRPr="00364756" w:rsidRDefault="0093755C" w:rsidP="00E100DA"/>
        </w:tc>
      </w:tr>
      <w:tr w:rsidR="0093755C" w:rsidRPr="00364756" w:rsidTr="00E100DA">
        <w:trPr>
          <w:gridAfter w:val="2"/>
          <w:wAfter w:w="7044" w:type="dxa"/>
          <w:trHeight w:val="290"/>
        </w:trPr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:rsidR="0093755C" w:rsidRPr="00364756" w:rsidRDefault="0093755C" w:rsidP="00E100DA"/>
        </w:tc>
      </w:tr>
    </w:tbl>
    <w:p w:rsidR="0041647E" w:rsidRPr="009166DA" w:rsidRDefault="0041647E" w:rsidP="00E100DA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</w:p>
    <w:sectPr w:rsidR="0041647E" w:rsidRPr="00916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BC4"/>
    <w:multiLevelType w:val="multilevel"/>
    <w:tmpl w:val="67F8F37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227C332C"/>
    <w:multiLevelType w:val="hybridMultilevel"/>
    <w:tmpl w:val="9B28B39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7171"/>
    <w:multiLevelType w:val="hybridMultilevel"/>
    <w:tmpl w:val="41E8CC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56"/>
    <w:rsid w:val="000F20D3"/>
    <w:rsid w:val="001A68A5"/>
    <w:rsid w:val="001E27D7"/>
    <w:rsid w:val="002A5AD4"/>
    <w:rsid w:val="002D3671"/>
    <w:rsid w:val="002F464B"/>
    <w:rsid w:val="002F7BCD"/>
    <w:rsid w:val="00332479"/>
    <w:rsid w:val="00332B47"/>
    <w:rsid w:val="00357DB5"/>
    <w:rsid w:val="00364756"/>
    <w:rsid w:val="0039143D"/>
    <w:rsid w:val="003961E9"/>
    <w:rsid w:val="003B1A9A"/>
    <w:rsid w:val="0041647E"/>
    <w:rsid w:val="00524F31"/>
    <w:rsid w:val="0056429B"/>
    <w:rsid w:val="005B30A1"/>
    <w:rsid w:val="0066320E"/>
    <w:rsid w:val="006B49A9"/>
    <w:rsid w:val="006C2356"/>
    <w:rsid w:val="00701FFF"/>
    <w:rsid w:val="0079328E"/>
    <w:rsid w:val="007F4D47"/>
    <w:rsid w:val="008320FE"/>
    <w:rsid w:val="008C3E2F"/>
    <w:rsid w:val="009166DA"/>
    <w:rsid w:val="00934309"/>
    <w:rsid w:val="0093755C"/>
    <w:rsid w:val="00962A9E"/>
    <w:rsid w:val="009847CE"/>
    <w:rsid w:val="009B6B87"/>
    <w:rsid w:val="00A62C41"/>
    <w:rsid w:val="00AC2310"/>
    <w:rsid w:val="00B5474A"/>
    <w:rsid w:val="00BD295E"/>
    <w:rsid w:val="00C06B19"/>
    <w:rsid w:val="00C42E25"/>
    <w:rsid w:val="00C84D82"/>
    <w:rsid w:val="00CC6395"/>
    <w:rsid w:val="00D15DC3"/>
    <w:rsid w:val="00E100DA"/>
    <w:rsid w:val="00F422C9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D9CD5-C656-422B-9D15-6CE85762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56"/>
    <w:rPr>
      <w:sz w:val="24"/>
      <w:szCs w:val="24"/>
      <w:lang w:val="es-ES" w:eastAsia="es-ES"/>
    </w:rPr>
  </w:style>
  <w:style w:type="character" w:default="1" w:styleId="Fuentedeprrafopredeter">
    <w:name w:val="Default Paragraph Font"/>
    <w:link w:val="Car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Car">
    <w:name w:val="Car"/>
    <w:basedOn w:val="Normal"/>
    <w:link w:val="Fuentedeprrafopredeter"/>
    <w:semiHidden/>
    <w:rsid w:val="006C2356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paragraph" w:styleId="Textoindependiente">
    <w:name w:val="Body Text"/>
    <w:basedOn w:val="Normal"/>
    <w:rsid w:val="006C23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  <w:shd w:val="clear" w:color="auto" w:fill="FFFFFF"/>
    </w:rPr>
  </w:style>
  <w:style w:type="paragraph" w:customStyle="1" w:styleId="PredeterminadoLTGliederung1">
    <w:name w:val="Predeterminado~LT~Gliederung 1"/>
    <w:rsid w:val="009166DA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39"/>
    </w:pPr>
    <w:rPr>
      <w:rFonts w:ascii="Mangal" w:eastAsia="Microsoft YaHei" w:hAnsi="Mangal" w:cs="Mangal"/>
      <w:color w:val="009999"/>
      <w:sz w:val="56"/>
      <w:szCs w:val="56"/>
      <w:lang w:val="es-ES" w:eastAsia="es-ES"/>
    </w:rPr>
  </w:style>
  <w:style w:type="paragraph" w:customStyle="1" w:styleId="Ttulo4">
    <w:name w:val="T’tulo 4"/>
    <w:basedOn w:val="Normal"/>
    <w:next w:val="Normal"/>
    <w:rsid w:val="002A5AD4"/>
    <w:pPr>
      <w:keepNext/>
      <w:autoSpaceDE w:val="0"/>
      <w:autoSpaceDN w:val="0"/>
      <w:jc w:val="center"/>
    </w:pPr>
    <w:rPr>
      <w:rFonts w:ascii="Arial" w:hAnsi="Arial" w:cs="Arial"/>
      <w:b/>
      <w:bCs/>
      <w:sz w:val="14"/>
      <w:szCs w:val="14"/>
      <w:lang w:val="en-US"/>
    </w:rPr>
  </w:style>
  <w:style w:type="table" w:styleId="Tablaconcuadrcula">
    <w:name w:val="Table Grid"/>
    <w:basedOn w:val="Tablanormal"/>
    <w:rsid w:val="002D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Instructivo:</vt:lpstr>
    </vt:vector>
  </TitlesOfParts>
  <Company>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Instructivo:</dc:title>
  <dc:subject/>
  <dc:creator>arodrigueza</dc:creator>
  <cp:keywords/>
  <dc:description/>
  <cp:lastModifiedBy>Secretaría General de la Corte - Comunicaciones- Randy Córdoba Fallas</cp:lastModifiedBy>
  <cp:revision>1</cp:revision>
  <dcterms:created xsi:type="dcterms:W3CDTF">2023-08-08T17:26:00Z</dcterms:created>
  <dcterms:modified xsi:type="dcterms:W3CDTF">2023-08-08T17:26:00Z</dcterms:modified>
</cp:coreProperties>
</file>