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634B" w:rsidRDefault="00B5634B" w:rsidP="00B563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  <w:lang w:val="en-US" w:eastAsia="es-CR"/>
        </w:rPr>
      </w:pPr>
      <w:bookmarkStart w:id="0" w:name="_Toc104818104"/>
      <w:r w:rsidRPr="00B5634B">
        <w:rPr>
          <w:rFonts w:ascii="Arial" w:eastAsia="Times New Roman" w:hAnsi="Arial" w:cs="Arial"/>
          <w:b/>
          <w:bCs/>
          <w:sz w:val="36"/>
          <w:szCs w:val="36"/>
          <w:lang w:val="en-US" w:eastAsia="es-CR"/>
        </w:rPr>
        <w:t>Ley N° 10257</w:t>
      </w:r>
      <w:bookmarkEnd w:id="0"/>
    </w:p>
    <w:p w:rsidR="00B5634B" w:rsidRPr="00B5634B" w:rsidRDefault="00B5634B" w:rsidP="00B563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  <w:lang w:eastAsia="es-CR"/>
        </w:rPr>
      </w:pPr>
    </w:p>
    <w:p w:rsidR="00B5634B" w:rsidRPr="00B5634B" w:rsidRDefault="00B5634B" w:rsidP="00B563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CR"/>
        </w:rPr>
      </w:pPr>
      <w:r w:rsidRPr="00B5634B">
        <w:rPr>
          <w:rFonts w:ascii="Arial" w:eastAsia="Times New Roman" w:hAnsi="Arial" w:cs="Arial"/>
          <w:b/>
          <w:bCs/>
          <w:sz w:val="24"/>
          <w:szCs w:val="24"/>
          <w:lang w:val="en-US" w:eastAsia="es-CR"/>
        </w:rPr>
        <w:t>REFORMA DE LOS ARTÍCULOS 153 Y 154 DE LA</w:t>
      </w:r>
    </w:p>
    <w:p w:rsidR="00B5634B" w:rsidRPr="00B5634B" w:rsidRDefault="00B5634B" w:rsidP="00B563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CR"/>
        </w:rPr>
      </w:pPr>
      <w:r w:rsidRPr="00B5634B">
        <w:rPr>
          <w:rFonts w:ascii="Arial" w:eastAsia="Times New Roman" w:hAnsi="Arial" w:cs="Arial"/>
          <w:b/>
          <w:bCs/>
          <w:sz w:val="24"/>
          <w:szCs w:val="24"/>
          <w:lang w:val="en-US" w:eastAsia="es-CR"/>
        </w:rPr>
        <w:t>LEY ORGÁNICA DEL PODER JUDICIAL PARA</w:t>
      </w:r>
    </w:p>
    <w:p w:rsidR="00B5634B" w:rsidRPr="00B5634B" w:rsidRDefault="00B5634B" w:rsidP="00B563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CR"/>
        </w:rPr>
      </w:pPr>
      <w:r w:rsidRPr="00B5634B">
        <w:rPr>
          <w:rFonts w:ascii="Arial" w:eastAsia="Times New Roman" w:hAnsi="Arial" w:cs="Arial"/>
          <w:b/>
          <w:bCs/>
          <w:sz w:val="24"/>
          <w:szCs w:val="24"/>
          <w:lang w:val="en-US" w:eastAsia="es-CR"/>
        </w:rPr>
        <w:t>GARANTIZAR EL FINANCIAMIENTO</w:t>
      </w:r>
    </w:p>
    <w:p w:rsidR="00B5634B" w:rsidRPr="00B5634B" w:rsidRDefault="00B5634B" w:rsidP="00B563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CR"/>
        </w:rPr>
      </w:pPr>
      <w:r w:rsidRPr="00B5634B">
        <w:rPr>
          <w:rFonts w:ascii="Arial" w:eastAsia="Times New Roman" w:hAnsi="Arial" w:cs="Arial"/>
          <w:b/>
          <w:bCs/>
          <w:sz w:val="24"/>
          <w:szCs w:val="24"/>
          <w:lang w:val="en-US" w:eastAsia="es-CR"/>
        </w:rPr>
        <w:t>DE LAS SECCIONES ESPECIALIZADAS</w:t>
      </w:r>
    </w:p>
    <w:p w:rsidR="00B5634B" w:rsidRPr="00B5634B" w:rsidRDefault="00B5634B" w:rsidP="00B563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173"/>
          <w:sz w:val="24"/>
          <w:szCs w:val="24"/>
          <w:lang w:eastAsia="es-CR"/>
        </w:rPr>
      </w:pPr>
      <w:r w:rsidRPr="00B5634B">
        <w:rPr>
          <w:rFonts w:ascii="Arial" w:eastAsia="Times New Roman" w:hAnsi="Arial" w:cs="Arial"/>
          <w:b/>
          <w:bCs/>
          <w:sz w:val="24"/>
          <w:szCs w:val="24"/>
          <w:lang w:val="en-US" w:eastAsia="es-CR"/>
        </w:rPr>
        <w:t>DE LA DEFENSA PÚBLICA</w:t>
      </w:r>
    </w:p>
    <w:p w:rsidR="00B5634B" w:rsidRDefault="00B5634B" w:rsidP="00B5634B"/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b/>
          <w:bCs/>
          <w:sz w:val="24"/>
          <w:szCs w:val="24"/>
        </w:rPr>
        <w:t>ARTÍCULO 1-</w:t>
      </w:r>
      <w:r w:rsidRPr="00B5634B">
        <w:rPr>
          <w:rFonts w:ascii="Arial" w:hAnsi="Arial" w:cs="Arial"/>
          <w:sz w:val="24"/>
          <w:szCs w:val="24"/>
        </w:rPr>
        <w:t xml:space="preserve">     Se reforman los artículos 153 y 154 de la Ley Orgánica del Poder Judicial, N.• 7333, de 5 de mayo de 1993, y sus reformas. Los textos son los siguientes: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Artículo 153- La Jefatura de la Defensa Pública o quien esta designe gestionará ante la autoridad judicial o administrativa correspondiente la fijación y el cobro de los honorarios por los servicios prestados, en el momento que la persona usuaria prescinda de sus servicios y las costas cuando el proceso que se está tramitando finalice con sentencia firme. Estos extremos podrán ser cobrados, según corresponda, a las personas usuarias con recursos económicos demostrados para cancelarlos o a la contraparte vencida.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La certificación que expida la autoridad correspondiente sobre el monto de los honorarios o costas constituirá título ejecutivo. De oficio o a solicitud de parte, la autoridad que conoce del proceso ordenará que se brinde una garantía preventiva de carácter real o pecuniaria suficiente mientras el proceso esté en trámite y finalizado este se ordene el embargo de bienes del deudor, en cantidad suficiente para garantizar el pago de los dineros adeudados a la Defensa Pública.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El defensor a quien corresponda efectuar las diligencias para el pago de los honorarios y/o costas únicamente deberá realizar gestiones instando a la parte a que cumpla con el debido pago de los honorarios y/o costas ya fijadas por la autoridad. En caso de que la persona obligada se niegue a realizar el pago, el defensor a cargo del proceso realizará el cobro dentro del mismo proceso. Si por la naturaleza del proceso esto no es posible, lo informará a la Jefatura de la Defensa Pública para trasladarlo a la Dirección Jurídica del Poder Judicial, a fin de que esta valore, con base en los principios de razonabilidad y proporcionalidad, la procedencia de realizar el proceso de cobro judicial. De estimarlo procedente, lo enviará a la Procuraduría General de la República, para que realice el cobro correspondiente a favor de la Defensa Pública.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En los procesos en que participe la Defensa Pública deberá solicitarse la condenatoria en costas y/o honorarios a favor de esta, siempre que proceda. Cuando se produzca la condenatoria, los recursos se destinarán al financiamiento y fortalecimiento de la sección especializada que genere el ingreso, conforme lo dispongan las leyes para cada materia. La persona defensora pública o abogada de asistencia social podrá renunciar al cobro de honorarios y/o costas que correspondan a la institución, cuando sea pertinente para facilitar la resolución alterna del conflicto, según su criterio técnico, avalado por quien la Jefatura de la Defensa Pública indique.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La fijación y el cobro de honorarios y costas para la materia laboral se regirán por las disposiciones del Código de Trabajo, Ley N° 2, de 27 de agosto de 1943, y sus reformas. que prevalecerán sobre lo aquí establecido.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Artículo 154-             Los fondos provenientes de honorarios y/o costas se depositarán en una cuenta bancaria especial de la Defensa Pública y se emplearán exclusivamente para adquirir bienes y servicios tendientes a mejorar la Defensa Pública, salvo lo dispuesto en el artículo 454 del Código de Trabajo para la materia laboral y lo establecido en la distribución de los dineros por costas personales que se generen a favor de la parte patrocinada por la defensa pública agraria que se regirán por lo dispuesto en el artículo 47, “Patrocinio letrado a cargo de la Defensa Pública”, del Código Procesal Agrario, Ley N° 9609, de 27 de setiembre de 2018.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b/>
          <w:bCs/>
          <w:sz w:val="24"/>
          <w:szCs w:val="24"/>
        </w:rPr>
        <w:t xml:space="preserve">ARTÍCULO 2- </w:t>
      </w:r>
      <w:r w:rsidRPr="00B5634B">
        <w:rPr>
          <w:rFonts w:ascii="Arial" w:hAnsi="Arial" w:cs="Arial"/>
          <w:sz w:val="24"/>
          <w:szCs w:val="24"/>
        </w:rPr>
        <w:t xml:space="preserve">    Se adiciona un nuevo inciso i) al artículo 12 de la Ley de Resolución Alterna de Conflictos y Promoción de la Paz Social, N.0 7727, de 09 de diciembre de 1997, y sus reformas. El texto es el siguiente: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Artículo 12-               Requisitos de los acuerdos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Los acuerdos adoptados con motivo de un proceso de mediación 0 conciliación, judicial o extrajudicial, deberán cumplir los siguientes requisitos: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i)   Haber cancelado el monto correspondiente por costas y/o honorarios por los servicios prestados por la Defensa Pública, de conformidad con los artículos 153 y 154 de la Ley Orgánica del Poder Judicial, 7333, de 5 de mayo de 1993, y sus reformas.</w:t>
      </w:r>
    </w:p>
    <w:p w:rsidR="00B5634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</w:p>
    <w:p w:rsidR="00DB145B" w:rsidRPr="00B5634B" w:rsidRDefault="00B5634B" w:rsidP="00B5634B">
      <w:pPr>
        <w:jc w:val="both"/>
        <w:rPr>
          <w:rFonts w:ascii="Arial" w:hAnsi="Arial" w:cs="Arial"/>
          <w:sz w:val="24"/>
          <w:szCs w:val="24"/>
        </w:rPr>
      </w:pPr>
      <w:r w:rsidRPr="00B5634B">
        <w:rPr>
          <w:rFonts w:ascii="Arial" w:hAnsi="Arial" w:cs="Arial"/>
          <w:sz w:val="24"/>
          <w:szCs w:val="24"/>
        </w:rPr>
        <w:t>Rige a partir de su publicación.</w:t>
      </w:r>
    </w:p>
    <w:sectPr w:rsidR="00DB145B" w:rsidRPr="00B563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4B"/>
    <w:rsid w:val="00592D0E"/>
    <w:rsid w:val="00B5634B"/>
    <w:rsid w:val="00DB145B"/>
    <w:rsid w:val="00FB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BDFF"/>
  <w15:chartTrackingRefBased/>
  <w15:docId w15:val="{1981FCA4-BDBF-4F87-AB45-82F3E415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563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5634B"/>
    <w:rPr>
      <w:rFonts w:ascii="Times New Roman" w:eastAsia="Times New Roman" w:hAnsi="Times New Roman" w:cs="Times New Roman"/>
      <w:b/>
      <w:bCs/>
      <w:sz w:val="27"/>
      <w:szCs w:val="27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Piedra Hidalgo</dc:creator>
  <cp:keywords/>
  <dc:description/>
  <cp:lastModifiedBy>Secretaría General de la Corte - Comunicaciones - Melany Villalobos Granados.</cp:lastModifiedBy>
  <cp:revision>1</cp:revision>
  <dcterms:created xsi:type="dcterms:W3CDTF">2022-07-13T15:48:00Z</dcterms:created>
  <dcterms:modified xsi:type="dcterms:W3CDTF">2022-07-13T15:48:00Z</dcterms:modified>
</cp:coreProperties>
</file>