
<file path=[Content_Types].xml><?xml version="1.0" encoding="utf-8"?>
<Types xmlns="http://schemas.openxmlformats.org/package/2006/content-types">
  <Default Extension="bin" ContentType="application/vnd.openxmlformats-officedocument.oleObject"/>
  <Default Extension="docx" ContentType="application/vnd.openxmlformats-officedocument.wordprocessingml.document"/>
  <Default Extension="emf" ContentType="image/x-emf"/>
  <Default Extension="jpeg" ContentType="image/jpeg"/>
  <Default Extension="png" ContentType="image/png"/>
  <Default Extension="pptx" ContentType="application/vnd.openxmlformats-officedocument.presentationml.presentation"/>
  <Default Extension="rels" ContentType="application/vnd.openxmlformats-package.relationships+xml"/>
  <Default Extension="svg" ContentType="image/svg+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theme/themeOverride5.xml" ContentType="application/vnd.openxmlformats-officedocument.themeOverrid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6.xml" ContentType="application/vnd.openxmlformats-officedocument.themeOverride+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7.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D3DBDC0" w14:textId="0B6ECB96" w:rsidR="0029216A" w:rsidRPr="00D106C9" w:rsidRDefault="006312AE" w:rsidP="00D106C9">
      <w:pPr>
        <w:pStyle w:val="Ttulo7"/>
        <w:tabs>
          <w:tab w:val="clear" w:pos="0"/>
          <w:tab w:val="left" w:pos="4280"/>
        </w:tabs>
        <w:ind w:left="4248"/>
        <w:jc w:val="both"/>
        <w:rPr>
          <w:rFonts w:ascii="Times New Roman" w:hAnsi="Times New Roman"/>
          <w:bCs w:val="0"/>
          <w:u w:val="none"/>
          <w:lang w:val="es-ES_tradnl"/>
        </w:rPr>
      </w:pPr>
      <w:r w:rsidRPr="00D106C9">
        <w:rPr>
          <w:rFonts w:ascii="Times New Roman" w:hAnsi="Times New Roman"/>
          <w:bCs w:val="0"/>
          <w:u w:val="none"/>
          <w:lang w:val="es-ES_tradnl"/>
        </w:rPr>
        <w:t>San José,</w:t>
      </w:r>
      <w:r w:rsidR="00D93E61" w:rsidRPr="00D106C9">
        <w:rPr>
          <w:rFonts w:ascii="Times New Roman" w:hAnsi="Times New Roman"/>
          <w:bCs w:val="0"/>
          <w:u w:val="none"/>
          <w:lang w:val="es-ES_tradnl"/>
        </w:rPr>
        <w:t xml:space="preserve"> </w:t>
      </w:r>
      <w:r w:rsidR="0087011D" w:rsidRPr="00D106C9">
        <w:rPr>
          <w:rFonts w:ascii="Times New Roman" w:hAnsi="Times New Roman"/>
          <w:bCs w:val="0"/>
          <w:u w:val="none"/>
          <w:lang w:val="es-ES_tradnl"/>
        </w:rPr>
        <w:t>10</w:t>
      </w:r>
      <w:r w:rsidR="00462450" w:rsidRPr="00D106C9">
        <w:rPr>
          <w:rFonts w:ascii="Times New Roman" w:hAnsi="Times New Roman"/>
          <w:bCs w:val="0"/>
          <w:u w:val="none"/>
          <w:lang w:val="es-ES_tradnl"/>
        </w:rPr>
        <w:t xml:space="preserve"> </w:t>
      </w:r>
      <w:r w:rsidR="006A694A" w:rsidRPr="00D106C9">
        <w:rPr>
          <w:rFonts w:ascii="Times New Roman" w:hAnsi="Times New Roman"/>
          <w:bCs w:val="0"/>
          <w:u w:val="none"/>
          <w:lang w:val="es-ES_tradnl"/>
        </w:rPr>
        <w:t xml:space="preserve">de </w:t>
      </w:r>
      <w:r w:rsidR="0087011D" w:rsidRPr="00D106C9">
        <w:rPr>
          <w:rFonts w:ascii="Times New Roman" w:hAnsi="Times New Roman"/>
          <w:bCs w:val="0"/>
          <w:u w:val="none"/>
          <w:lang w:val="es-ES_tradnl"/>
        </w:rPr>
        <w:t>junio</w:t>
      </w:r>
      <w:r w:rsidR="00623C80" w:rsidRPr="00D106C9">
        <w:rPr>
          <w:rFonts w:ascii="Times New Roman" w:hAnsi="Times New Roman"/>
          <w:bCs w:val="0"/>
          <w:u w:val="none"/>
          <w:lang w:val="es-ES_tradnl"/>
        </w:rPr>
        <w:t xml:space="preserve"> </w:t>
      </w:r>
      <w:r w:rsidR="00860FA5" w:rsidRPr="00D106C9">
        <w:rPr>
          <w:rFonts w:ascii="Times New Roman" w:hAnsi="Times New Roman"/>
          <w:bCs w:val="0"/>
          <w:u w:val="none"/>
          <w:lang w:val="es-ES_tradnl"/>
        </w:rPr>
        <w:t>de 20</w:t>
      </w:r>
      <w:r w:rsidR="00DB11FE" w:rsidRPr="00D106C9">
        <w:rPr>
          <w:rFonts w:ascii="Times New Roman" w:hAnsi="Times New Roman"/>
          <w:bCs w:val="0"/>
          <w:u w:val="none"/>
          <w:lang w:val="es-ES_tradnl"/>
        </w:rPr>
        <w:t>2</w:t>
      </w:r>
      <w:r w:rsidR="00FE77B3" w:rsidRPr="00D106C9">
        <w:rPr>
          <w:rFonts w:ascii="Times New Roman" w:hAnsi="Times New Roman"/>
          <w:bCs w:val="0"/>
          <w:u w:val="none"/>
          <w:lang w:val="es-ES_tradnl"/>
        </w:rPr>
        <w:t>2</w:t>
      </w:r>
    </w:p>
    <w:p w14:paraId="54A54810" w14:textId="5ED39F97" w:rsidR="0029216A" w:rsidRPr="00D106C9" w:rsidRDefault="00860FA5" w:rsidP="00D106C9">
      <w:pPr>
        <w:pStyle w:val="Ttulo7"/>
        <w:tabs>
          <w:tab w:val="clear" w:pos="0"/>
          <w:tab w:val="left" w:pos="4280"/>
        </w:tabs>
        <w:ind w:left="4248"/>
        <w:jc w:val="both"/>
        <w:rPr>
          <w:rFonts w:ascii="Times New Roman" w:hAnsi="Times New Roman"/>
          <w:u w:val="none"/>
          <w:lang w:val="es-ES_tradnl"/>
        </w:rPr>
      </w:pPr>
      <w:proofErr w:type="spellStart"/>
      <w:r w:rsidRPr="00D106C9">
        <w:rPr>
          <w:rFonts w:ascii="Times New Roman" w:hAnsi="Times New Roman"/>
          <w:u w:val="none"/>
          <w:lang w:val="es-ES_tradnl"/>
        </w:rPr>
        <w:t>N°</w:t>
      </w:r>
      <w:proofErr w:type="spellEnd"/>
      <w:r w:rsidRPr="00D106C9">
        <w:rPr>
          <w:rFonts w:ascii="Times New Roman" w:hAnsi="Times New Roman"/>
          <w:u w:val="none"/>
          <w:lang w:val="es-ES_tradnl"/>
        </w:rPr>
        <w:t xml:space="preserve"> </w:t>
      </w:r>
      <w:r w:rsidR="009042C7" w:rsidRPr="00D106C9">
        <w:rPr>
          <w:rFonts w:ascii="Times New Roman" w:hAnsi="Times New Roman"/>
          <w:u w:val="none"/>
          <w:lang w:val="es-ES_tradnl"/>
        </w:rPr>
        <w:t>5</w:t>
      </w:r>
      <w:r w:rsidR="0087011D" w:rsidRPr="00D106C9">
        <w:rPr>
          <w:rFonts w:ascii="Times New Roman" w:hAnsi="Times New Roman"/>
          <w:u w:val="none"/>
          <w:lang w:val="es-ES_tradnl"/>
        </w:rPr>
        <w:t>9</w:t>
      </w:r>
      <w:r w:rsidR="00D106C9">
        <w:rPr>
          <w:rFonts w:ascii="Times New Roman" w:hAnsi="Times New Roman"/>
          <w:u w:val="none"/>
          <w:lang w:val="es-ES_tradnl"/>
        </w:rPr>
        <w:t>16</w:t>
      </w:r>
      <w:r w:rsidR="00EE0C90" w:rsidRPr="00D106C9">
        <w:rPr>
          <w:rFonts w:ascii="Times New Roman" w:hAnsi="Times New Roman"/>
          <w:u w:val="none"/>
          <w:lang w:val="es-ES_tradnl"/>
        </w:rPr>
        <w:t>-</w:t>
      </w:r>
      <w:r w:rsidR="00AB3ECC" w:rsidRPr="00D106C9">
        <w:rPr>
          <w:rFonts w:ascii="Times New Roman" w:hAnsi="Times New Roman"/>
          <w:u w:val="none"/>
          <w:lang w:val="es-ES_tradnl"/>
        </w:rPr>
        <w:t>2</w:t>
      </w:r>
      <w:r w:rsidR="00DB11FE" w:rsidRPr="00D106C9">
        <w:rPr>
          <w:rFonts w:ascii="Times New Roman" w:hAnsi="Times New Roman"/>
          <w:u w:val="none"/>
          <w:lang w:val="es-ES_tradnl"/>
        </w:rPr>
        <w:t>02</w:t>
      </w:r>
      <w:r w:rsidR="00FE77B3" w:rsidRPr="00D106C9">
        <w:rPr>
          <w:rFonts w:ascii="Times New Roman" w:hAnsi="Times New Roman"/>
          <w:u w:val="none"/>
          <w:lang w:val="es-ES_tradnl"/>
        </w:rPr>
        <w:t>2</w:t>
      </w:r>
    </w:p>
    <w:p w14:paraId="1A6CE638" w14:textId="6CC4952B" w:rsidR="00324EE2" w:rsidRPr="00D106C9" w:rsidRDefault="0029216A" w:rsidP="00D106C9">
      <w:pPr>
        <w:pStyle w:val="Ttulo7"/>
        <w:tabs>
          <w:tab w:val="clear" w:pos="0"/>
          <w:tab w:val="left" w:pos="4280"/>
        </w:tabs>
        <w:ind w:left="4248"/>
        <w:jc w:val="both"/>
        <w:rPr>
          <w:rFonts w:ascii="Times New Roman" w:hAnsi="Times New Roman"/>
          <w:u w:val="none"/>
          <w:lang w:val="es-CR"/>
        </w:rPr>
      </w:pPr>
      <w:r w:rsidRPr="00D106C9">
        <w:rPr>
          <w:rFonts w:ascii="Times New Roman" w:hAnsi="Times New Roman"/>
          <w:u w:val="none"/>
          <w:lang w:val="es-CR"/>
        </w:rPr>
        <w:t>Al contestar refiérase a este # de oficio</w:t>
      </w:r>
    </w:p>
    <w:p w14:paraId="4DAF0D04" w14:textId="77777777" w:rsidR="00D0131D" w:rsidRPr="00D106C9" w:rsidRDefault="00D0131D" w:rsidP="00D106C9">
      <w:pPr>
        <w:autoSpaceDE w:val="0"/>
        <w:snapToGrid w:val="0"/>
        <w:rPr>
          <w:b/>
          <w:bCs/>
        </w:rPr>
      </w:pPr>
    </w:p>
    <w:p w14:paraId="46F6ED17" w14:textId="77777777" w:rsidR="00B416B3" w:rsidRPr="00D106C9" w:rsidRDefault="00B416B3" w:rsidP="00D106C9">
      <w:pPr>
        <w:autoSpaceDE w:val="0"/>
        <w:snapToGrid w:val="0"/>
        <w:jc w:val="both"/>
        <w:rPr>
          <w:b/>
          <w:bCs/>
        </w:rPr>
      </w:pPr>
    </w:p>
    <w:p w14:paraId="021F5367" w14:textId="77777777" w:rsidR="003D7B84" w:rsidRPr="00D106C9" w:rsidRDefault="003D7B84" w:rsidP="00D106C9">
      <w:pPr>
        <w:autoSpaceDE w:val="0"/>
        <w:snapToGrid w:val="0"/>
        <w:rPr>
          <w:bCs/>
          <w:lang w:eastAsia="hi-IN"/>
        </w:rPr>
      </w:pPr>
      <w:r w:rsidRPr="00D106C9">
        <w:rPr>
          <w:b/>
          <w:bCs/>
        </w:rPr>
        <w:t>Señora</w:t>
      </w:r>
    </w:p>
    <w:p w14:paraId="06CF4600" w14:textId="77777777" w:rsidR="003D7B84" w:rsidRPr="00D106C9" w:rsidRDefault="003D7B84" w:rsidP="00D106C9">
      <w:pPr>
        <w:autoSpaceDE w:val="0"/>
        <w:snapToGrid w:val="0"/>
        <w:rPr>
          <w:b/>
          <w:bCs/>
        </w:rPr>
      </w:pPr>
      <w:r w:rsidRPr="00D106C9">
        <w:rPr>
          <w:b/>
          <w:bCs/>
        </w:rPr>
        <w:t>Licda. Nacira Valverde Bermúdez</w:t>
      </w:r>
    </w:p>
    <w:p w14:paraId="58BD2E97" w14:textId="77777777" w:rsidR="003D7B84" w:rsidRPr="00D106C9" w:rsidRDefault="003D7B84" w:rsidP="00D106C9">
      <w:pPr>
        <w:autoSpaceDE w:val="0"/>
        <w:snapToGrid w:val="0"/>
        <w:rPr>
          <w:b/>
          <w:bCs/>
        </w:rPr>
      </w:pPr>
      <w:r w:rsidRPr="00D106C9">
        <w:rPr>
          <w:b/>
          <w:bCs/>
        </w:rPr>
        <w:t>Directora de Planificación</w:t>
      </w:r>
    </w:p>
    <w:p w14:paraId="6CB1375A" w14:textId="77777777" w:rsidR="003D7B84" w:rsidRPr="00D106C9" w:rsidRDefault="003D7B84" w:rsidP="00D106C9">
      <w:pPr>
        <w:rPr>
          <w:b/>
          <w:bCs/>
        </w:rPr>
      </w:pPr>
    </w:p>
    <w:p w14:paraId="65A566D0" w14:textId="77777777" w:rsidR="003D7B84" w:rsidRPr="00D106C9" w:rsidRDefault="003D7B84" w:rsidP="00D106C9">
      <w:pPr>
        <w:autoSpaceDE w:val="0"/>
        <w:snapToGrid w:val="0"/>
        <w:rPr>
          <w:b/>
          <w:bCs/>
        </w:rPr>
      </w:pPr>
      <w:r w:rsidRPr="00D106C9">
        <w:rPr>
          <w:b/>
          <w:bCs/>
        </w:rPr>
        <w:t>Estimada señora:</w:t>
      </w:r>
    </w:p>
    <w:p w14:paraId="2C0E3398" w14:textId="7C7A7D21" w:rsidR="0049063E" w:rsidRPr="00D106C9" w:rsidRDefault="0049063E" w:rsidP="00D106C9"/>
    <w:p w14:paraId="7E718CBE" w14:textId="6A125BFA" w:rsidR="00E413D2" w:rsidRPr="00D106C9" w:rsidRDefault="00E413D2" w:rsidP="00D106C9">
      <w:pPr>
        <w:ind w:firstLine="708"/>
        <w:jc w:val="both"/>
        <w:rPr>
          <w:bCs/>
          <w:color w:val="000000"/>
          <w:lang w:val="es-CR"/>
        </w:rPr>
      </w:pPr>
      <w:r w:rsidRPr="00D106C9">
        <w:rPr>
          <w:bCs/>
          <w:color w:val="000000"/>
          <w:lang w:val="es-CR"/>
        </w:rPr>
        <w:t xml:space="preserve">Para su estimable conocimiento y fines consiguientes, le transcribo el acuerdo tomado por el Consejo Superior del Poder Judicial, en sesión </w:t>
      </w:r>
      <w:proofErr w:type="spellStart"/>
      <w:r w:rsidRPr="00D106C9">
        <w:rPr>
          <w:b/>
          <w:color w:val="000000"/>
          <w:lang w:val="es-CR"/>
        </w:rPr>
        <w:t>N°</w:t>
      </w:r>
      <w:proofErr w:type="spellEnd"/>
      <w:r w:rsidRPr="00D106C9">
        <w:rPr>
          <w:b/>
          <w:color w:val="000000"/>
          <w:lang w:val="es-CR"/>
        </w:rPr>
        <w:t xml:space="preserve"> </w:t>
      </w:r>
      <w:r w:rsidR="00DD3D08" w:rsidRPr="00D106C9">
        <w:rPr>
          <w:b/>
          <w:color w:val="000000"/>
          <w:lang w:val="es-CR"/>
        </w:rPr>
        <w:t>4</w:t>
      </w:r>
      <w:r w:rsidR="001C26B9" w:rsidRPr="00D106C9">
        <w:rPr>
          <w:b/>
          <w:color w:val="000000"/>
          <w:lang w:val="es-CR"/>
        </w:rPr>
        <w:t>5</w:t>
      </w:r>
      <w:r w:rsidR="004844B1" w:rsidRPr="00D106C9">
        <w:rPr>
          <w:b/>
          <w:color w:val="000000"/>
          <w:lang w:val="es-CR"/>
        </w:rPr>
        <w:t>-</w:t>
      </w:r>
      <w:r w:rsidRPr="00D106C9">
        <w:rPr>
          <w:b/>
          <w:color w:val="000000"/>
          <w:lang w:val="es-CR"/>
        </w:rPr>
        <w:t>202</w:t>
      </w:r>
      <w:r w:rsidR="00FE77B3" w:rsidRPr="00D106C9">
        <w:rPr>
          <w:b/>
          <w:color w:val="000000"/>
          <w:lang w:val="es-CR"/>
        </w:rPr>
        <w:t>2</w:t>
      </w:r>
      <w:r w:rsidRPr="00D106C9">
        <w:rPr>
          <w:bCs/>
          <w:color w:val="000000"/>
          <w:lang w:val="es-CR"/>
        </w:rPr>
        <w:t xml:space="preserve"> celebrada el </w:t>
      </w:r>
      <w:r w:rsidR="001C26B9" w:rsidRPr="00D106C9">
        <w:rPr>
          <w:b/>
          <w:color w:val="000000"/>
          <w:lang w:val="es-CR"/>
        </w:rPr>
        <w:t>26</w:t>
      </w:r>
      <w:r w:rsidR="00623C80" w:rsidRPr="00D106C9">
        <w:rPr>
          <w:b/>
          <w:color w:val="000000"/>
          <w:lang w:val="es-CR"/>
        </w:rPr>
        <w:t xml:space="preserve"> </w:t>
      </w:r>
      <w:r w:rsidRPr="00D106C9">
        <w:rPr>
          <w:b/>
          <w:color w:val="000000"/>
          <w:lang w:val="es-CR"/>
        </w:rPr>
        <w:t xml:space="preserve">de </w:t>
      </w:r>
      <w:r w:rsidR="00A56308" w:rsidRPr="00D106C9">
        <w:rPr>
          <w:b/>
          <w:color w:val="000000"/>
          <w:lang w:val="es-CR"/>
        </w:rPr>
        <w:t>mayo</w:t>
      </w:r>
      <w:r w:rsidR="00623C80" w:rsidRPr="00D106C9">
        <w:rPr>
          <w:b/>
          <w:color w:val="000000"/>
          <w:lang w:val="es-CR"/>
        </w:rPr>
        <w:t xml:space="preserve"> </w:t>
      </w:r>
      <w:r w:rsidRPr="00D106C9">
        <w:rPr>
          <w:b/>
          <w:color w:val="000000"/>
          <w:lang w:val="es-CR"/>
        </w:rPr>
        <w:t>de 202</w:t>
      </w:r>
      <w:r w:rsidR="00FE77B3" w:rsidRPr="00D106C9">
        <w:rPr>
          <w:b/>
          <w:color w:val="000000"/>
          <w:lang w:val="es-CR"/>
        </w:rPr>
        <w:t>2</w:t>
      </w:r>
      <w:r w:rsidRPr="00D106C9">
        <w:rPr>
          <w:bCs/>
          <w:color w:val="000000"/>
          <w:lang w:val="es-CR"/>
        </w:rPr>
        <w:t>, que literalmente dice:</w:t>
      </w:r>
    </w:p>
    <w:p w14:paraId="45A2C9BA" w14:textId="77777777" w:rsidR="00D106C9" w:rsidRPr="00D106C9" w:rsidRDefault="00294863" w:rsidP="00D106C9">
      <w:pPr>
        <w:keepNext/>
        <w:widowControl w:val="0"/>
        <w:tabs>
          <w:tab w:val="num" w:pos="0"/>
        </w:tabs>
        <w:suppressAutoHyphens w:val="0"/>
        <w:autoSpaceDE w:val="0"/>
        <w:autoSpaceDN w:val="0"/>
        <w:adjustRightInd w:val="0"/>
        <w:spacing w:before="120" w:after="120"/>
        <w:jc w:val="center"/>
        <w:outlineLvl w:val="1"/>
        <w:rPr>
          <w:b/>
          <w:bCs/>
          <w:color w:val="FF0000"/>
          <w:u w:val="single"/>
          <w:lang w:eastAsia="es-ES"/>
        </w:rPr>
      </w:pPr>
      <w:r w:rsidRPr="00D106C9">
        <w:t>“</w:t>
      </w:r>
      <w:bookmarkStart w:id="0" w:name="_Hlk103871154"/>
      <w:r w:rsidR="00D106C9" w:rsidRPr="00D106C9">
        <w:rPr>
          <w:b/>
          <w:bCs/>
          <w:u w:val="single"/>
          <w:lang w:eastAsia="es-ES"/>
        </w:rPr>
        <w:t>ARTÍCULO XXXV</w:t>
      </w:r>
    </w:p>
    <w:p w14:paraId="1121B5B9" w14:textId="77777777" w:rsidR="00D106C9" w:rsidRPr="00D106C9" w:rsidRDefault="00D106C9" w:rsidP="00D106C9">
      <w:pPr>
        <w:rPr>
          <w:b/>
          <w:bCs/>
        </w:rPr>
      </w:pPr>
    </w:p>
    <w:p w14:paraId="554522D1" w14:textId="77777777" w:rsidR="00D106C9" w:rsidRPr="00D106C9" w:rsidRDefault="00D106C9" w:rsidP="00D106C9">
      <w:pPr>
        <w:widowControl w:val="0"/>
        <w:tabs>
          <w:tab w:val="left" w:pos="851"/>
          <w:tab w:val="left" w:pos="8080"/>
        </w:tabs>
        <w:suppressAutoHyphens w:val="0"/>
        <w:autoSpaceDE w:val="0"/>
        <w:autoSpaceDN w:val="0"/>
        <w:adjustRightInd w:val="0"/>
        <w:jc w:val="both"/>
        <w:rPr>
          <w:b/>
          <w:color w:val="000000"/>
          <w:lang w:eastAsia="es-ES"/>
        </w:rPr>
      </w:pPr>
      <w:r w:rsidRPr="00D106C9">
        <w:rPr>
          <w:b/>
          <w:color w:val="000000"/>
          <w:lang w:eastAsia="es-ES"/>
        </w:rPr>
        <w:t xml:space="preserve">Documento </w:t>
      </w:r>
      <w:proofErr w:type="spellStart"/>
      <w:r w:rsidRPr="00D106C9">
        <w:rPr>
          <w:b/>
          <w:color w:val="000000"/>
          <w:lang w:eastAsia="es-ES"/>
        </w:rPr>
        <w:t>N°</w:t>
      </w:r>
      <w:proofErr w:type="spellEnd"/>
      <w:r w:rsidRPr="00D106C9">
        <w:rPr>
          <w:b/>
          <w:color w:val="000000"/>
          <w:lang w:eastAsia="es-ES"/>
        </w:rPr>
        <w:t xml:space="preserve"> 5211-2022, 5386-2022</w:t>
      </w:r>
    </w:p>
    <w:p w14:paraId="7D545230" w14:textId="77777777" w:rsidR="00D106C9" w:rsidRDefault="00D106C9" w:rsidP="00D106C9">
      <w:pPr>
        <w:widowControl w:val="0"/>
        <w:suppressAutoHyphens w:val="0"/>
        <w:autoSpaceDE w:val="0"/>
        <w:autoSpaceDN w:val="0"/>
        <w:adjustRightInd w:val="0"/>
        <w:ind w:firstLine="709"/>
        <w:jc w:val="both"/>
        <w:rPr>
          <w:lang w:eastAsia="en-US"/>
        </w:rPr>
      </w:pPr>
    </w:p>
    <w:p w14:paraId="585596FF" w14:textId="6A5FEEAD" w:rsidR="00D106C9" w:rsidRPr="00D106C9" w:rsidRDefault="00D106C9" w:rsidP="00D106C9">
      <w:pPr>
        <w:widowControl w:val="0"/>
        <w:suppressAutoHyphens w:val="0"/>
        <w:autoSpaceDE w:val="0"/>
        <w:autoSpaceDN w:val="0"/>
        <w:adjustRightInd w:val="0"/>
        <w:ind w:firstLine="709"/>
        <w:jc w:val="both"/>
        <w:rPr>
          <w:lang w:eastAsia="es-ES"/>
        </w:rPr>
      </w:pPr>
      <w:r w:rsidRPr="00D106C9">
        <w:rPr>
          <w:lang w:eastAsia="en-US"/>
        </w:rPr>
        <w:t xml:space="preserve">Mediante oficio </w:t>
      </w:r>
      <w:proofErr w:type="spellStart"/>
      <w:r w:rsidRPr="00D106C9">
        <w:rPr>
          <w:lang w:eastAsia="en-US"/>
        </w:rPr>
        <w:t>Nº</w:t>
      </w:r>
      <w:proofErr w:type="spellEnd"/>
      <w:r w:rsidRPr="00D106C9">
        <w:rPr>
          <w:lang w:eastAsia="en-US"/>
        </w:rPr>
        <w:t xml:space="preserve"> </w:t>
      </w:r>
      <w:r w:rsidRPr="00D106C9">
        <w:rPr>
          <w:snapToGrid w:val="0"/>
          <w:lang w:eastAsia="es-ES"/>
        </w:rPr>
        <w:t xml:space="preserve">389-PLA-EV-2022 </w:t>
      </w:r>
      <w:r w:rsidRPr="00D106C9">
        <w:rPr>
          <w:lang w:eastAsia="en-US"/>
        </w:rPr>
        <w:t>del 06 de mayo de 2022,</w:t>
      </w:r>
      <w:r w:rsidRPr="00D106C9">
        <w:rPr>
          <w:lang w:eastAsia="es-ES"/>
        </w:rPr>
        <w:t xml:space="preserve"> la Dirección de Planificación indica lo siguiente: </w:t>
      </w:r>
    </w:p>
    <w:p w14:paraId="0234C764" w14:textId="77777777" w:rsidR="00D106C9" w:rsidRDefault="00D106C9" w:rsidP="00D106C9">
      <w:pPr>
        <w:widowControl w:val="0"/>
        <w:suppressAutoHyphens w:val="0"/>
        <w:autoSpaceDE w:val="0"/>
        <w:autoSpaceDN w:val="0"/>
        <w:adjustRightInd w:val="0"/>
        <w:ind w:left="851" w:right="851" w:firstLine="709"/>
        <w:jc w:val="both"/>
        <w:rPr>
          <w:lang w:eastAsia="es-ES"/>
        </w:rPr>
      </w:pPr>
    </w:p>
    <w:p w14:paraId="668EA421" w14:textId="7502A9B0"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“En atención de la circular 32-2022, de la Secretaría General de la Corte, del 11 de enero del 2022, denominada </w:t>
      </w:r>
      <w:r w:rsidRPr="00D106C9">
        <w:rPr>
          <w:i/>
          <w:iCs/>
          <w:lang w:eastAsia="es-ES"/>
        </w:rPr>
        <w:t>“Reiteración de la circular 141-2020 sobre la Obligación de realizar evaluaciones semestrales y anuales de Planes anuales y operativos</w:t>
      </w:r>
      <w:r w:rsidRPr="00D106C9">
        <w:rPr>
          <w:lang w:eastAsia="es-ES"/>
        </w:rPr>
        <w:t xml:space="preserve">”, en donde se indicó que todos los responsables de los despachos judiciales realizaran una evaluación anual del Plan Anual Operativo (PAO) de su área, le remito informe anual a los Planes Anuales Operativos al corte del 19 de enero del 2022, suscrito por la Inga. Elena Gabriela Picado González, </w:t>
      </w:r>
      <w:proofErr w:type="gramStart"/>
      <w:r w:rsidRPr="00D106C9">
        <w:rPr>
          <w:lang w:eastAsia="es-ES"/>
        </w:rPr>
        <w:t>Jefa</w:t>
      </w:r>
      <w:proofErr w:type="gramEnd"/>
      <w:r w:rsidRPr="00D106C9">
        <w:rPr>
          <w:lang w:eastAsia="es-ES"/>
        </w:rPr>
        <w:t xml:space="preserve"> del Subproceso de Evaluación.</w:t>
      </w:r>
    </w:p>
    <w:p w14:paraId="093B6A9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776071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w:t>
      </w:r>
    </w:p>
    <w:p w14:paraId="15F9DE96" w14:textId="77777777" w:rsidR="00D106C9" w:rsidRPr="00D106C9" w:rsidRDefault="00D106C9" w:rsidP="00D106C9">
      <w:pPr>
        <w:widowControl w:val="0"/>
        <w:suppressAutoHyphens w:val="0"/>
        <w:autoSpaceDE w:val="0"/>
        <w:autoSpaceDN w:val="0"/>
        <w:adjustRightInd w:val="0"/>
        <w:ind w:firstLine="708"/>
        <w:jc w:val="both"/>
        <w:rPr>
          <w:lang w:eastAsia="es-ES"/>
        </w:rPr>
      </w:pPr>
    </w:p>
    <w:p w14:paraId="2DDCD7F1" w14:textId="77777777" w:rsidR="00D106C9" w:rsidRPr="00D106C9" w:rsidRDefault="00D106C9" w:rsidP="00D106C9">
      <w:pPr>
        <w:widowControl w:val="0"/>
        <w:suppressAutoHyphens w:val="0"/>
        <w:autoSpaceDE w:val="0"/>
        <w:autoSpaceDN w:val="0"/>
        <w:adjustRightInd w:val="0"/>
        <w:ind w:firstLine="708"/>
        <w:jc w:val="center"/>
        <w:rPr>
          <w:bCs/>
          <w:lang w:eastAsia="es-ES"/>
        </w:rPr>
      </w:pPr>
      <w:r w:rsidRPr="00D106C9">
        <w:rPr>
          <w:bCs/>
          <w:lang w:eastAsia="es-ES"/>
        </w:rPr>
        <w:t>-0-</w:t>
      </w:r>
    </w:p>
    <w:p w14:paraId="508F3EA7" w14:textId="77777777" w:rsidR="00D106C9" w:rsidRDefault="00D106C9" w:rsidP="00D106C9">
      <w:pPr>
        <w:widowControl w:val="0"/>
        <w:suppressAutoHyphens w:val="0"/>
        <w:autoSpaceDE w:val="0"/>
        <w:autoSpaceDN w:val="0"/>
        <w:adjustRightInd w:val="0"/>
        <w:ind w:firstLine="709"/>
        <w:jc w:val="both"/>
        <w:rPr>
          <w:bCs/>
          <w:lang w:eastAsia="es-ES"/>
        </w:rPr>
      </w:pPr>
    </w:p>
    <w:p w14:paraId="0C54FBEA" w14:textId="02B7644B" w:rsidR="00D106C9" w:rsidRPr="00D106C9" w:rsidRDefault="00D106C9" w:rsidP="00D106C9">
      <w:pPr>
        <w:widowControl w:val="0"/>
        <w:suppressAutoHyphens w:val="0"/>
        <w:autoSpaceDE w:val="0"/>
        <w:autoSpaceDN w:val="0"/>
        <w:adjustRightInd w:val="0"/>
        <w:ind w:firstLine="709"/>
        <w:jc w:val="both"/>
        <w:rPr>
          <w:bCs/>
          <w:lang w:eastAsia="es-ES"/>
        </w:rPr>
      </w:pPr>
      <w:r w:rsidRPr="00D106C9">
        <w:rPr>
          <w:bCs/>
          <w:lang w:eastAsia="es-ES"/>
        </w:rPr>
        <w:t xml:space="preserve">La </w:t>
      </w:r>
      <w:r w:rsidRPr="00D106C9">
        <w:rPr>
          <w:bCs/>
          <w:snapToGrid w:val="0"/>
          <w:lang w:eastAsia="es-ES"/>
        </w:rPr>
        <w:t xml:space="preserve">Inga. Elena Gabriela Picado González, </w:t>
      </w:r>
      <w:proofErr w:type="gramStart"/>
      <w:r w:rsidRPr="00D106C9">
        <w:rPr>
          <w:bCs/>
          <w:snapToGrid w:val="0"/>
          <w:lang w:eastAsia="es-ES"/>
        </w:rPr>
        <w:t>Jefa</w:t>
      </w:r>
      <w:proofErr w:type="gramEnd"/>
      <w:r w:rsidRPr="00D106C9">
        <w:rPr>
          <w:bCs/>
          <w:snapToGrid w:val="0"/>
          <w:lang w:eastAsia="es-ES"/>
        </w:rPr>
        <w:t xml:space="preserve"> </w:t>
      </w:r>
      <w:proofErr w:type="spellStart"/>
      <w:r w:rsidRPr="00D106C9">
        <w:rPr>
          <w:bCs/>
          <w:snapToGrid w:val="0"/>
          <w:lang w:eastAsia="es-ES"/>
        </w:rPr>
        <w:t>a.i.</w:t>
      </w:r>
      <w:proofErr w:type="spellEnd"/>
      <w:r w:rsidRPr="00D106C9">
        <w:rPr>
          <w:bCs/>
          <w:snapToGrid w:val="0"/>
          <w:lang w:eastAsia="es-ES"/>
        </w:rPr>
        <w:t xml:space="preserve"> </w:t>
      </w:r>
      <w:r w:rsidRPr="00D106C9">
        <w:rPr>
          <w:bCs/>
          <w:lang w:eastAsia="es-ES"/>
        </w:rPr>
        <w:t>del Subproceso de Evaluación, informa lo siguiente:</w:t>
      </w:r>
    </w:p>
    <w:p w14:paraId="3350FECC" w14:textId="77777777" w:rsidR="00D106C9" w:rsidRPr="00D106C9" w:rsidRDefault="00D106C9" w:rsidP="00D106C9">
      <w:pPr>
        <w:widowControl w:val="0"/>
        <w:suppressAutoHyphens w:val="0"/>
        <w:autoSpaceDE w:val="0"/>
        <w:autoSpaceDN w:val="0"/>
        <w:adjustRightInd w:val="0"/>
        <w:ind w:firstLine="708"/>
        <w:rPr>
          <w:b/>
          <w:lang w:eastAsia="es-ES"/>
        </w:rPr>
      </w:pPr>
    </w:p>
    <w:p w14:paraId="454BBA31"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w:t>
      </w:r>
    </w:p>
    <w:p w14:paraId="0532BABA"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06322BA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En atención de la circular </w:t>
      </w:r>
      <w:bookmarkStart w:id="1" w:name="_Hlk8036196"/>
      <w:r w:rsidRPr="00D106C9">
        <w:rPr>
          <w:lang w:eastAsia="es-ES"/>
        </w:rPr>
        <w:t xml:space="preserve">32-2022, de la Secretaría General de la Corte, </w:t>
      </w:r>
      <w:r w:rsidRPr="00D106C9">
        <w:rPr>
          <w:lang w:eastAsia="es-ES"/>
        </w:rPr>
        <w:lastRenderedPageBreak/>
        <w:t xml:space="preserve">del 11 de enero del 2022, denominada </w:t>
      </w:r>
      <w:r w:rsidRPr="00D106C9">
        <w:rPr>
          <w:i/>
          <w:iCs/>
          <w:lang w:eastAsia="es-ES"/>
        </w:rPr>
        <w:t>“Reiteración de la circular 141-2020 sobre la Obligación de realizar evaluaciones semestrales y anuales de Planes anuales y operativos</w:t>
      </w:r>
      <w:r w:rsidRPr="00D106C9">
        <w:rPr>
          <w:lang w:eastAsia="es-ES"/>
        </w:rPr>
        <w:t>”, en donde se indicó</w:t>
      </w:r>
      <w:bookmarkEnd w:id="1"/>
      <w:r w:rsidRPr="00D106C9">
        <w:rPr>
          <w:lang w:eastAsia="es-ES"/>
        </w:rPr>
        <w:t xml:space="preserve"> que todos los responsables de los despachos judiciales realizaran una evaluación anual del Plan Anual Operativo (PAO) de su área, con participación del personal del despacho, se informa que la Dirección de Planificación realiza un informe anual a los Planes Anuales Operativos al corte del 19 de enero del 2022, lo cual se plasma en el presente informe.</w:t>
      </w:r>
    </w:p>
    <w:p w14:paraId="4DC103A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00B5E5A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informe fue elaborado por el Lic. Andrey Rojas Monge, Profesional del Subproceso de Evaluación de la Dirección de Planificación.</w:t>
      </w:r>
    </w:p>
    <w:p w14:paraId="5D38E6A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6AF669F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w:t>
      </w:r>
    </w:p>
    <w:p w14:paraId="0A4C1C59" w14:textId="77777777" w:rsidR="00D106C9" w:rsidRPr="00D106C9" w:rsidRDefault="00D106C9" w:rsidP="00D106C9">
      <w:pPr>
        <w:widowControl w:val="0"/>
        <w:suppressAutoHyphens w:val="0"/>
        <w:autoSpaceDE w:val="0"/>
        <w:autoSpaceDN w:val="0"/>
        <w:adjustRightInd w:val="0"/>
        <w:ind w:left="851" w:right="851" w:firstLine="709"/>
        <w:rPr>
          <w:b/>
          <w:bCs/>
          <w:snapToGrid w:val="0"/>
          <w:lang w:eastAsia="es-ES"/>
        </w:rPr>
      </w:pPr>
    </w:p>
    <w:p w14:paraId="24E8404D" w14:textId="77777777" w:rsidR="00D106C9" w:rsidRPr="00D106C9" w:rsidRDefault="00D106C9" w:rsidP="003B2E9B">
      <w:pPr>
        <w:widowControl w:val="0"/>
        <w:numPr>
          <w:ilvl w:val="0"/>
          <w:numId w:val="67"/>
        </w:numPr>
        <w:suppressAutoHyphens w:val="0"/>
        <w:autoSpaceDE w:val="0"/>
        <w:autoSpaceDN w:val="0"/>
        <w:adjustRightInd w:val="0"/>
        <w:ind w:left="851" w:right="851" w:firstLine="709"/>
        <w:rPr>
          <w:b/>
          <w:bCs/>
          <w:lang w:eastAsia="es-ES"/>
        </w:rPr>
      </w:pPr>
      <w:bookmarkStart w:id="2" w:name="_Toc90563620"/>
      <w:bookmarkStart w:id="3" w:name="_Toc102390774"/>
      <w:r w:rsidRPr="00D106C9">
        <w:rPr>
          <w:b/>
          <w:bCs/>
          <w:lang w:eastAsia="es-ES"/>
        </w:rPr>
        <w:t>Introducción.</w:t>
      </w:r>
      <w:bookmarkEnd w:id="2"/>
      <w:bookmarkEnd w:id="3"/>
    </w:p>
    <w:p w14:paraId="7CF785C3" w14:textId="77777777" w:rsidR="00D106C9" w:rsidRPr="00D106C9" w:rsidRDefault="00D106C9" w:rsidP="00D106C9">
      <w:pPr>
        <w:suppressAutoHyphens w:val="0"/>
        <w:ind w:left="851" w:right="851" w:firstLine="709"/>
        <w:jc w:val="both"/>
        <w:rPr>
          <w:bCs/>
          <w:lang w:eastAsia="es-CR"/>
        </w:rPr>
      </w:pPr>
    </w:p>
    <w:p w14:paraId="3ED38818" w14:textId="77777777" w:rsidR="00D106C9" w:rsidRPr="00D106C9" w:rsidRDefault="00D106C9" w:rsidP="00D106C9">
      <w:pPr>
        <w:suppressAutoHyphens w:val="0"/>
        <w:ind w:left="851" w:right="851" w:firstLine="709"/>
        <w:jc w:val="both"/>
        <w:rPr>
          <w:bCs/>
          <w:lang w:eastAsia="es-CR"/>
        </w:rPr>
      </w:pPr>
      <w:r w:rsidRPr="00D106C9">
        <w:rPr>
          <w:bCs/>
          <w:lang w:eastAsia="es-CR"/>
        </w:rPr>
        <w:t>La Dirección de Planificación presenta el siguiente informe de Evaluación de los Planes Anuales Operativos 2021.</w:t>
      </w:r>
    </w:p>
    <w:p w14:paraId="5418DD1B" w14:textId="77777777" w:rsidR="00D106C9" w:rsidRPr="00D106C9" w:rsidRDefault="00D106C9" w:rsidP="00D106C9">
      <w:pPr>
        <w:suppressAutoHyphens w:val="0"/>
        <w:ind w:left="851" w:right="851" w:firstLine="709"/>
        <w:jc w:val="both"/>
        <w:rPr>
          <w:bCs/>
          <w:lang w:eastAsia="es-CR"/>
        </w:rPr>
      </w:pPr>
    </w:p>
    <w:p w14:paraId="58E72D39" w14:textId="77777777" w:rsidR="00D106C9" w:rsidRPr="00D106C9" w:rsidRDefault="00D106C9" w:rsidP="00D106C9">
      <w:pPr>
        <w:suppressAutoHyphens w:val="0"/>
        <w:ind w:left="851" w:right="851" w:firstLine="709"/>
        <w:jc w:val="both"/>
        <w:rPr>
          <w:bCs/>
          <w:lang w:eastAsia="es-CR"/>
        </w:rPr>
      </w:pPr>
      <w:r w:rsidRPr="00D106C9">
        <w:rPr>
          <w:bCs/>
          <w:lang w:eastAsia="es-CR"/>
        </w:rPr>
        <w:t xml:space="preserve">El procedimiento de elaboración de este informe utiliza como insumo la información reportada y registrada en el Sistema PAO con fecha de corte al 19 de enero del 2022, donde específicamente, se brinda información referente al cumplimiento de los objetivos y metas operativas asignadas en el Sistema PAO; sin embargo, </w:t>
      </w:r>
      <w:r w:rsidRPr="00D106C9">
        <w:rPr>
          <w:bCs/>
          <w:snapToGrid w:val="0"/>
          <w:lang w:eastAsia="es-CR"/>
        </w:rPr>
        <w:t xml:space="preserve">la Dirección de Planificación concedió una prórroga para registrar los avances en el Sistema PAO, solicitada por el Juzgado Contravencional de Parrita, Juzgado Contravencional de San Carlos, Juzgado Civil y Trabajo del Tercer Circuito Judicial de Alajuela, Fiscalía de Osa, Juzgado Penal de Nicoya, Oficina de Trabajo Social y Psicología de Puriscal, Administración Regional de Nicoya, Juzgado Mixto de Upala, Inspección Judicial y Centro de Conciliaciones de Santa Cruz. </w:t>
      </w:r>
    </w:p>
    <w:p w14:paraId="37BECA6F" w14:textId="77777777" w:rsidR="00D106C9" w:rsidRPr="00D106C9" w:rsidRDefault="00D106C9" w:rsidP="00D106C9">
      <w:pPr>
        <w:suppressAutoHyphens w:val="0"/>
        <w:ind w:left="851" w:right="851" w:firstLine="709"/>
        <w:jc w:val="both"/>
        <w:rPr>
          <w:bCs/>
          <w:lang w:eastAsia="es-CR"/>
        </w:rPr>
      </w:pPr>
    </w:p>
    <w:p w14:paraId="2D68DF4A" w14:textId="77777777" w:rsidR="00D106C9" w:rsidRPr="00D106C9" w:rsidRDefault="00D106C9" w:rsidP="00D106C9">
      <w:pPr>
        <w:suppressAutoHyphens w:val="0"/>
        <w:ind w:left="851" w:right="851" w:firstLine="709"/>
        <w:jc w:val="both"/>
        <w:rPr>
          <w:i/>
          <w:iCs/>
          <w:lang w:eastAsia="es-ES"/>
        </w:rPr>
      </w:pPr>
      <w:r w:rsidRPr="00D106C9">
        <w:rPr>
          <w:lang w:eastAsia="es-ES"/>
        </w:rPr>
        <w:t>Finalmente, es importante indicar que la ley de la Administración Financiera de la República y Presupuestos Públicos en el artículo 4 establece que “</w:t>
      </w:r>
      <w:r w:rsidRPr="00D106C9">
        <w:rPr>
          <w:i/>
          <w:iCs/>
          <w:lang w:eastAsia="es-ES"/>
        </w:rPr>
        <w:t>Todo presupuesto público deberá responder a los planes operativos institucionales anuales, de mediano y largo plazo, adoptados por los jerarcas respectivos, así como a los principios presupuestarios generalmente aceptados; además, deberá contener el financiamiento asegurado para el año fiscal correspondiente, conforme a los criterios definidos en la presente Ley.”.</w:t>
      </w:r>
    </w:p>
    <w:p w14:paraId="2B4AE0FE" w14:textId="77777777" w:rsidR="00D106C9" w:rsidRPr="00D106C9" w:rsidRDefault="00D106C9" w:rsidP="00D106C9">
      <w:pPr>
        <w:suppressAutoHyphens w:val="0"/>
        <w:ind w:left="851" w:right="851" w:firstLine="709"/>
        <w:jc w:val="both"/>
        <w:rPr>
          <w:bCs/>
          <w:lang w:eastAsia="es-CR"/>
        </w:rPr>
      </w:pPr>
    </w:p>
    <w:p w14:paraId="72A63235" w14:textId="77777777" w:rsidR="00D106C9" w:rsidRPr="00D106C9" w:rsidRDefault="00D106C9" w:rsidP="003B2E9B">
      <w:pPr>
        <w:widowControl w:val="0"/>
        <w:numPr>
          <w:ilvl w:val="0"/>
          <w:numId w:val="67"/>
        </w:numPr>
        <w:suppressAutoHyphens w:val="0"/>
        <w:autoSpaceDE w:val="0"/>
        <w:autoSpaceDN w:val="0"/>
        <w:adjustRightInd w:val="0"/>
        <w:ind w:left="851" w:right="851" w:firstLine="709"/>
        <w:rPr>
          <w:b/>
          <w:bCs/>
          <w:lang w:eastAsia="es-ES"/>
        </w:rPr>
      </w:pPr>
      <w:bookmarkStart w:id="4" w:name="_Toc90563621"/>
      <w:bookmarkStart w:id="5" w:name="_Toc102390775"/>
      <w:r w:rsidRPr="00D106C9">
        <w:rPr>
          <w:b/>
          <w:bCs/>
          <w:lang w:eastAsia="es-ES"/>
        </w:rPr>
        <w:t>Resumen ejecutivo.</w:t>
      </w:r>
      <w:bookmarkEnd w:id="4"/>
      <w:bookmarkEnd w:id="5"/>
      <w:r w:rsidRPr="00D106C9">
        <w:rPr>
          <w:b/>
          <w:bCs/>
          <w:lang w:eastAsia="es-ES"/>
        </w:rPr>
        <w:t xml:space="preserve"> </w:t>
      </w:r>
    </w:p>
    <w:p w14:paraId="6CE11576"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p>
    <w:p w14:paraId="1201339A"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r w:rsidRPr="00D106C9">
        <w:rPr>
          <w:rFonts w:eastAsia="Calibri"/>
          <w:lang w:eastAsia="es-ES"/>
        </w:rPr>
        <w:lastRenderedPageBreak/>
        <w:t xml:space="preserve">En relación con la evaluación de los Planes Anuales Operativos del 2021, </w:t>
      </w:r>
      <w:bookmarkStart w:id="6" w:name="_Hlk98404996"/>
      <w:r w:rsidRPr="00D106C9">
        <w:rPr>
          <w:rFonts w:eastAsia="Calibri"/>
          <w:lang w:eastAsia="es-ES"/>
        </w:rPr>
        <w:t>cabe señalar que se llevó a cabo un proceso de revisión del</w:t>
      </w:r>
      <w:r w:rsidRPr="00D106C9">
        <w:rPr>
          <w:lang w:eastAsia="es-ES"/>
        </w:rPr>
        <w:t xml:space="preserve"> cumplimiento de los objetivos y metas operativas del PAO 2021.</w:t>
      </w:r>
      <w:bookmarkEnd w:id="6"/>
    </w:p>
    <w:p w14:paraId="5325456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7E5666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La evaluación se fundamenta en la información contenida en el sistema PAO y como resultado, se obtiene el grado de avance de cumplimiento de cada componente; lo anterior, a través de la valoración directa del grado de cumplimiento de la meta operativa reportado por la oficina u oficinas responsables por medio de las metas operativas vinculadas al PAO. </w:t>
      </w:r>
    </w:p>
    <w:p w14:paraId="169738C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26A8B61"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r w:rsidRPr="00D106C9">
        <w:rPr>
          <w:lang w:eastAsia="es-ES"/>
        </w:rPr>
        <w:t xml:space="preserve">En este sentido, </w:t>
      </w:r>
      <w:r w:rsidRPr="00D106C9">
        <w:rPr>
          <w:rFonts w:eastAsia="Calibri"/>
          <w:lang w:eastAsia="es-ES"/>
        </w:rPr>
        <w:t xml:space="preserve">se tiene un avance de cumplimiento de las metas operativas para la evaluación del PAO 2021 de un 96,40% contra un 3,60% </w:t>
      </w:r>
      <w:r w:rsidRPr="00D106C9">
        <w:rPr>
          <w:lang w:eastAsia="es-ES"/>
        </w:rPr>
        <w:t xml:space="preserve">que no logró ser cumplido </w:t>
      </w:r>
      <w:r w:rsidRPr="00D106C9">
        <w:rPr>
          <w:rFonts w:eastAsia="Calibri"/>
          <w:lang w:eastAsia="es-ES"/>
        </w:rPr>
        <w:t>al 19 de enero del 2022.</w:t>
      </w:r>
    </w:p>
    <w:p w14:paraId="0C71D498"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bookmarkStart w:id="7" w:name="_Toc83115328"/>
    </w:p>
    <w:p w14:paraId="05F58238"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Gráfico </w:t>
      </w:r>
      <w:r w:rsidRPr="00D106C9">
        <w:rPr>
          <w:b/>
          <w:bCs/>
          <w:lang w:eastAsia="es-ES"/>
        </w:rPr>
        <w:fldChar w:fldCharType="begin"/>
      </w:r>
      <w:r w:rsidRPr="00D106C9">
        <w:rPr>
          <w:b/>
          <w:bCs/>
          <w:lang w:eastAsia="es-ES"/>
        </w:rPr>
        <w:instrText xml:space="preserve"> SEQ Gráfico \* ARABIC </w:instrText>
      </w:r>
      <w:r w:rsidRPr="00D106C9">
        <w:rPr>
          <w:b/>
          <w:bCs/>
          <w:lang w:eastAsia="es-ES"/>
        </w:rPr>
        <w:fldChar w:fldCharType="separate"/>
      </w:r>
      <w:r w:rsidRPr="00D106C9">
        <w:rPr>
          <w:b/>
          <w:bCs/>
          <w:lang w:eastAsia="es-ES"/>
        </w:rPr>
        <w:t>1</w:t>
      </w:r>
      <w:r w:rsidRPr="00D106C9">
        <w:rPr>
          <w:b/>
          <w:bCs/>
          <w:lang w:eastAsia="es-ES"/>
        </w:rPr>
        <w:fldChar w:fldCharType="end"/>
      </w:r>
      <w:r w:rsidRPr="00D106C9">
        <w:rPr>
          <w:b/>
          <w:bCs/>
          <w:lang w:eastAsia="es-ES"/>
        </w:rPr>
        <w:t xml:space="preserve"> </w:t>
      </w:r>
    </w:p>
    <w:bookmarkEnd w:id="7"/>
    <w:p w14:paraId="36915E42"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01D9E17F"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r w:rsidRPr="00D106C9">
        <w:rPr>
          <w:b/>
          <w:lang w:eastAsia="es-ES"/>
        </w:rPr>
        <w:t>Reporte Institucional de cumplimiento de metas operativas del PAO 2021.</w:t>
      </w:r>
    </w:p>
    <w:p w14:paraId="1EAC7E9C" w14:textId="77777777" w:rsidR="00D106C9" w:rsidRPr="00D106C9" w:rsidRDefault="00D106C9" w:rsidP="00D106C9">
      <w:pPr>
        <w:widowControl w:val="0"/>
        <w:suppressAutoHyphens w:val="0"/>
        <w:autoSpaceDE w:val="0"/>
        <w:autoSpaceDN w:val="0"/>
        <w:adjustRightInd w:val="0"/>
        <w:jc w:val="center"/>
        <w:rPr>
          <w:rFonts w:eastAsia="Calibri"/>
          <w:b/>
          <w:bCs/>
          <w:lang w:eastAsia="es-ES"/>
        </w:rPr>
      </w:pPr>
    </w:p>
    <w:p w14:paraId="5A81E65D" w14:textId="77777777" w:rsidR="00D106C9" w:rsidRPr="00D106C9" w:rsidRDefault="00D106C9" w:rsidP="00D106C9">
      <w:pPr>
        <w:widowControl w:val="0"/>
        <w:suppressAutoHyphens w:val="0"/>
        <w:autoSpaceDE w:val="0"/>
        <w:autoSpaceDN w:val="0"/>
        <w:adjustRightInd w:val="0"/>
        <w:jc w:val="center"/>
        <w:rPr>
          <w:rFonts w:eastAsia="Calibri"/>
          <w:b/>
          <w:bCs/>
          <w:lang w:eastAsia="es-ES"/>
        </w:rPr>
      </w:pPr>
      <w:r w:rsidRPr="00D106C9">
        <w:rPr>
          <w:rFonts w:eastAsia="Calibri"/>
          <w:b/>
          <w:bCs/>
          <w:lang w:eastAsia="es-ES"/>
        </w:rPr>
        <w:t xml:space="preserve"> </w:t>
      </w:r>
      <w:r w:rsidRPr="00D106C9">
        <w:rPr>
          <w:noProof/>
          <w:lang w:eastAsia="es-ES"/>
        </w:rPr>
        <w:drawing>
          <wp:inline distT="0" distB="0" distL="0" distR="0" wp14:anchorId="696B5940" wp14:editId="564BD2FA">
            <wp:extent cx="4572000" cy="2743200"/>
            <wp:effectExtent l="0" t="0" r="0" b="0"/>
            <wp:docPr id="9" name="Gráfico 9">
              <a:extLst xmlns:a="http://schemas.openxmlformats.org/drawingml/2006/main">
                <a:ext uri="{FF2B5EF4-FFF2-40B4-BE49-F238E27FC236}">
                  <a16:creationId xmlns:a16="http://schemas.microsoft.com/office/drawing/2014/main" id="{B604CC34-68C3-4AF0-9C56-0395587E81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446F5766" w14:textId="77777777" w:rsidR="00D106C9" w:rsidRPr="00D106C9" w:rsidRDefault="00D106C9" w:rsidP="00D106C9">
      <w:pPr>
        <w:widowControl w:val="0"/>
        <w:tabs>
          <w:tab w:val="left" w:pos="3264"/>
        </w:tabs>
        <w:suppressAutoHyphens w:val="0"/>
        <w:autoSpaceDE w:val="0"/>
        <w:autoSpaceDN w:val="0"/>
        <w:adjustRightInd w:val="0"/>
        <w:rPr>
          <w:rFonts w:eastAsia="Calibri"/>
          <w:lang w:eastAsia="es-ES"/>
        </w:rPr>
      </w:pPr>
      <w:r w:rsidRPr="00D106C9">
        <w:rPr>
          <w:rFonts w:eastAsia="Calibri"/>
          <w:b/>
          <w:bCs/>
          <w:lang w:eastAsia="es-ES"/>
        </w:rPr>
        <w:t xml:space="preserve">                      Fuente:</w:t>
      </w:r>
      <w:r w:rsidRPr="00D106C9">
        <w:rPr>
          <w:rFonts w:eastAsia="Calibri"/>
          <w:lang w:eastAsia="es-ES"/>
        </w:rPr>
        <w:t xml:space="preserve"> Sistema PAO al 19 de enero del 2022.</w:t>
      </w:r>
    </w:p>
    <w:p w14:paraId="7E78C72E" w14:textId="77777777" w:rsidR="00D106C9" w:rsidRPr="00D106C9" w:rsidRDefault="00D106C9" w:rsidP="00D106C9">
      <w:pPr>
        <w:widowControl w:val="0"/>
        <w:suppressAutoHyphens w:val="0"/>
        <w:autoSpaceDE w:val="0"/>
        <w:autoSpaceDN w:val="0"/>
        <w:adjustRightInd w:val="0"/>
        <w:jc w:val="both"/>
        <w:rPr>
          <w:lang w:eastAsia="es-ES"/>
        </w:rPr>
      </w:pPr>
    </w:p>
    <w:p w14:paraId="7A7E3BD3" w14:textId="77777777" w:rsidR="00D106C9" w:rsidRPr="00D106C9" w:rsidRDefault="00D106C9" w:rsidP="00D106C9">
      <w:pPr>
        <w:widowControl w:val="0"/>
        <w:suppressAutoHyphens w:val="0"/>
        <w:autoSpaceDE w:val="0"/>
        <w:autoSpaceDN w:val="0"/>
        <w:adjustRightInd w:val="0"/>
        <w:jc w:val="both"/>
        <w:rPr>
          <w:b/>
          <w:bCs/>
          <w:lang w:eastAsia="es-ES"/>
        </w:rPr>
      </w:pPr>
    </w:p>
    <w:p w14:paraId="57CA014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comparación del cumplimiento de las metas operativas del PAO de los años 2017, 2018, 2019, 2020 y 2021 se detallan en el siguiente gráfico:</w:t>
      </w:r>
    </w:p>
    <w:p w14:paraId="7B9F720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2EE67F10"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5BA560DA"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72817571"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6B835F9E"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29F81C12"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2E59B921"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431FF19E"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3B8510F1"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7AE7BF85"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27AB4695"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70BF7FF1"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p>
    <w:p w14:paraId="7D9C3B21"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Gráfico </w:t>
      </w:r>
      <w:r w:rsidRPr="00D106C9">
        <w:rPr>
          <w:b/>
          <w:bCs/>
          <w:lang w:eastAsia="es-ES"/>
        </w:rPr>
        <w:fldChar w:fldCharType="begin"/>
      </w:r>
      <w:r w:rsidRPr="00D106C9">
        <w:rPr>
          <w:b/>
          <w:bCs/>
          <w:lang w:eastAsia="es-ES"/>
        </w:rPr>
        <w:instrText xml:space="preserve"> SEQ Gráfico \* ARABIC </w:instrText>
      </w:r>
      <w:r w:rsidRPr="00D106C9">
        <w:rPr>
          <w:b/>
          <w:bCs/>
          <w:lang w:eastAsia="es-ES"/>
        </w:rPr>
        <w:fldChar w:fldCharType="separate"/>
      </w:r>
      <w:r w:rsidRPr="00D106C9">
        <w:rPr>
          <w:b/>
          <w:bCs/>
          <w:lang w:eastAsia="es-ES"/>
        </w:rPr>
        <w:t>2</w:t>
      </w:r>
      <w:r w:rsidRPr="00D106C9">
        <w:rPr>
          <w:b/>
          <w:bCs/>
          <w:lang w:eastAsia="es-ES"/>
        </w:rPr>
        <w:fldChar w:fldCharType="end"/>
      </w:r>
    </w:p>
    <w:p w14:paraId="6D95677B"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r w:rsidRPr="00D106C9">
        <w:rPr>
          <w:b/>
          <w:lang w:eastAsia="es-ES"/>
        </w:rPr>
        <w:t>Comparación de cumplimiento de metas operativas del PAO</w:t>
      </w:r>
    </w:p>
    <w:p w14:paraId="17AFDBB0" w14:textId="77777777" w:rsidR="00D106C9" w:rsidRPr="00D106C9" w:rsidRDefault="00D106C9" w:rsidP="00D106C9">
      <w:pPr>
        <w:widowControl w:val="0"/>
        <w:suppressAutoHyphens w:val="0"/>
        <w:autoSpaceDE w:val="0"/>
        <w:autoSpaceDN w:val="0"/>
        <w:adjustRightInd w:val="0"/>
        <w:ind w:left="851" w:right="851" w:firstLine="709"/>
        <w:contextualSpacing/>
        <w:jc w:val="center"/>
        <w:rPr>
          <w:b/>
          <w:lang w:eastAsia="es-ES"/>
        </w:rPr>
      </w:pPr>
      <w:r w:rsidRPr="00D106C9">
        <w:rPr>
          <w:b/>
          <w:lang w:eastAsia="es-ES"/>
        </w:rPr>
        <w:t>Evaluaciones del 2017, 2018, 2019, 2020 y 2021</w:t>
      </w:r>
    </w:p>
    <w:p w14:paraId="508BA81B" w14:textId="77777777" w:rsidR="00D106C9" w:rsidRPr="00D106C9" w:rsidRDefault="00D106C9" w:rsidP="00D106C9">
      <w:pPr>
        <w:widowControl w:val="0"/>
        <w:suppressAutoHyphens w:val="0"/>
        <w:autoSpaceDE w:val="0"/>
        <w:autoSpaceDN w:val="0"/>
        <w:adjustRightInd w:val="0"/>
        <w:jc w:val="center"/>
        <w:rPr>
          <w:b/>
          <w:bCs/>
          <w:lang w:eastAsia="es-ES"/>
        </w:rPr>
      </w:pPr>
    </w:p>
    <w:p w14:paraId="18BD045B"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noProof/>
          <w:lang w:eastAsia="es-ES"/>
        </w:rPr>
        <w:drawing>
          <wp:inline distT="0" distB="0" distL="0" distR="0" wp14:anchorId="35E99BC9" wp14:editId="5E0A3520">
            <wp:extent cx="4572000" cy="2743200"/>
            <wp:effectExtent l="0" t="0" r="0" b="0"/>
            <wp:docPr id="12" name="Gráfico 12">
              <a:extLst xmlns:a="http://schemas.openxmlformats.org/drawingml/2006/main">
                <a:ext uri="{FF2B5EF4-FFF2-40B4-BE49-F238E27FC236}">
                  <a16:creationId xmlns:a16="http://schemas.microsoft.com/office/drawing/2014/main" id="{83C99131-96DB-4E82-9B6F-F2ECA0F28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65CC3CB" w14:textId="77777777" w:rsidR="00D106C9" w:rsidRPr="00D106C9" w:rsidRDefault="00D106C9" w:rsidP="00D106C9">
      <w:pPr>
        <w:widowControl w:val="0"/>
        <w:suppressAutoHyphens w:val="0"/>
        <w:autoSpaceDE w:val="0"/>
        <w:autoSpaceDN w:val="0"/>
        <w:adjustRightInd w:val="0"/>
        <w:jc w:val="both"/>
        <w:rPr>
          <w:lang w:eastAsia="es-ES"/>
        </w:rPr>
      </w:pPr>
      <w:r w:rsidRPr="00D106C9">
        <w:rPr>
          <w:b/>
          <w:bCs/>
          <w:lang w:eastAsia="es-ES"/>
        </w:rPr>
        <w:t xml:space="preserve">              Fuente:</w:t>
      </w:r>
      <w:r w:rsidRPr="00D106C9">
        <w:rPr>
          <w:lang w:eastAsia="es-ES"/>
        </w:rPr>
        <w:t xml:space="preserve"> Sistema PAO al 19 de enero del 2022.</w:t>
      </w:r>
    </w:p>
    <w:p w14:paraId="4FD00714" w14:textId="77777777" w:rsidR="00D106C9" w:rsidRPr="00D106C9" w:rsidRDefault="00D106C9" w:rsidP="00D106C9">
      <w:pPr>
        <w:widowControl w:val="0"/>
        <w:suppressAutoHyphens w:val="0"/>
        <w:autoSpaceDE w:val="0"/>
        <w:autoSpaceDN w:val="0"/>
        <w:adjustRightInd w:val="0"/>
        <w:rPr>
          <w:b/>
          <w:bCs/>
          <w:lang w:eastAsia="es-ES"/>
        </w:rPr>
      </w:pPr>
    </w:p>
    <w:p w14:paraId="7AAC7D47" w14:textId="77777777" w:rsidR="00D106C9" w:rsidRPr="00D106C9" w:rsidRDefault="00D106C9" w:rsidP="00D106C9">
      <w:pPr>
        <w:widowControl w:val="0"/>
        <w:suppressAutoHyphens w:val="0"/>
        <w:autoSpaceDE w:val="0"/>
        <w:autoSpaceDN w:val="0"/>
        <w:adjustRightInd w:val="0"/>
        <w:jc w:val="both"/>
        <w:rPr>
          <w:lang w:eastAsia="es-ES"/>
        </w:rPr>
      </w:pPr>
    </w:p>
    <w:p w14:paraId="464F060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Del gráfico anterior, se puede observar cómo en el 2021 el porcentaje de avance ha aumentado en un 0,34% en comparación al 2020; sin embargo, si al comparar el 2021 con el 2017, 2018 y el 2019 se concluye que se ha obtenido un incremento importante  ubicándolo como el segundo año con mayor registro en el cumplimiento de avances de los años citados en los que ya se disponía de un Sistema informático para el registro, esto a pesar de la emergencia sanitaria provocada por la enfermedad COVID-19, que ha afectado en cierta medida el </w:t>
      </w:r>
      <w:r w:rsidRPr="00D106C9">
        <w:rPr>
          <w:lang w:eastAsia="es-ES"/>
        </w:rPr>
        <w:lastRenderedPageBreak/>
        <w:t>quehacer y las formas tradicionales de trabajo de las oficinas judiciales para el año 2021, debido a la reorganización de labores, adaptación de nuevas formas de trabajo y tareas que surgieron.</w:t>
      </w:r>
    </w:p>
    <w:p w14:paraId="60A7107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04304C01"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Los avances en el cumplimiento de las metas operativas del Plan Anual Operativo de acuerdo con los Programas Presupuestarios, los cuales se detallan a continuación:</w:t>
      </w:r>
    </w:p>
    <w:p w14:paraId="4BE06581"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Porcentaje de avances al PAO por Programa Presupuestario</w:t>
      </w:r>
    </w:p>
    <w:p w14:paraId="7AA2E6F8"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para el 2021</w:t>
      </w:r>
    </w:p>
    <w:p w14:paraId="5683A184" w14:textId="77777777" w:rsidR="00D106C9" w:rsidRPr="00D106C9" w:rsidRDefault="00D106C9" w:rsidP="00D106C9">
      <w:pPr>
        <w:widowControl w:val="0"/>
        <w:suppressAutoHyphens w:val="0"/>
        <w:autoSpaceDE w:val="0"/>
        <w:autoSpaceDN w:val="0"/>
        <w:adjustRightInd w:val="0"/>
        <w:rPr>
          <w:lang w:eastAsia="es-ES"/>
        </w:rPr>
      </w:pPr>
    </w:p>
    <w:tbl>
      <w:tblPr>
        <w:tblW w:w="8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3"/>
        <w:gridCol w:w="2976"/>
        <w:gridCol w:w="1554"/>
        <w:gridCol w:w="1381"/>
        <w:gridCol w:w="1166"/>
      </w:tblGrid>
      <w:tr w:rsidR="00D106C9" w:rsidRPr="00D106C9" w14:paraId="13ABDB9F" w14:textId="77777777" w:rsidTr="006D7BCD">
        <w:trPr>
          <w:trHeight w:val="530"/>
          <w:jc w:val="center"/>
        </w:trPr>
        <w:tc>
          <w:tcPr>
            <w:tcW w:w="1198" w:type="dxa"/>
            <w:shd w:val="clear" w:color="000000" w:fill="0070C0"/>
            <w:vAlign w:val="center"/>
            <w:hideMark/>
          </w:tcPr>
          <w:p w14:paraId="12D834AD"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Código</w:t>
            </w:r>
          </w:p>
        </w:tc>
        <w:tc>
          <w:tcPr>
            <w:tcW w:w="3128" w:type="dxa"/>
            <w:shd w:val="clear" w:color="000000" w:fill="0070C0"/>
            <w:vAlign w:val="center"/>
            <w:hideMark/>
          </w:tcPr>
          <w:p w14:paraId="0B697DA9"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Programa Presupuestario</w:t>
            </w:r>
          </w:p>
        </w:tc>
        <w:tc>
          <w:tcPr>
            <w:tcW w:w="1499" w:type="dxa"/>
            <w:shd w:val="clear" w:color="000000" w:fill="0070C0"/>
            <w:vAlign w:val="center"/>
            <w:hideMark/>
          </w:tcPr>
          <w:p w14:paraId="69066155"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 de cumplimiento</w:t>
            </w:r>
          </w:p>
        </w:tc>
        <w:tc>
          <w:tcPr>
            <w:tcW w:w="1218" w:type="dxa"/>
            <w:shd w:val="clear" w:color="000000" w:fill="0070C0"/>
            <w:vAlign w:val="center"/>
            <w:hideMark/>
          </w:tcPr>
          <w:p w14:paraId="34D0E8C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Metas Formuladas</w:t>
            </w:r>
          </w:p>
        </w:tc>
        <w:tc>
          <w:tcPr>
            <w:tcW w:w="1197" w:type="dxa"/>
            <w:shd w:val="clear" w:color="000000" w:fill="0070C0"/>
            <w:vAlign w:val="center"/>
            <w:hideMark/>
          </w:tcPr>
          <w:p w14:paraId="4D7EC72D"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Metas con Avance</w:t>
            </w:r>
          </w:p>
        </w:tc>
      </w:tr>
      <w:tr w:rsidR="00D106C9" w:rsidRPr="00D106C9" w14:paraId="78F36854" w14:textId="77777777" w:rsidTr="006D7BCD">
        <w:trPr>
          <w:trHeight w:val="530"/>
          <w:jc w:val="center"/>
        </w:trPr>
        <w:tc>
          <w:tcPr>
            <w:tcW w:w="1198" w:type="dxa"/>
            <w:shd w:val="clear" w:color="auto" w:fill="auto"/>
            <w:vAlign w:val="center"/>
            <w:hideMark/>
          </w:tcPr>
          <w:p w14:paraId="4315272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926</w:t>
            </w:r>
          </w:p>
        </w:tc>
        <w:tc>
          <w:tcPr>
            <w:tcW w:w="3128" w:type="dxa"/>
            <w:shd w:val="clear" w:color="auto" w:fill="auto"/>
            <w:vAlign w:val="center"/>
            <w:hideMark/>
          </w:tcPr>
          <w:p w14:paraId="1D8C969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Administración y Otros Órganos de Apoyo</w:t>
            </w:r>
          </w:p>
        </w:tc>
        <w:tc>
          <w:tcPr>
            <w:tcW w:w="1499" w:type="dxa"/>
            <w:shd w:val="clear" w:color="auto" w:fill="auto"/>
            <w:vAlign w:val="center"/>
            <w:hideMark/>
          </w:tcPr>
          <w:p w14:paraId="357A87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98,94%</w:t>
            </w:r>
          </w:p>
        </w:tc>
        <w:tc>
          <w:tcPr>
            <w:tcW w:w="1218" w:type="dxa"/>
            <w:shd w:val="clear" w:color="auto" w:fill="auto"/>
            <w:vAlign w:val="center"/>
            <w:hideMark/>
          </w:tcPr>
          <w:p w14:paraId="389C20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1674</w:t>
            </w:r>
          </w:p>
        </w:tc>
        <w:tc>
          <w:tcPr>
            <w:tcW w:w="1197" w:type="dxa"/>
            <w:shd w:val="clear" w:color="auto" w:fill="auto"/>
            <w:vAlign w:val="center"/>
            <w:hideMark/>
          </w:tcPr>
          <w:p w14:paraId="589C22E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1671</w:t>
            </w:r>
          </w:p>
        </w:tc>
      </w:tr>
      <w:tr w:rsidR="00D106C9" w:rsidRPr="00D106C9" w14:paraId="376EE23D" w14:textId="77777777" w:rsidTr="006D7BCD">
        <w:trPr>
          <w:trHeight w:val="270"/>
          <w:jc w:val="center"/>
        </w:trPr>
        <w:tc>
          <w:tcPr>
            <w:tcW w:w="1198" w:type="dxa"/>
            <w:shd w:val="clear" w:color="auto" w:fill="auto"/>
            <w:vAlign w:val="center"/>
            <w:hideMark/>
          </w:tcPr>
          <w:p w14:paraId="2CF6671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927</w:t>
            </w:r>
          </w:p>
        </w:tc>
        <w:tc>
          <w:tcPr>
            <w:tcW w:w="3128" w:type="dxa"/>
            <w:shd w:val="clear" w:color="auto" w:fill="auto"/>
            <w:vAlign w:val="center"/>
            <w:hideMark/>
          </w:tcPr>
          <w:p w14:paraId="03DE7C1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Servicio Jurisdiccional</w:t>
            </w:r>
          </w:p>
        </w:tc>
        <w:tc>
          <w:tcPr>
            <w:tcW w:w="1499" w:type="dxa"/>
            <w:shd w:val="clear" w:color="auto" w:fill="auto"/>
            <w:vAlign w:val="center"/>
            <w:hideMark/>
          </w:tcPr>
          <w:p w14:paraId="094BF6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92,41%</w:t>
            </w:r>
          </w:p>
        </w:tc>
        <w:tc>
          <w:tcPr>
            <w:tcW w:w="1218" w:type="dxa"/>
            <w:shd w:val="clear" w:color="auto" w:fill="auto"/>
            <w:vAlign w:val="center"/>
            <w:hideMark/>
          </w:tcPr>
          <w:p w14:paraId="424E55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2854</w:t>
            </w:r>
          </w:p>
        </w:tc>
        <w:tc>
          <w:tcPr>
            <w:tcW w:w="1197" w:type="dxa"/>
            <w:shd w:val="clear" w:color="auto" w:fill="auto"/>
            <w:vAlign w:val="center"/>
            <w:hideMark/>
          </w:tcPr>
          <w:p w14:paraId="523E34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2807</w:t>
            </w:r>
          </w:p>
        </w:tc>
      </w:tr>
      <w:tr w:rsidR="00D106C9" w:rsidRPr="00D106C9" w14:paraId="5645987C" w14:textId="77777777" w:rsidTr="006D7BCD">
        <w:trPr>
          <w:trHeight w:val="530"/>
          <w:jc w:val="center"/>
        </w:trPr>
        <w:tc>
          <w:tcPr>
            <w:tcW w:w="1198" w:type="dxa"/>
            <w:shd w:val="clear" w:color="auto" w:fill="auto"/>
            <w:vAlign w:val="center"/>
            <w:hideMark/>
          </w:tcPr>
          <w:p w14:paraId="33EA1C6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928</w:t>
            </w:r>
          </w:p>
        </w:tc>
        <w:tc>
          <w:tcPr>
            <w:tcW w:w="3128" w:type="dxa"/>
            <w:shd w:val="clear" w:color="auto" w:fill="auto"/>
            <w:vAlign w:val="center"/>
            <w:hideMark/>
          </w:tcPr>
          <w:p w14:paraId="3751220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Organismo de Investigación Judicial</w:t>
            </w:r>
          </w:p>
        </w:tc>
        <w:tc>
          <w:tcPr>
            <w:tcW w:w="1499" w:type="dxa"/>
            <w:shd w:val="clear" w:color="auto" w:fill="auto"/>
            <w:vAlign w:val="center"/>
            <w:hideMark/>
          </w:tcPr>
          <w:p w14:paraId="3E93CC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99,71%</w:t>
            </w:r>
          </w:p>
        </w:tc>
        <w:tc>
          <w:tcPr>
            <w:tcW w:w="1218" w:type="dxa"/>
            <w:shd w:val="clear" w:color="auto" w:fill="auto"/>
            <w:vAlign w:val="center"/>
            <w:hideMark/>
          </w:tcPr>
          <w:p w14:paraId="47162F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1043</w:t>
            </w:r>
          </w:p>
        </w:tc>
        <w:tc>
          <w:tcPr>
            <w:tcW w:w="1197" w:type="dxa"/>
            <w:shd w:val="clear" w:color="auto" w:fill="auto"/>
            <w:vAlign w:val="center"/>
            <w:hideMark/>
          </w:tcPr>
          <w:p w14:paraId="392B89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1042</w:t>
            </w:r>
          </w:p>
        </w:tc>
      </w:tr>
      <w:tr w:rsidR="00D106C9" w:rsidRPr="00D106C9" w14:paraId="55A8C912" w14:textId="77777777" w:rsidTr="006D7BCD">
        <w:trPr>
          <w:trHeight w:val="270"/>
          <w:jc w:val="center"/>
        </w:trPr>
        <w:tc>
          <w:tcPr>
            <w:tcW w:w="1198" w:type="dxa"/>
            <w:shd w:val="clear" w:color="auto" w:fill="auto"/>
            <w:vAlign w:val="center"/>
            <w:hideMark/>
          </w:tcPr>
          <w:p w14:paraId="46F7A95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929</w:t>
            </w:r>
          </w:p>
        </w:tc>
        <w:tc>
          <w:tcPr>
            <w:tcW w:w="3128" w:type="dxa"/>
            <w:shd w:val="clear" w:color="auto" w:fill="auto"/>
            <w:vAlign w:val="center"/>
            <w:hideMark/>
          </w:tcPr>
          <w:p w14:paraId="2628FFD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Ministerio Público</w:t>
            </w:r>
          </w:p>
        </w:tc>
        <w:tc>
          <w:tcPr>
            <w:tcW w:w="1499" w:type="dxa"/>
            <w:shd w:val="clear" w:color="auto" w:fill="auto"/>
            <w:vAlign w:val="center"/>
            <w:hideMark/>
          </w:tcPr>
          <w:p w14:paraId="0DECD28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98,33%</w:t>
            </w:r>
          </w:p>
        </w:tc>
        <w:tc>
          <w:tcPr>
            <w:tcW w:w="1218" w:type="dxa"/>
            <w:shd w:val="clear" w:color="auto" w:fill="auto"/>
            <w:vAlign w:val="center"/>
            <w:hideMark/>
          </w:tcPr>
          <w:p w14:paraId="51542C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794</w:t>
            </w:r>
          </w:p>
        </w:tc>
        <w:tc>
          <w:tcPr>
            <w:tcW w:w="1197" w:type="dxa"/>
            <w:shd w:val="clear" w:color="auto" w:fill="auto"/>
            <w:vAlign w:val="center"/>
            <w:hideMark/>
          </w:tcPr>
          <w:p w14:paraId="2544A6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793</w:t>
            </w:r>
          </w:p>
        </w:tc>
      </w:tr>
      <w:tr w:rsidR="00D106C9" w:rsidRPr="00D106C9" w14:paraId="1CA056A2" w14:textId="77777777" w:rsidTr="006D7BCD">
        <w:trPr>
          <w:trHeight w:val="270"/>
          <w:jc w:val="center"/>
        </w:trPr>
        <w:tc>
          <w:tcPr>
            <w:tcW w:w="1198" w:type="dxa"/>
            <w:shd w:val="clear" w:color="auto" w:fill="auto"/>
            <w:vAlign w:val="center"/>
            <w:hideMark/>
          </w:tcPr>
          <w:p w14:paraId="4736898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930</w:t>
            </w:r>
          </w:p>
        </w:tc>
        <w:tc>
          <w:tcPr>
            <w:tcW w:w="3128" w:type="dxa"/>
            <w:shd w:val="clear" w:color="auto" w:fill="auto"/>
            <w:vAlign w:val="center"/>
            <w:hideMark/>
          </w:tcPr>
          <w:p w14:paraId="1246357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Defensa Pública</w:t>
            </w:r>
          </w:p>
        </w:tc>
        <w:tc>
          <w:tcPr>
            <w:tcW w:w="1499" w:type="dxa"/>
            <w:shd w:val="clear" w:color="auto" w:fill="auto"/>
            <w:vAlign w:val="center"/>
            <w:hideMark/>
          </w:tcPr>
          <w:p w14:paraId="2A7EE08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218" w:type="dxa"/>
            <w:shd w:val="clear" w:color="auto" w:fill="auto"/>
            <w:vAlign w:val="center"/>
            <w:hideMark/>
          </w:tcPr>
          <w:p w14:paraId="6077F5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324</w:t>
            </w:r>
          </w:p>
        </w:tc>
        <w:tc>
          <w:tcPr>
            <w:tcW w:w="1197" w:type="dxa"/>
            <w:shd w:val="clear" w:color="auto" w:fill="auto"/>
            <w:vAlign w:val="center"/>
            <w:hideMark/>
          </w:tcPr>
          <w:p w14:paraId="7506B02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324</w:t>
            </w:r>
          </w:p>
        </w:tc>
      </w:tr>
      <w:tr w:rsidR="00D106C9" w:rsidRPr="00D106C9" w14:paraId="4952EBB9" w14:textId="77777777" w:rsidTr="006D7BCD">
        <w:trPr>
          <w:trHeight w:val="530"/>
          <w:jc w:val="center"/>
        </w:trPr>
        <w:tc>
          <w:tcPr>
            <w:tcW w:w="1198" w:type="dxa"/>
            <w:shd w:val="clear" w:color="auto" w:fill="auto"/>
            <w:vAlign w:val="center"/>
            <w:hideMark/>
          </w:tcPr>
          <w:p w14:paraId="4E283A9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950</w:t>
            </w:r>
          </w:p>
        </w:tc>
        <w:tc>
          <w:tcPr>
            <w:tcW w:w="3128" w:type="dxa"/>
            <w:shd w:val="clear" w:color="auto" w:fill="auto"/>
            <w:vAlign w:val="center"/>
            <w:hideMark/>
          </w:tcPr>
          <w:p w14:paraId="785BFC4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Servicio de Atención y Protección de Víctimas y Testigos</w:t>
            </w:r>
          </w:p>
        </w:tc>
        <w:tc>
          <w:tcPr>
            <w:tcW w:w="1499" w:type="dxa"/>
            <w:shd w:val="clear" w:color="auto" w:fill="auto"/>
            <w:vAlign w:val="center"/>
            <w:hideMark/>
          </w:tcPr>
          <w:p w14:paraId="7BEB33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97,88%</w:t>
            </w:r>
          </w:p>
        </w:tc>
        <w:tc>
          <w:tcPr>
            <w:tcW w:w="1218" w:type="dxa"/>
            <w:shd w:val="clear" w:color="auto" w:fill="auto"/>
            <w:vAlign w:val="center"/>
            <w:hideMark/>
          </w:tcPr>
          <w:p w14:paraId="09255B6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w:t>
            </w:r>
          </w:p>
        </w:tc>
        <w:tc>
          <w:tcPr>
            <w:tcW w:w="1197" w:type="dxa"/>
            <w:shd w:val="clear" w:color="auto" w:fill="auto"/>
            <w:vAlign w:val="center"/>
            <w:hideMark/>
          </w:tcPr>
          <w:p w14:paraId="7930344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w:t>
            </w:r>
          </w:p>
        </w:tc>
      </w:tr>
      <w:tr w:rsidR="00D106C9" w:rsidRPr="00D106C9" w14:paraId="01E4AB4B" w14:textId="77777777" w:rsidTr="006D7BCD">
        <w:trPr>
          <w:trHeight w:val="530"/>
          <w:jc w:val="center"/>
        </w:trPr>
        <w:tc>
          <w:tcPr>
            <w:tcW w:w="4326" w:type="dxa"/>
            <w:gridSpan w:val="2"/>
            <w:shd w:val="clear" w:color="auto" w:fill="auto"/>
            <w:vAlign w:val="center"/>
          </w:tcPr>
          <w:p w14:paraId="0D2A0754"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Total</w:t>
            </w:r>
          </w:p>
        </w:tc>
        <w:tc>
          <w:tcPr>
            <w:tcW w:w="1499" w:type="dxa"/>
            <w:shd w:val="clear" w:color="auto" w:fill="auto"/>
            <w:vAlign w:val="center"/>
          </w:tcPr>
          <w:p w14:paraId="2067E34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96,40%</w:t>
            </w:r>
          </w:p>
        </w:tc>
        <w:tc>
          <w:tcPr>
            <w:tcW w:w="1218" w:type="dxa"/>
            <w:shd w:val="clear" w:color="auto" w:fill="auto"/>
            <w:vAlign w:val="center"/>
          </w:tcPr>
          <w:p w14:paraId="4C87ED3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6738</w:t>
            </w:r>
          </w:p>
        </w:tc>
        <w:tc>
          <w:tcPr>
            <w:tcW w:w="1197" w:type="dxa"/>
            <w:shd w:val="clear" w:color="auto" w:fill="auto"/>
            <w:vAlign w:val="center"/>
          </w:tcPr>
          <w:p w14:paraId="15A54F6C"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6686</w:t>
            </w:r>
          </w:p>
        </w:tc>
      </w:tr>
    </w:tbl>
    <w:p w14:paraId="3C8C138B" w14:textId="77777777" w:rsidR="00D106C9" w:rsidRPr="00D106C9" w:rsidRDefault="00D106C9" w:rsidP="00D106C9">
      <w:pPr>
        <w:widowControl w:val="0"/>
        <w:suppressAutoHyphens w:val="0"/>
        <w:autoSpaceDE w:val="0"/>
        <w:autoSpaceDN w:val="0"/>
        <w:adjustRightInd w:val="0"/>
        <w:jc w:val="both"/>
        <w:rPr>
          <w:lang w:eastAsia="es-ES"/>
        </w:rPr>
      </w:pPr>
    </w:p>
    <w:p w14:paraId="64D6974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De las 6738 metas formuladas, se registran 6686 metas con algún nivel de avance. </w:t>
      </w:r>
    </w:p>
    <w:p w14:paraId="1776A98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E5384D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Con respecto al porcentaje de avances por Programa se observa un cumplimiento alto por parte de la Defensa Pública con 100,00%, de seguido del Organismo de Investigación Judicial con un 99,71%, así como la Dirección, Administración y Otros Órganos de Apoyo con un 98,94%, el Ministerio Público registra un 98,33% y el Servicio de Atención y Protección de Víctimas y Testigos con un 97,88%. </w:t>
      </w:r>
    </w:p>
    <w:p w14:paraId="251C77F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033E1C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Por otro lado, el Programa de Servicio Jurisdiccional registra un 92,41%, siendo el de menor nivel de cumplimiento, se destaca que es el programa con mayor cantidad de oficinas, compuesto por 413 despachos a lo largo del país lo que genera mayores dificultades para la consecución de las metas de manera </w:t>
      </w:r>
      <w:r w:rsidRPr="00D106C9">
        <w:rPr>
          <w:lang w:eastAsia="es-ES"/>
        </w:rPr>
        <w:lastRenderedPageBreak/>
        <w:t>pormenorizada y el debido control que debe de haber a lo interno de las oficinas para el cumplimiento.</w:t>
      </w:r>
    </w:p>
    <w:p w14:paraId="71686F7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E893DF0" w14:textId="77777777" w:rsidR="00D106C9" w:rsidRPr="00D106C9" w:rsidRDefault="00D106C9" w:rsidP="00D106C9">
      <w:pPr>
        <w:widowControl w:val="0"/>
        <w:suppressAutoHyphens w:val="0"/>
        <w:autoSpaceDE w:val="0"/>
        <w:autoSpaceDN w:val="0"/>
        <w:adjustRightInd w:val="0"/>
        <w:jc w:val="both"/>
        <w:rPr>
          <w:lang w:eastAsia="es-ES"/>
        </w:rPr>
      </w:pPr>
    </w:p>
    <w:p w14:paraId="0219F709" w14:textId="77777777" w:rsidR="00D106C9" w:rsidRPr="00D106C9" w:rsidRDefault="00D106C9" w:rsidP="00D106C9">
      <w:pPr>
        <w:widowControl w:val="0"/>
        <w:suppressAutoHyphens w:val="0"/>
        <w:autoSpaceDE w:val="0"/>
        <w:autoSpaceDN w:val="0"/>
        <w:adjustRightInd w:val="0"/>
        <w:jc w:val="both"/>
        <w:rPr>
          <w:lang w:eastAsia="es-ES"/>
        </w:rPr>
      </w:pPr>
    </w:p>
    <w:p w14:paraId="3926B563" w14:textId="77777777" w:rsidR="00D106C9" w:rsidRPr="00D106C9" w:rsidRDefault="00D106C9" w:rsidP="003B2E9B">
      <w:pPr>
        <w:widowControl w:val="0"/>
        <w:numPr>
          <w:ilvl w:val="0"/>
          <w:numId w:val="67"/>
        </w:numPr>
        <w:suppressAutoHyphens w:val="0"/>
        <w:autoSpaceDE w:val="0"/>
        <w:autoSpaceDN w:val="0"/>
        <w:adjustRightInd w:val="0"/>
        <w:ind w:left="851" w:right="851" w:firstLine="709"/>
        <w:rPr>
          <w:lang w:eastAsia="es-ES"/>
        </w:rPr>
      </w:pPr>
      <w:bookmarkStart w:id="8" w:name="_Toc90563622"/>
      <w:bookmarkStart w:id="9" w:name="_Toc102390776"/>
      <w:r w:rsidRPr="00D106C9">
        <w:rPr>
          <w:lang w:eastAsia="es-ES"/>
        </w:rPr>
        <w:t>Descripción de la Evaluación del Plan Anual Operativo 2021</w:t>
      </w:r>
      <w:bookmarkEnd w:id="8"/>
      <w:bookmarkEnd w:id="9"/>
    </w:p>
    <w:p w14:paraId="1D097BC0" w14:textId="77777777" w:rsidR="00D106C9" w:rsidRPr="00D106C9" w:rsidRDefault="00D106C9" w:rsidP="00D106C9">
      <w:pPr>
        <w:widowControl w:val="0"/>
        <w:suppressAutoHyphens w:val="0"/>
        <w:autoSpaceDE w:val="0"/>
        <w:autoSpaceDN w:val="0"/>
        <w:adjustRightInd w:val="0"/>
        <w:ind w:left="851" w:right="851" w:firstLine="709"/>
        <w:rPr>
          <w:lang w:eastAsia="ja-JP"/>
        </w:rPr>
      </w:pPr>
    </w:p>
    <w:p w14:paraId="0FDD24A2"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4.1. Datos de la priorización de la Evaluación del Plan Anual Operativo 2021.</w:t>
      </w:r>
    </w:p>
    <w:p w14:paraId="31D310F3"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093E19A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snapToGrid w:val="0"/>
          <w:lang w:eastAsia="es-ES"/>
        </w:rPr>
        <w:t xml:space="preserve">Como datos de la priorización de la evaluación, obtenemos el Plan Estratégico Institucional, donde se define el Modelo de Gestión Estratégica, el cual tiene como objetivo </w:t>
      </w:r>
      <w:r w:rsidRPr="00D106C9">
        <w:rPr>
          <w:lang w:eastAsia="es-ES"/>
        </w:rPr>
        <w:t>lograr la efectiva implementación del PEI 2019-2024, por medio de la integración de las siguientes herramientas:</w:t>
      </w:r>
    </w:p>
    <w:p w14:paraId="2E6B4B00" w14:textId="77777777" w:rsidR="00D106C9" w:rsidRPr="00D106C9" w:rsidRDefault="00D106C9" w:rsidP="003B2E9B">
      <w:pPr>
        <w:widowControl w:val="0"/>
        <w:numPr>
          <w:ilvl w:val="0"/>
          <w:numId w:val="53"/>
        </w:numPr>
        <w:suppressAutoHyphens w:val="0"/>
        <w:autoSpaceDE w:val="0"/>
        <w:autoSpaceDN w:val="0"/>
        <w:adjustRightInd w:val="0"/>
        <w:ind w:left="851" w:right="851" w:firstLine="709"/>
        <w:contextualSpacing/>
        <w:jc w:val="both"/>
        <w:rPr>
          <w:lang w:eastAsia="es-ES"/>
        </w:rPr>
      </w:pPr>
      <w:r w:rsidRPr="00D106C9">
        <w:rPr>
          <w:lang w:eastAsia="es-ES"/>
        </w:rPr>
        <w:t xml:space="preserve">Cuadro de Mando Integral (con base en el mapa estratégico institucional). </w:t>
      </w:r>
    </w:p>
    <w:p w14:paraId="65291A56" w14:textId="77777777" w:rsidR="00D106C9" w:rsidRPr="00D106C9" w:rsidRDefault="00D106C9" w:rsidP="003B2E9B">
      <w:pPr>
        <w:widowControl w:val="0"/>
        <w:numPr>
          <w:ilvl w:val="0"/>
          <w:numId w:val="53"/>
        </w:numPr>
        <w:suppressAutoHyphens w:val="0"/>
        <w:autoSpaceDE w:val="0"/>
        <w:autoSpaceDN w:val="0"/>
        <w:adjustRightInd w:val="0"/>
        <w:ind w:left="851" w:right="851" w:firstLine="709"/>
        <w:contextualSpacing/>
        <w:jc w:val="both"/>
        <w:rPr>
          <w:lang w:eastAsia="es-ES"/>
        </w:rPr>
      </w:pPr>
      <w:r w:rsidRPr="00D106C9">
        <w:rPr>
          <w:lang w:eastAsia="es-ES"/>
        </w:rPr>
        <w:t>Gestión del Portafolio Institucional de Proyectos Estratégicos (PPE).</w:t>
      </w:r>
    </w:p>
    <w:p w14:paraId="74E43F30" w14:textId="77777777" w:rsidR="00D106C9" w:rsidRPr="00D106C9" w:rsidRDefault="00D106C9" w:rsidP="003B2E9B">
      <w:pPr>
        <w:widowControl w:val="0"/>
        <w:numPr>
          <w:ilvl w:val="0"/>
          <w:numId w:val="53"/>
        </w:numPr>
        <w:suppressAutoHyphens w:val="0"/>
        <w:autoSpaceDE w:val="0"/>
        <w:autoSpaceDN w:val="0"/>
        <w:adjustRightInd w:val="0"/>
        <w:ind w:left="851" w:right="851" w:firstLine="709"/>
        <w:contextualSpacing/>
        <w:jc w:val="both"/>
        <w:rPr>
          <w:b/>
          <w:bCs/>
          <w:lang w:eastAsia="es-ES"/>
        </w:rPr>
      </w:pPr>
      <w:r w:rsidRPr="00D106C9">
        <w:rPr>
          <w:b/>
          <w:bCs/>
          <w:lang w:eastAsia="es-ES"/>
        </w:rPr>
        <w:t>Planes Anuales Operativos (PAO)</w:t>
      </w:r>
    </w:p>
    <w:p w14:paraId="73590E7E" w14:textId="77777777" w:rsidR="00D106C9" w:rsidRPr="00D106C9" w:rsidRDefault="00D106C9" w:rsidP="003B2E9B">
      <w:pPr>
        <w:widowControl w:val="0"/>
        <w:numPr>
          <w:ilvl w:val="0"/>
          <w:numId w:val="53"/>
        </w:numPr>
        <w:suppressAutoHyphens w:val="0"/>
        <w:autoSpaceDE w:val="0"/>
        <w:autoSpaceDN w:val="0"/>
        <w:adjustRightInd w:val="0"/>
        <w:ind w:left="851" w:right="851" w:firstLine="709"/>
        <w:contextualSpacing/>
        <w:jc w:val="both"/>
        <w:rPr>
          <w:lang w:eastAsia="es-ES"/>
        </w:rPr>
      </w:pPr>
      <w:r w:rsidRPr="00D106C9">
        <w:rPr>
          <w:lang w:eastAsia="es-ES"/>
        </w:rPr>
        <w:t xml:space="preserve">Presupuesto orientado a resultados. </w:t>
      </w:r>
    </w:p>
    <w:p w14:paraId="3A8DF3EE" w14:textId="77777777" w:rsidR="00D106C9" w:rsidRPr="00D106C9" w:rsidRDefault="00D106C9" w:rsidP="003B2E9B">
      <w:pPr>
        <w:widowControl w:val="0"/>
        <w:numPr>
          <w:ilvl w:val="0"/>
          <w:numId w:val="53"/>
        </w:numPr>
        <w:suppressAutoHyphens w:val="0"/>
        <w:autoSpaceDE w:val="0"/>
        <w:autoSpaceDN w:val="0"/>
        <w:adjustRightInd w:val="0"/>
        <w:ind w:left="851" w:right="851" w:firstLine="709"/>
        <w:contextualSpacing/>
        <w:jc w:val="both"/>
        <w:rPr>
          <w:lang w:eastAsia="es-ES"/>
        </w:rPr>
      </w:pPr>
      <w:r w:rsidRPr="00D106C9">
        <w:rPr>
          <w:lang w:eastAsia="es-ES"/>
        </w:rPr>
        <w:t xml:space="preserve">Gestión de Políticas Institucionales. </w:t>
      </w:r>
    </w:p>
    <w:p w14:paraId="72D3CA8C" w14:textId="77777777" w:rsidR="00D106C9" w:rsidRPr="00D106C9" w:rsidRDefault="00D106C9" w:rsidP="003B2E9B">
      <w:pPr>
        <w:widowControl w:val="0"/>
        <w:numPr>
          <w:ilvl w:val="0"/>
          <w:numId w:val="53"/>
        </w:numPr>
        <w:suppressAutoHyphens w:val="0"/>
        <w:autoSpaceDE w:val="0"/>
        <w:autoSpaceDN w:val="0"/>
        <w:adjustRightInd w:val="0"/>
        <w:ind w:left="851" w:right="851" w:firstLine="709"/>
        <w:contextualSpacing/>
        <w:jc w:val="both"/>
        <w:rPr>
          <w:lang w:eastAsia="es-ES"/>
        </w:rPr>
      </w:pPr>
      <w:r w:rsidRPr="00D106C9">
        <w:rPr>
          <w:lang w:eastAsia="es-ES"/>
        </w:rPr>
        <w:t xml:space="preserve">Gestión de Innovación. </w:t>
      </w:r>
    </w:p>
    <w:p w14:paraId="420E5BF0" w14:textId="77777777" w:rsidR="00D106C9" w:rsidRPr="00D106C9" w:rsidRDefault="00D106C9" w:rsidP="003B2E9B">
      <w:pPr>
        <w:widowControl w:val="0"/>
        <w:numPr>
          <w:ilvl w:val="0"/>
          <w:numId w:val="53"/>
        </w:numPr>
        <w:suppressAutoHyphens w:val="0"/>
        <w:autoSpaceDE w:val="0"/>
        <w:autoSpaceDN w:val="0"/>
        <w:adjustRightInd w:val="0"/>
        <w:ind w:left="851" w:right="851" w:firstLine="709"/>
        <w:contextualSpacing/>
        <w:jc w:val="both"/>
        <w:rPr>
          <w:lang w:eastAsia="es-ES"/>
        </w:rPr>
      </w:pPr>
      <w:r w:rsidRPr="00D106C9">
        <w:rPr>
          <w:lang w:eastAsia="es-ES"/>
        </w:rPr>
        <w:t>Gestión de riesgos institucionales.</w:t>
      </w:r>
    </w:p>
    <w:p w14:paraId="3BE9E26D" w14:textId="77777777" w:rsidR="00D106C9" w:rsidRPr="00D106C9" w:rsidRDefault="00D106C9" w:rsidP="00D106C9">
      <w:pPr>
        <w:suppressAutoHyphens w:val="0"/>
        <w:spacing w:after="160"/>
        <w:ind w:left="708"/>
        <w:jc w:val="both"/>
        <w:rPr>
          <w:lang w:eastAsia="es-ES"/>
        </w:rPr>
      </w:pPr>
    </w:p>
    <w:p w14:paraId="16A03A14" w14:textId="77777777" w:rsidR="00D106C9" w:rsidRPr="00D106C9" w:rsidRDefault="00D106C9" w:rsidP="00D106C9">
      <w:pPr>
        <w:widowControl w:val="0"/>
        <w:suppressAutoHyphens w:val="0"/>
        <w:autoSpaceDE w:val="0"/>
        <w:autoSpaceDN w:val="0"/>
        <w:adjustRightInd w:val="0"/>
        <w:ind w:left="360"/>
        <w:jc w:val="center"/>
        <w:rPr>
          <w:lang w:eastAsia="es-CR"/>
        </w:rPr>
      </w:pPr>
      <w:r w:rsidRPr="00D106C9">
        <w:rPr>
          <w:noProof/>
          <w:lang w:eastAsia="es-ES"/>
        </w:rPr>
        <w:lastRenderedPageBreak/>
        <w:drawing>
          <wp:inline distT="0" distB="0" distL="0" distR="0" wp14:anchorId="48A4F4ED" wp14:editId="7B54FBF0">
            <wp:extent cx="5850255" cy="2943225"/>
            <wp:effectExtent l="0" t="0" r="0" b="9525"/>
            <wp:docPr id="11" name="Imagen 11" descr="Diagrama&#10;&#10;Descripción generada automáticamente con confianza media"/>
            <wp:cNvGraphicFramePr/>
            <a:graphic xmlns:a="http://schemas.openxmlformats.org/drawingml/2006/main">
              <a:graphicData uri="http://schemas.openxmlformats.org/drawingml/2006/picture">
                <pic:pic xmlns:pic="http://schemas.openxmlformats.org/drawingml/2006/picture">
                  <pic:nvPicPr>
                    <pic:cNvPr id="22" name="Imagen 22" descr="Diagrama&#10;&#10;Descripción generada automáticamente con confianza media"/>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50255" cy="2943225"/>
                    </a:xfrm>
                    <a:prstGeom prst="rect">
                      <a:avLst/>
                    </a:prstGeom>
                    <a:noFill/>
                    <a:ln>
                      <a:noFill/>
                    </a:ln>
                  </pic:spPr>
                </pic:pic>
              </a:graphicData>
            </a:graphic>
          </wp:inline>
        </w:drawing>
      </w:r>
    </w:p>
    <w:p w14:paraId="1BE0D9E0" w14:textId="77777777" w:rsidR="00D106C9" w:rsidRPr="00D106C9" w:rsidRDefault="00D106C9" w:rsidP="00D106C9">
      <w:pPr>
        <w:suppressAutoHyphens w:val="0"/>
        <w:ind w:left="708"/>
        <w:jc w:val="center"/>
        <w:rPr>
          <w:lang w:eastAsia="es-ES"/>
        </w:rPr>
      </w:pPr>
      <w:r w:rsidRPr="00D106C9">
        <w:rPr>
          <w:b/>
          <w:bCs/>
          <w:lang w:eastAsia="es-ES"/>
        </w:rPr>
        <w:t>Fuente:</w:t>
      </w:r>
      <w:r w:rsidRPr="00D106C9">
        <w:rPr>
          <w:lang w:eastAsia="es-ES"/>
        </w:rPr>
        <w:t xml:space="preserve"> Informe 1183-PLA-PE-2020 (informe actualizado con la gestión de riesgos institucionales).</w:t>
      </w:r>
    </w:p>
    <w:p w14:paraId="1C131A3A"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Es importante destacar que, para este informe, el enfoque se va a dar en el punto c, denominado “Planes Anuales Operativos”.</w:t>
      </w:r>
    </w:p>
    <w:p w14:paraId="23E1F139"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2DEFDC7E"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4.2. Justificación de la Evaluación de los Planes Anuales Operativos.</w:t>
      </w:r>
    </w:p>
    <w:p w14:paraId="65EA9DDF"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4B75484"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CR"/>
        </w:rPr>
      </w:pPr>
      <w:r w:rsidRPr="00D106C9">
        <w:rPr>
          <w:rFonts w:eastAsia="Calibri"/>
          <w:lang w:eastAsia="es-CR"/>
        </w:rPr>
        <w:t xml:space="preserve">El Consejo Superior del Poder Judicial en sesión 32-2022, celebrada el 11 de enero del 2022, artículo XLVIII, dispuso, a solicitud de la Dirección de Planificación, reiterar la Circular 141-2020, relativa a las Obligación de realizar evaluaciones semestrales y anuales a los Planes Anuales Operativos, </w:t>
      </w:r>
      <w:r w:rsidRPr="00D106C9">
        <w:rPr>
          <w:lang w:eastAsia="es-ES"/>
        </w:rPr>
        <w:t>en donde se indicó que todos los responsables de los despachos judiciales realizaran una evaluación anual del Plan Anual Operativo (PAO) de su área.</w:t>
      </w:r>
    </w:p>
    <w:p w14:paraId="38324A5C"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CR"/>
        </w:rPr>
      </w:pPr>
    </w:p>
    <w:p w14:paraId="7C5B6F61"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4.3. Resumen de informe de actividades a realizar y el plan de trabajo (cronograma).</w:t>
      </w:r>
    </w:p>
    <w:p w14:paraId="5ACCD2C6"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EBEDD8D"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r w:rsidRPr="00D106C9">
        <w:rPr>
          <w:lang w:eastAsia="es-CR"/>
        </w:rPr>
        <w:t>Por medio de esta etapa de planeación se planteó</w:t>
      </w:r>
      <w:r w:rsidRPr="00D106C9">
        <w:rPr>
          <w:b/>
          <w:bCs/>
          <w:lang w:eastAsia="es-CR"/>
        </w:rPr>
        <w:t xml:space="preserve"> </w:t>
      </w:r>
      <w:r w:rsidRPr="00D106C9">
        <w:rPr>
          <w:lang w:eastAsia="es-CR"/>
        </w:rPr>
        <w:t>una propuesta de cronograma para para lograr rendir el informe de evaluación a los Planes Anuales Operativos. Esta etapa</w:t>
      </w:r>
      <w:r w:rsidRPr="00D106C9">
        <w:rPr>
          <w:iCs/>
          <w:lang w:eastAsia="es-ES"/>
        </w:rPr>
        <w:t xml:space="preserve"> implica mapear las actividades a realizar y el plan de trabajo que se llevará a cabo. </w:t>
      </w:r>
    </w:p>
    <w:p w14:paraId="7B467270" w14:textId="77777777" w:rsidR="00D106C9" w:rsidRPr="00D106C9" w:rsidRDefault="00D106C9" w:rsidP="00D106C9">
      <w:pPr>
        <w:widowControl w:val="0"/>
        <w:suppressAutoHyphens w:val="0"/>
        <w:autoSpaceDE w:val="0"/>
        <w:autoSpaceDN w:val="0"/>
        <w:adjustRightInd w:val="0"/>
        <w:ind w:left="851" w:right="851" w:firstLine="709"/>
        <w:jc w:val="both"/>
        <w:rPr>
          <w:iCs/>
          <w:lang w:eastAsia="es-ES"/>
        </w:rPr>
      </w:pPr>
      <w:r w:rsidRPr="00D106C9">
        <w:rPr>
          <w:iCs/>
          <w:lang w:eastAsia="es-ES"/>
        </w:rPr>
        <w:t xml:space="preserve">Dentro de las posibles actividades que se pueden incorporar en el cronograma se presentan las siguientes: </w:t>
      </w:r>
    </w:p>
    <w:p w14:paraId="58A13B95" w14:textId="77777777" w:rsidR="00D106C9" w:rsidRPr="00D106C9" w:rsidRDefault="00D106C9" w:rsidP="003B2E9B">
      <w:pPr>
        <w:widowControl w:val="0"/>
        <w:numPr>
          <w:ilvl w:val="0"/>
          <w:numId w:val="54"/>
        </w:numPr>
        <w:suppressAutoHyphens w:val="0"/>
        <w:autoSpaceDE w:val="0"/>
        <w:autoSpaceDN w:val="0"/>
        <w:adjustRightInd w:val="0"/>
        <w:ind w:left="851" w:right="851" w:firstLine="709"/>
        <w:jc w:val="both"/>
        <w:rPr>
          <w:lang w:eastAsia="es-ES"/>
        </w:rPr>
      </w:pPr>
      <w:r w:rsidRPr="00D106C9">
        <w:rPr>
          <w:lang w:eastAsia="es-ES"/>
        </w:rPr>
        <w:t xml:space="preserve">Se remite recordatorios y cápsulas de avances sobre el registro del </w:t>
      </w:r>
      <w:r w:rsidRPr="00D106C9">
        <w:rPr>
          <w:lang w:eastAsia="es-ES"/>
        </w:rPr>
        <w:lastRenderedPageBreak/>
        <w:t>Plan Anual Operativo a las instancias responsables.</w:t>
      </w:r>
    </w:p>
    <w:p w14:paraId="3C779793" w14:textId="77777777" w:rsidR="00D106C9" w:rsidRPr="00D106C9" w:rsidRDefault="00D106C9" w:rsidP="003B2E9B">
      <w:pPr>
        <w:widowControl w:val="0"/>
        <w:numPr>
          <w:ilvl w:val="0"/>
          <w:numId w:val="54"/>
        </w:numPr>
        <w:suppressAutoHyphens w:val="0"/>
        <w:autoSpaceDE w:val="0"/>
        <w:autoSpaceDN w:val="0"/>
        <w:adjustRightInd w:val="0"/>
        <w:ind w:left="851" w:right="851" w:firstLine="709"/>
        <w:jc w:val="both"/>
        <w:rPr>
          <w:lang w:eastAsia="es-ES"/>
        </w:rPr>
      </w:pPr>
      <w:r w:rsidRPr="00D106C9">
        <w:rPr>
          <w:lang w:eastAsia="es-ES"/>
        </w:rPr>
        <w:t>Recopilación de información.</w:t>
      </w:r>
    </w:p>
    <w:p w14:paraId="52FEB114" w14:textId="77777777" w:rsidR="00D106C9" w:rsidRPr="00D106C9" w:rsidRDefault="00D106C9" w:rsidP="003B2E9B">
      <w:pPr>
        <w:widowControl w:val="0"/>
        <w:numPr>
          <w:ilvl w:val="0"/>
          <w:numId w:val="54"/>
        </w:numPr>
        <w:suppressAutoHyphens w:val="0"/>
        <w:autoSpaceDE w:val="0"/>
        <w:autoSpaceDN w:val="0"/>
        <w:adjustRightInd w:val="0"/>
        <w:ind w:left="851" w:right="851" w:firstLine="709"/>
        <w:jc w:val="both"/>
        <w:rPr>
          <w:lang w:eastAsia="es-ES"/>
        </w:rPr>
      </w:pPr>
      <w:r w:rsidRPr="00D106C9">
        <w:rPr>
          <w:lang w:eastAsia="es-ES"/>
        </w:rPr>
        <w:t>Análisis y clasificación de la información.</w:t>
      </w:r>
    </w:p>
    <w:p w14:paraId="0FDC1B78" w14:textId="77777777" w:rsidR="00D106C9" w:rsidRPr="00D106C9" w:rsidRDefault="00D106C9" w:rsidP="003B2E9B">
      <w:pPr>
        <w:widowControl w:val="0"/>
        <w:numPr>
          <w:ilvl w:val="0"/>
          <w:numId w:val="54"/>
        </w:numPr>
        <w:suppressAutoHyphens w:val="0"/>
        <w:autoSpaceDE w:val="0"/>
        <w:autoSpaceDN w:val="0"/>
        <w:adjustRightInd w:val="0"/>
        <w:ind w:left="851" w:right="851" w:firstLine="709"/>
        <w:jc w:val="both"/>
        <w:rPr>
          <w:lang w:eastAsia="es-ES"/>
        </w:rPr>
      </w:pPr>
      <w:r w:rsidRPr="00D106C9">
        <w:rPr>
          <w:lang w:eastAsia="es-ES"/>
        </w:rPr>
        <w:t>Elaboración del informe y entrega del informe.</w:t>
      </w:r>
    </w:p>
    <w:p w14:paraId="0A167DD9" w14:textId="77777777" w:rsidR="00D106C9" w:rsidRPr="00D106C9" w:rsidRDefault="00D106C9" w:rsidP="003B2E9B">
      <w:pPr>
        <w:widowControl w:val="0"/>
        <w:numPr>
          <w:ilvl w:val="0"/>
          <w:numId w:val="54"/>
        </w:numPr>
        <w:suppressAutoHyphens w:val="0"/>
        <w:autoSpaceDE w:val="0"/>
        <w:autoSpaceDN w:val="0"/>
        <w:adjustRightInd w:val="0"/>
        <w:ind w:left="851" w:right="851" w:firstLine="709"/>
        <w:jc w:val="both"/>
        <w:rPr>
          <w:iCs/>
          <w:lang w:eastAsia="es-ES"/>
        </w:rPr>
      </w:pPr>
      <w:r w:rsidRPr="00D106C9">
        <w:rPr>
          <w:lang w:eastAsia="es-ES"/>
        </w:rPr>
        <w:t>Aprobación del informe del Consejo Superior abril).</w:t>
      </w:r>
    </w:p>
    <w:p w14:paraId="1BE6AA9A" w14:textId="77777777" w:rsidR="00D106C9" w:rsidRPr="00D106C9" w:rsidRDefault="00D106C9" w:rsidP="00D106C9">
      <w:pPr>
        <w:widowControl w:val="0"/>
        <w:suppressAutoHyphens w:val="0"/>
        <w:autoSpaceDE w:val="0"/>
        <w:autoSpaceDN w:val="0"/>
        <w:adjustRightInd w:val="0"/>
        <w:ind w:left="851" w:right="851" w:firstLine="709"/>
        <w:jc w:val="both"/>
        <w:rPr>
          <w:iCs/>
          <w:lang w:eastAsia="es-ES"/>
        </w:rPr>
      </w:pPr>
    </w:p>
    <w:p w14:paraId="7B2B9555" w14:textId="77777777" w:rsidR="00D106C9" w:rsidRPr="00D106C9" w:rsidRDefault="00D106C9" w:rsidP="00D106C9">
      <w:pPr>
        <w:widowControl w:val="0"/>
        <w:suppressAutoHyphens w:val="0"/>
        <w:autoSpaceDE w:val="0"/>
        <w:autoSpaceDN w:val="0"/>
        <w:adjustRightInd w:val="0"/>
        <w:ind w:left="851" w:right="851" w:firstLine="709"/>
        <w:jc w:val="both"/>
        <w:rPr>
          <w:iCs/>
          <w:lang w:eastAsia="es-ES"/>
        </w:rPr>
      </w:pPr>
      <w:r w:rsidRPr="00D106C9">
        <w:rPr>
          <w:iCs/>
          <w:lang w:eastAsia="es-ES"/>
        </w:rPr>
        <w:t xml:space="preserve">A continuación, se presenta el cronograma desarrollado: </w:t>
      </w:r>
    </w:p>
    <w:p w14:paraId="520CD158"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p>
    <w:p w14:paraId="50C7F35C"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1</w:t>
      </w:r>
      <w:r w:rsidRPr="00D106C9">
        <w:rPr>
          <w:b/>
          <w:bCs/>
          <w:lang w:eastAsia="es-ES"/>
        </w:rPr>
        <w:fldChar w:fldCharType="end"/>
      </w:r>
    </w:p>
    <w:p w14:paraId="21CFFAD2"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Cronograma de actividades</w:t>
      </w:r>
    </w:p>
    <w:tbl>
      <w:tblPr>
        <w:tblW w:w="82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323"/>
        <w:gridCol w:w="200"/>
        <w:gridCol w:w="200"/>
        <w:gridCol w:w="200"/>
        <w:gridCol w:w="200"/>
        <w:gridCol w:w="242"/>
        <w:gridCol w:w="242"/>
        <w:gridCol w:w="242"/>
        <w:gridCol w:w="242"/>
        <w:gridCol w:w="205"/>
        <w:gridCol w:w="205"/>
        <w:gridCol w:w="205"/>
        <w:gridCol w:w="205"/>
        <w:gridCol w:w="200"/>
        <w:gridCol w:w="200"/>
        <w:gridCol w:w="200"/>
        <w:gridCol w:w="200"/>
      </w:tblGrid>
      <w:tr w:rsidR="00D106C9" w:rsidRPr="00D106C9" w14:paraId="4130494F" w14:textId="77777777" w:rsidTr="006D7BCD">
        <w:trPr>
          <w:trHeight w:val="300"/>
        </w:trPr>
        <w:tc>
          <w:tcPr>
            <w:tcW w:w="5323" w:type="dxa"/>
            <w:shd w:val="clear" w:color="000000" w:fill="4472C4"/>
            <w:vAlign w:val="center"/>
            <w:hideMark/>
          </w:tcPr>
          <w:p w14:paraId="42D6216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Actividades</w:t>
            </w:r>
          </w:p>
        </w:tc>
        <w:tc>
          <w:tcPr>
            <w:tcW w:w="673" w:type="dxa"/>
            <w:gridSpan w:val="4"/>
            <w:shd w:val="clear" w:color="000000" w:fill="4472C4"/>
            <w:vAlign w:val="center"/>
            <w:hideMark/>
          </w:tcPr>
          <w:p w14:paraId="2BCD5C51"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Enero</w:t>
            </w:r>
          </w:p>
        </w:tc>
        <w:tc>
          <w:tcPr>
            <w:tcW w:w="816" w:type="dxa"/>
            <w:gridSpan w:val="4"/>
            <w:shd w:val="clear" w:color="000000" w:fill="4472C4"/>
            <w:vAlign w:val="center"/>
            <w:hideMark/>
          </w:tcPr>
          <w:p w14:paraId="005B63B9"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Febrero</w:t>
            </w:r>
          </w:p>
        </w:tc>
        <w:tc>
          <w:tcPr>
            <w:tcW w:w="748" w:type="dxa"/>
            <w:gridSpan w:val="4"/>
            <w:shd w:val="clear" w:color="000000" w:fill="4472C4"/>
            <w:vAlign w:val="center"/>
            <w:hideMark/>
          </w:tcPr>
          <w:p w14:paraId="4D0D70F2"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Marzo</w:t>
            </w:r>
          </w:p>
        </w:tc>
        <w:tc>
          <w:tcPr>
            <w:tcW w:w="660" w:type="dxa"/>
            <w:gridSpan w:val="4"/>
            <w:shd w:val="clear" w:color="000000" w:fill="4472C4"/>
            <w:vAlign w:val="center"/>
            <w:hideMark/>
          </w:tcPr>
          <w:p w14:paraId="17B2CB5C"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Abril</w:t>
            </w:r>
          </w:p>
        </w:tc>
      </w:tr>
      <w:tr w:rsidR="00D106C9" w:rsidRPr="00D106C9" w14:paraId="2D7E175F" w14:textId="77777777" w:rsidTr="006D7BCD">
        <w:trPr>
          <w:trHeight w:val="1570"/>
        </w:trPr>
        <w:tc>
          <w:tcPr>
            <w:tcW w:w="5323" w:type="dxa"/>
            <w:shd w:val="clear" w:color="auto" w:fill="auto"/>
            <w:vAlign w:val="center"/>
            <w:hideMark/>
          </w:tcPr>
          <w:p w14:paraId="74794113" w14:textId="77777777" w:rsidR="00D106C9" w:rsidRPr="00D106C9" w:rsidRDefault="00D106C9" w:rsidP="003B2E9B">
            <w:pPr>
              <w:widowControl w:val="0"/>
              <w:numPr>
                <w:ilvl w:val="0"/>
                <w:numId w:val="58"/>
              </w:numPr>
              <w:suppressAutoHyphens w:val="0"/>
              <w:autoSpaceDE w:val="0"/>
              <w:autoSpaceDN w:val="0"/>
              <w:adjustRightInd w:val="0"/>
              <w:contextualSpacing/>
              <w:rPr>
                <w:lang w:eastAsia="es-CR"/>
              </w:rPr>
            </w:pPr>
            <w:r w:rsidRPr="00D106C9">
              <w:rPr>
                <w:lang w:eastAsia="es-CR"/>
              </w:rPr>
              <w:t xml:space="preserve">Envió de recordatorios y cápsulas de avances sobre el registro del Plan Anual Operativo a las instancias responsables. </w:t>
            </w:r>
          </w:p>
        </w:tc>
        <w:tc>
          <w:tcPr>
            <w:tcW w:w="168" w:type="dxa"/>
            <w:shd w:val="clear" w:color="auto" w:fill="auto"/>
            <w:noWrap/>
            <w:vAlign w:val="center"/>
            <w:hideMark/>
          </w:tcPr>
          <w:p w14:paraId="6AC26CE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000000" w:fill="00B050"/>
            <w:noWrap/>
            <w:vAlign w:val="center"/>
            <w:hideMark/>
          </w:tcPr>
          <w:p w14:paraId="3FD82B6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000000" w:fill="00B050"/>
            <w:noWrap/>
            <w:vAlign w:val="center"/>
            <w:hideMark/>
          </w:tcPr>
          <w:p w14:paraId="63055685"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9" w:type="dxa"/>
            <w:shd w:val="clear" w:color="000000" w:fill="00B050"/>
            <w:noWrap/>
            <w:vAlign w:val="center"/>
            <w:hideMark/>
          </w:tcPr>
          <w:p w14:paraId="5ED51930"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000000" w:fill="00B050"/>
            <w:noWrap/>
            <w:vAlign w:val="center"/>
            <w:hideMark/>
          </w:tcPr>
          <w:p w14:paraId="30341D5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5A56FA82"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55D52DE2"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6E4E1D14"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45BE6A46"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34FFC96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53DD9928"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7749643A"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5596F6F6"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1B8D18CE"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0EFD5DB9"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29012F3E"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r>
      <w:tr w:rsidR="00D106C9" w:rsidRPr="00D106C9" w14:paraId="0938BED5" w14:textId="77777777" w:rsidTr="006D7BCD">
        <w:trPr>
          <w:trHeight w:val="530"/>
        </w:trPr>
        <w:tc>
          <w:tcPr>
            <w:tcW w:w="5323" w:type="dxa"/>
            <w:shd w:val="clear" w:color="auto" w:fill="auto"/>
            <w:vAlign w:val="center"/>
            <w:hideMark/>
          </w:tcPr>
          <w:p w14:paraId="595353AE" w14:textId="77777777" w:rsidR="00D106C9" w:rsidRPr="00D106C9" w:rsidRDefault="00D106C9" w:rsidP="003B2E9B">
            <w:pPr>
              <w:widowControl w:val="0"/>
              <w:numPr>
                <w:ilvl w:val="0"/>
                <w:numId w:val="58"/>
              </w:numPr>
              <w:suppressAutoHyphens w:val="0"/>
              <w:autoSpaceDE w:val="0"/>
              <w:autoSpaceDN w:val="0"/>
              <w:adjustRightInd w:val="0"/>
              <w:contextualSpacing/>
              <w:rPr>
                <w:lang w:eastAsia="es-CR"/>
              </w:rPr>
            </w:pPr>
            <w:r w:rsidRPr="00D106C9">
              <w:rPr>
                <w:lang w:eastAsia="es-CR"/>
              </w:rPr>
              <w:t>Recopilación de información.</w:t>
            </w:r>
          </w:p>
        </w:tc>
        <w:tc>
          <w:tcPr>
            <w:tcW w:w="168" w:type="dxa"/>
            <w:shd w:val="clear" w:color="auto" w:fill="auto"/>
            <w:noWrap/>
            <w:vAlign w:val="center"/>
            <w:hideMark/>
          </w:tcPr>
          <w:p w14:paraId="6CBE0E94"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auto" w:fill="auto"/>
            <w:noWrap/>
            <w:vAlign w:val="center"/>
            <w:hideMark/>
          </w:tcPr>
          <w:p w14:paraId="524231D6"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auto" w:fill="auto"/>
            <w:noWrap/>
            <w:vAlign w:val="center"/>
            <w:hideMark/>
          </w:tcPr>
          <w:p w14:paraId="507EB22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9" w:type="dxa"/>
            <w:shd w:val="clear" w:color="auto" w:fill="auto"/>
            <w:noWrap/>
            <w:vAlign w:val="center"/>
            <w:hideMark/>
          </w:tcPr>
          <w:p w14:paraId="2784C8ED"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2C1CE844"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000000" w:fill="00B050"/>
            <w:noWrap/>
            <w:vAlign w:val="center"/>
            <w:hideMark/>
          </w:tcPr>
          <w:p w14:paraId="6C074D12"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6F24999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6A25C911"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469F7175"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6DD07F00"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72A5199C"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42D46431"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691482A4"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52E4BB6C"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2BF70304"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3E3B6FB1"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r>
      <w:tr w:rsidR="00D106C9" w:rsidRPr="00D106C9" w14:paraId="3E858B32" w14:textId="77777777" w:rsidTr="006D7BCD">
        <w:trPr>
          <w:trHeight w:val="530"/>
        </w:trPr>
        <w:tc>
          <w:tcPr>
            <w:tcW w:w="5323" w:type="dxa"/>
            <w:shd w:val="clear" w:color="auto" w:fill="auto"/>
            <w:noWrap/>
            <w:vAlign w:val="center"/>
            <w:hideMark/>
          </w:tcPr>
          <w:p w14:paraId="60FDA993" w14:textId="77777777" w:rsidR="00D106C9" w:rsidRPr="00D106C9" w:rsidRDefault="00D106C9" w:rsidP="003B2E9B">
            <w:pPr>
              <w:widowControl w:val="0"/>
              <w:numPr>
                <w:ilvl w:val="0"/>
                <w:numId w:val="58"/>
              </w:numPr>
              <w:suppressAutoHyphens w:val="0"/>
              <w:autoSpaceDE w:val="0"/>
              <w:autoSpaceDN w:val="0"/>
              <w:adjustRightInd w:val="0"/>
              <w:contextualSpacing/>
              <w:jc w:val="both"/>
              <w:rPr>
                <w:lang w:eastAsia="es-CR"/>
              </w:rPr>
            </w:pPr>
            <w:r w:rsidRPr="00D106C9">
              <w:rPr>
                <w:lang w:eastAsia="es-CR"/>
              </w:rPr>
              <w:t>Análisis y clasificación de la información.</w:t>
            </w:r>
          </w:p>
        </w:tc>
        <w:tc>
          <w:tcPr>
            <w:tcW w:w="168" w:type="dxa"/>
            <w:shd w:val="clear" w:color="auto" w:fill="auto"/>
            <w:noWrap/>
            <w:vAlign w:val="center"/>
            <w:hideMark/>
          </w:tcPr>
          <w:p w14:paraId="7E5F4F14"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auto" w:fill="auto"/>
            <w:noWrap/>
            <w:vAlign w:val="center"/>
            <w:hideMark/>
          </w:tcPr>
          <w:p w14:paraId="2969BAF0"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auto" w:fill="auto"/>
            <w:noWrap/>
            <w:vAlign w:val="center"/>
            <w:hideMark/>
          </w:tcPr>
          <w:p w14:paraId="583548A7"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9" w:type="dxa"/>
            <w:shd w:val="clear" w:color="auto" w:fill="auto"/>
            <w:noWrap/>
            <w:vAlign w:val="center"/>
            <w:hideMark/>
          </w:tcPr>
          <w:p w14:paraId="0F3102BE"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6642DED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2E6C5B5D"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000000" w:fill="00B050"/>
            <w:noWrap/>
            <w:vAlign w:val="center"/>
            <w:hideMark/>
          </w:tcPr>
          <w:p w14:paraId="0DF9D688"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000000" w:fill="00B050"/>
            <w:noWrap/>
            <w:vAlign w:val="center"/>
            <w:hideMark/>
          </w:tcPr>
          <w:p w14:paraId="44A7C76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739A2D8F"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7CD2B10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39DEFAFE"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3A4FAFD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1E190B6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41D7D29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0FB62EE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5B3294D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r>
      <w:tr w:rsidR="00D106C9" w:rsidRPr="00D106C9" w14:paraId="6F1223C1" w14:textId="77777777" w:rsidTr="006D7BCD">
        <w:trPr>
          <w:trHeight w:val="790"/>
        </w:trPr>
        <w:tc>
          <w:tcPr>
            <w:tcW w:w="5323" w:type="dxa"/>
            <w:shd w:val="clear" w:color="auto" w:fill="auto"/>
            <w:noWrap/>
            <w:vAlign w:val="center"/>
            <w:hideMark/>
          </w:tcPr>
          <w:p w14:paraId="2439DDC0" w14:textId="77777777" w:rsidR="00D106C9" w:rsidRPr="00D106C9" w:rsidRDefault="00D106C9" w:rsidP="003B2E9B">
            <w:pPr>
              <w:widowControl w:val="0"/>
              <w:numPr>
                <w:ilvl w:val="0"/>
                <w:numId w:val="58"/>
              </w:numPr>
              <w:suppressAutoHyphens w:val="0"/>
              <w:autoSpaceDE w:val="0"/>
              <w:autoSpaceDN w:val="0"/>
              <w:adjustRightInd w:val="0"/>
              <w:contextualSpacing/>
              <w:jc w:val="both"/>
              <w:rPr>
                <w:lang w:eastAsia="es-CR"/>
              </w:rPr>
            </w:pPr>
            <w:r w:rsidRPr="00D106C9">
              <w:rPr>
                <w:lang w:eastAsia="es-CR"/>
              </w:rPr>
              <w:t xml:space="preserve">Elaboración del informe y entrega del informe </w:t>
            </w:r>
          </w:p>
        </w:tc>
        <w:tc>
          <w:tcPr>
            <w:tcW w:w="168" w:type="dxa"/>
            <w:shd w:val="clear" w:color="auto" w:fill="auto"/>
            <w:noWrap/>
            <w:vAlign w:val="center"/>
            <w:hideMark/>
          </w:tcPr>
          <w:p w14:paraId="5AFCC765"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auto" w:fill="auto"/>
            <w:noWrap/>
            <w:vAlign w:val="center"/>
            <w:hideMark/>
          </w:tcPr>
          <w:p w14:paraId="2E7A53D2"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auto" w:fill="auto"/>
            <w:noWrap/>
            <w:vAlign w:val="center"/>
            <w:hideMark/>
          </w:tcPr>
          <w:p w14:paraId="25EE68DF"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9" w:type="dxa"/>
            <w:shd w:val="clear" w:color="auto" w:fill="auto"/>
            <w:noWrap/>
            <w:vAlign w:val="center"/>
            <w:hideMark/>
          </w:tcPr>
          <w:p w14:paraId="4639F4B9"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386E428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78FA653E"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390AEA91"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72D59E01"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000000" w:fill="00B050"/>
            <w:noWrap/>
            <w:vAlign w:val="center"/>
            <w:hideMark/>
          </w:tcPr>
          <w:p w14:paraId="081B8AB2"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000000" w:fill="00B050"/>
            <w:noWrap/>
            <w:vAlign w:val="center"/>
            <w:hideMark/>
          </w:tcPr>
          <w:p w14:paraId="23A48BBC"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7A916031"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36244125"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27E40056"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70ED9930"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661ABE3F"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auto" w:fill="auto"/>
            <w:noWrap/>
            <w:vAlign w:val="center"/>
            <w:hideMark/>
          </w:tcPr>
          <w:p w14:paraId="2B0161D0"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r>
      <w:tr w:rsidR="00D106C9" w:rsidRPr="00D106C9" w14:paraId="18BF89DC" w14:textId="77777777" w:rsidTr="006D7BCD">
        <w:trPr>
          <w:trHeight w:val="790"/>
        </w:trPr>
        <w:tc>
          <w:tcPr>
            <w:tcW w:w="5323" w:type="dxa"/>
            <w:shd w:val="clear" w:color="auto" w:fill="auto"/>
            <w:noWrap/>
            <w:vAlign w:val="center"/>
            <w:hideMark/>
          </w:tcPr>
          <w:p w14:paraId="25F28FFC" w14:textId="77777777" w:rsidR="00D106C9" w:rsidRPr="00D106C9" w:rsidRDefault="00D106C9" w:rsidP="003B2E9B">
            <w:pPr>
              <w:widowControl w:val="0"/>
              <w:numPr>
                <w:ilvl w:val="0"/>
                <w:numId w:val="58"/>
              </w:numPr>
              <w:suppressAutoHyphens w:val="0"/>
              <w:autoSpaceDE w:val="0"/>
              <w:autoSpaceDN w:val="0"/>
              <w:adjustRightInd w:val="0"/>
              <w:contextualSpacing/>
              <w:jc w:val="both"/>
              <w:rPr>
                <w:lang w:eastAsia="es-CR"/>
              </w:rPr>
            </w:pPr>
            <w:r w:rsidRPr="00D106C9">
              <w:rPr>
                <w:lang w:eastAsia="es-CR"/>
              </w:rPr>
              <w:t>Aprobación del informe del Consejo Superior (marzo-abril).</w:t>
            </w:r>
          </w:p>
        </w:tc>
        <w:tc>
          <w:tcPr>
            <w:tcW w:w="168" w:type="dxa"/>
            <w:shd w:val="clear" w:color="auto" w:fill="auto"/>
            <w:noWrap/>
            <w:vAlign w:val="center"/>
            <w:hideMark/>
          </w:tcPr>
          <w:p w14:paraId="658A8D89"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auto" w:fill="auto"/>
            <w:noWrap/>
            <w:vAlign w:val="center"/>
            <w:hideMark/>
          </w:tcPr>
          <w:p w14:paraId="0F64BC8E"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8" w:type="dxa"/>
            <w:shd w:val="clear" w:color="auto" w:fill="auto"/>
            <w:noWrap/>
            <w:vAlign w:val="center"/>
            <w:hideMark/>
          </w:tcPr>
          <w:p w14:paraId="26A249C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9" w:type="dxa"/>
            <w:shd w:val="clear" w:color="auto" w:fill="auto"/>
            <w:noWrap/>
            <w:vAlign w:val="center"/>
            <w:hideMark/>
          </w:tcPr>
          <w:p w14:paraId="3AF47DD4"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508C0C80"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27C86637"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4E060C0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204" w:type="dxa"/>
            <w:shd w:val="clear" w:color="auto" w:fill="auto"/>
            <w:noWrap/>
            <w:vAlign w:val="center"/>
            <w:hideMark/>
          </w:tcPr>
          <w:p w14:paraId="5908E77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auto" w:fill="auto"/>
            <w:noWrap/>
            <w:vAlign w:val="center"/>
            <w:hideMark/>
          </w:tcPr>
          <w:p w14:paraId="45A3FE5E"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000000" w:fill="00B050"/>
            <w:noWrap/>
            <w:vAlign w:val="center"/>
            <w:hideMark/>
          </w:tcPr>
          <w:p w14:paraId="3F6242F3"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000000" w:fill="00B050"/>
            <w:noWrap/>
            <w:vAlign w:val="center"/>
            <w:hideMark/>
          </w:tcPr>
          <w:p w14:paraId="37AF4636"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87" w:type="dxa"/>
            <w:shd w:val="clear" w:color="000000" w:fill="00B050"/>
            <w:noWrap/>
            <w:vAlign w:val="center"/>
            <w:hideMark/>
          </w:tcPr>
          <w:p w14:paraId="5A25489A"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000000" w:fill="00B050"/>
            <w:noWrap/>
            <w:vAlign w:val="center"/>
            <w:hideMark/>
          </w:tcPr>
          <w:p w14:paraId="635F249E"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000000" w:fill="00B050"/>
            <w:noWrap/>
            <w:vAlign w:val="center"/>
            <w:hideMark/>
          </w:tcPr>
          <w:p w14:paraId="540CB815"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000000" w:fill="00B050"/>
            <w:noWrap/>
            <w:vAlign w:val="center"/>
            <w:hideMark/>
          </w:tcPr>
          <w:p w14:paraId="06FEF30C"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c>
          <w:tcPr>
            <w:tcW w:w="165" w:type="dxa"/>
            <w:shd w:val="clear" w:color="000000" w:fill="00B050"/>
            <w:noWrap/>
            <w:vAlign w:val="center"/>
            <w:hideMark/>
          </w:tcPr>
          <w:p w14:paraId="7DBEB8AC"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 </w:t>
            </w:r>
          </w:p>
        </w:tc>
      </w:tr>
    </w:tbl>
    <w:p w14:paraId="07187BA4" w14:textId="77777777" w:rsidR="00D106C9" w:rsidRPr="00D106C9" w:rsidRDefault="00D106C9" w:rsidP="00D106C9">
      <w:pPr>
        <w:widowControl w:val="0"/>
        <w:suppressAutoHyphens w:val="0"/>
        <w:autoSpaceDE w:val="0"/>
        <w:autoSpaceDN w:val="0"/>
        <w:adjustRightInd w:val="0"/>
        <w:rPr>
          <w:lang w:eastAsia="es-ES"/>
        </w:rPr>
      </w:pPr>
      <w:r w:rsidRPr="00D106C9">
        <w:rPr>
          <w:b/>
          <w:bCs/>
          <w:iCs/>
          <w:lang w:eastAsia="es-ES"/>
        </w:rPr>
        <w:t>Fuente:</w:t>
      </w:r>
      <w:r w:rsidRPr="00D106C9">
        <w:rPr>
          <w:iCs/>
          <w:lang w:eastAsia="es-ES"/>
        </w:rPr>
        <w:t xml:space="preserve"> Elaboración propia.</w:t>
      </w:r>
      <w:r w:rsidRPr="00D106C9">
        <w:rPr>
          <w:lang w:eastAsia="es-ES"/>
        </w:rPr>
        <w:t xml:space="preserve"> </w:t>
      </w:r>
    </w:p>
    <w:p w14:paraId="514BF754" w14:textId="77777777" w:rsidR="00D106C9" w:rsidRPr="00D106C9" w:rsidRDefault="00D106C9" w:rsidP="00D106C9">
      <w:pPr>
        <w:widowControl w:val="0"/>
        <w:suppressAutoHyphens w:val="0"/>
        <w:autoSpaceDE w:val="0"/>
        <w:autoSpaceDN w:val="0"/>
        <w:adjustRightInd w:val="0"/>
        <w:rPr>
          <w:lang w:eastAsia="es-ES"/>
        </w:rPr>
      </w:pPr>
    </w:p>
    <w:p w14:paraId="6A5C268F"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4.4. Técnicas empleadas en la Evaluación del Plan Anual Operativo 2021.</w:t>
      </w:r>
    </w:p>
    <w:p w14:paraId="6C401C01" w14:textId="77777777" w:rsidR="00D106C9" w:rsidRPr="00D106C9" w:rsidRDefault="00D106C9" w:rsidP="00D106C9">
      <w:pPr>
        <w:widowControl w:val="0"/>
        <w:suppressAutoHyphens w:val="0"/>
        <w:autoSpaceDE w:val="0"/>
        <w:autoSpaceDN w:val="0"/>
        <w:adjustRightInd w:val="0"/>
        <w:ind w:left="851" w:right="851" w:firstLine="709"/>
        <w:rPr>
          <w:rFonts w:eastAsia="Symbol"/>
          <w:lang w:eastAsia="es-CR"/>
        </w:rPr>
      </w:pPr>
    </w:p>
    <w:p w14:paraId="727F4D51" w14:textId="77777777" w:rsidR="00D106C9" w:rsidRPr="00D106C9" w:rsidRDefault="00D106C9" w:rsidP="00D106C9">
      <w:pPr>
        <w:widowControl w:val="0"/>
        <w:suppressAutoHyphens w:val="0"/>
        <w:autoSpaceDE w:val="0"/>
        <w:autoSpaceDN w:val="0"/>
        <w:adjustRightInd w:val="0"/>
        <w:ind w:left="851" w:right="851" w:firstLine="709"/>
        <w:rPr>
          <w:rFonts w:eastAsia="Symbol"/>
          <w:lang w:eastAsia="es-CR"/>
        </w:rPr>
      </w:pPr>
      <w:r w:rsidRPr="00D106C9">
        <w:rPr>
          <w:rFonts w:eastAsia="Symbol"/>
          <w:lang w:eastAsia="es-CR"/>
        </w:rPr>
        <w:t>Como técnicas empleadas en el en el desarrollo de la presente evaluación, se realizaron las siguientes actividades:</w:t>
      </w:r>
    </w:p>
    <w:p w14:paraId="18C61F7A" w14:textId="77777777" w:rsidR="00D106C9" w:rsidRPr="00D106C9" w:rsidRDefault="00D106C9" w:rsidP="003B2E9B">
      <w:pPr>
        <w:widowControl w:val="0"/>
        <w:numPr>
          <w:ilvl w:val="1"/>
          <w:numId w:val="52"/>
        </w:numPr>
        <w:suppressAutoHyphens w:val="0"/>
        <w:autoSpaceDE w:val="0"/>
        <w:autoSpaceDN w:val="0"/>
        <w:adjustRightInd w:val="0"/>
        <w:ind w:left="851" w:right="851" w:firstLine="709"/>
        <w:jc w:val="both"/>
        <w:rPr>
          <w:b/>
          <w:bCs/>
          <w:lang w:eastAsia="es-ES"/>
        </w:rPr>
      </w:pPr>
      <w:r w:rsidRPr="00D106C9">
        <w:rPr>
          <w:b/>
          <w:bCs/>
          <w:lang w:eastAsia="es-ES"/>
        </w:rPr>
        <w:t>Técnica de observación.</w:t>
      </w:r>
    </w:p>
    <w:p w14:paraId="03B25953"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6C197BFF"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r w:rsidRPr="00D106C9">
        <w:rPr>
          <w:lang w:eastAsia="es-ES"/>
        </w:rPr>
        <w:t>Revisar los resultados obtenidos para cada programa presupuestario, centro de responsabilidad, por ejes transversales y temas estratégicos.</w:t>
      </w:r>
    </w:p>
    <w:p w14:paraId="28B6E458"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0B62BD71" w14:textId="77777777" w:rsidR="00D106C9" w:rsidRPr="00D106C9" w:rsidRDefault="00D106C9" w:rsidP="003B2E9B">
      <w:pPr>
        <w:widowControl w:val="0"/>
        <w:numPr>
          <w:ilvl w:val="1"/>
          <w:numId w:val="52"/>
        </w:numPr>
        <w:suppressAutoHyphens w:val="0"/>
        <w:autoSpaceDE w:val="0"/>
        <w:autoSpaceDN w:val="0"/>
        <w:adjustRightInd w:val="0"/>
        <w:ind w:left="851" w:right="851" w:firstLine="709"/>
        <w:jc w:val="both"/>
        <w:rPr>
          <w:b/>
          <w:bCs/>
          <w:lang w:eastAsia="es-ES"/>
        </w:rPr>
      </w:pPr>
      <w:r w:rsidRPr="00D106C9">
        <w:rPr>
          <w:b/>
          <w:bCs/>
          <w:lang w:eastAsia="es-ES"/>
        </w:rPr>
        <w:t>Técnica de Sistemas.</w:t>
      </w:r>
    </w:p>
    <w:p w14:paraId="660A57BD"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35D4D6A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lastRenderedPageBreak/>
        <w:t>Generar los reportes por medio del Sistema PAO de cada una de las oficinas y despachos responsables de brindar la información de cada meta operativa.</w:t>
      </w:r>
    </w:p>
    <w:p w14:paraId="413AF10C"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0D3E3E4B"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27E86A10"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1A399EBD"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2F8B719B"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139222F3" w14:textId="77777777" w:rsidR="00D106C9" w:rsidRPr="00D106C9" w:rsidRDefault="00D106C9" w:rsidP="003B2E9B">
      <w:pPr>
        <w:widowControl w:val="0"/>
        <w:numPr>
          <w:ilvl w:val="1"/>
          <w:numId w:val="52"/>
        </w:numPr>
        <w:suppressAutoHyphens w:val="0"/>
        <w:autoSpaceDE w:val="0"/>
        <w:autoSpaceDN w:val="0"/>
        <w:adjustRightInd w:val="0"/>
        <w:ind w:left="851" w:right="851" w:firstLine="709"/>
        <w:jc w:val="both"/>
        <w:rPr>
          <w:b/>
          <w:bCs/>
          <w:lang w:eastAsia="es-ES"/>
        </w:rPr>
      </w:pPr>
      <w:r w:rsidRPr="00D106C9">
        <w:rPr>
          <w:b/>
          <w:bCs/>
          <w:lang w:eastAsia="es-ES"/>
        </w:rPr>
        <w:t>Técnica de Análisis.</w:t>
      </w:r>
    </w:p>
    <w:p w14:paraId="68537D5F" w14:textId="77777777" w:rsidR="00D106C9" w:rsidRPr="00D106C9" w:rsidRDefault="00D106C9" w:rsidP="00D106C9">
      <w:pPr>
        <w:suppressAutoHyphens w:val="0"/>
        <w:ind w:left="851" w:right="851" w:firstLine="709"/>
        <w:jc w:val="both"/>
        <w:rPr>
          <w:lang w:eastAsia="es-ES"/>
        </w:rPr>
      </w:pPr>
    </w:p>
    <w:p w14:paraId="65FD8F1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Recopilación y análisis de evidencias sobre las actuaciones realizadas durante el período de ejecución de las metas, en este caso los doce meses del 2021 (enero a diciembre 2021).</w:t>
      </w:r>
    </w:p>
    <w:p w14:paraId="4B67163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CCBD99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366D2F0"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 xml:space="preserve">5. </w:t>
      </w:r>
      <w:bookmarkStart w:id="10" w:name="_Toc90563623"/>
      <w:bookmarkStart w:id="11" w:name="_Toc102390777"/>
      <w:r w:rsidRPr="00D106C9">
        <w:rPr>
          <w:lang w:eastAsia="es-ES"/>
        </w:rPr>
        <w:t>Alcance del seguimiento.</w:t>
      </w:r>
      <w:bookmarkEnd w:id="10"/>
      <w:bookmarkEnd w:id="11"/>
    </w:p>
    <w:p w14:paraId="5AB728AA" w14:textId="77777777" w:rsidR="00D106C9" w:rsidRPr="00D106C9" w:rsidRDefault="00D106C9" w:rsidP="00D106C9">
      <w:pPr>
        <w:widowControl w:val="0"/>
        <w:suppressAutoHyphens w:val="0"/>
        <w:autoSpaceDE w:val="0"/>
        <w:autoSpaceDN w:val="0"/>
        <w:adjustRightInd w:val="0"/>
        <w:ind w:left="851" w:right="851" w:firstLine="709"/>
        <w:rPr>
          <w:lang w:eastAsia="ja-JP"/>
        </w:rPr>
      </w:pPr>
    </w:p>
    <w:p w14:paraId="3F9FD5A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La circular 32-2022 del 11 de enero del 2022 (ver anexo 1), denominada </w:t>
      </w:r>
      <w:r w:rsidRPr="00D106C9">
        <w:rPr>
          <w:i/>
          <w:iCs/>
          <w:lang w:eastAsia="es-ES"/>
        </w:rPr>
        <w:t>“</w:t>
      </w:r>
      <w:r w:rsidRPr="00D106C9">
        <w:rPr>
          <w:rFonts w:eastAsia="Calibri"/>
          <w:i/>
          <w:iCs/>
        </w:rPr>
        <w:t>Reiteración de la circular 141-2020 sobre la</w:t>
      </w:r>
      <w:r w:rsidRPr="00D106C9">
        <w:rPr>
          <w:rFonts w:eastAsia="Calibri"/>
          <w:b/>
          <w:bCs/>
          <w:i/>
          <w:iCs/>
        </w:rPr>
        <w:t xml:space="preserve"> </w:t>
      </w:r>
      <w:r w:rsidRPr="00D106C9">
        <w:rPr>
          <w:i/>
          <w:iCs/>
          <w:lang w:eastAsia="es-ES"/>
        </w:rPr>
        <w:t xml:space="preserve">Obligación de realizar evaluaciones semestrales y anuales de Planes anuales y operativos”, </w:t>
      </w:r>
      <w:r w:rsidRPr="00D106C9">
        <w:rPr>
          <w:lang w:eastAsia="es-ES"/>
        </w:rPr>
        <w:t xml:space="preserve">estableció la responsabilidad de los despachos judiciales de realizar seguimientos periódicos a sus Planes Anuales Operativos, para tener un mayor control y seguimiento por medio del Sistema PAO de sus planes y su ejecución. Con el objetivo de establecer la periodicidad de los seguimientos, se informó que el corte establecido para realizar la evaluación 2021 a los Planes Anuales Operativos fue el 19 de enero del 2022; sin embargo, </w:t>
      </w:r>
      <w:r w:rsidRPr="00D106C9">
        <w:rPr>
          <w:snapToGrid w:val="0"/>
          <w:lang w:eastAsia="es-ES"/>
        </w:rPr>
        <w:t xml:space="preserve">la Dirección de Planificación concedió una prórroga para registrar los avances en el Sistema PAO, solicitada por diferentes juzgados a nivel nacional. </w:t>
      </w:r>
    </w:p>
    <w:p w14:paraId="71D5387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BE43FA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Para el año 2021 se revisó el Sistema PAO y se tuvo que el </w:t>
      </w:r>
      <w:r w:rsidRPr="00D106C9">
        <w:rPr>
          <w:b/>
          <w:bCs/>
          <w:lang w:eastAsia="es-ES"/>
        </w:rPr>
        <w:t>99,16% de las oficinas formularon su PAO correspondiente</w:t>
      </w:r>
      <w:r w:rsidRPr="00D106C9">
        <w:rPr>
          <w:lang w:eastAsia="es-ES"/>
        </w:rPr>
        <w:t xml:space="preserve"> a su oficina (827 oficinas). Solamente siete oficinas no formularon PAO, lo que corresponde a que la oficina </w:t>
      </w:r>
      <w:r w:rsidRPr="00D106C9">
        <w:rPr>
          <w:b/>
          <w:bCs/>
          <w:lang w:eastAsia="es-ES"/>
        </w:rPr>
        <w:t>0978 Oficina Administrativa del Tercer Circuito Judicial de San José</w:t>
      </w:r>
      <w:r w:rsidRPr="00D106C9">
        <w:rPr>
          <w:lang w:eastAsia="es-ES"/>
        </w:rPr>
        <w:t xml:space="preserve"> tiene un solo puesto profesional por lo cual, esta oficina no está generando PAO y las metas se le adjuntaron al PAO de la Administración del Primer Circuito Judicial de San José. </w:t>
      </w:r>
    </w:p>
    <w:p w14:paraId="1E6A4DB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Por otro lado, la oficina </w:t>
      </w:r>
      <w:r w:rsidRPr="00D106C9">
        <w:rPr>
          <w:b/>
          <w:bCs/>
          <w:lang w:eastAsia="es-ES"/>
        </w:rPr>
        <w:t>1217 Fiscalía Adjunta Atención Vespertina, Detenidos, Victimas, Flagrancia y Asuntos no Complejos</w:t>
      </w:r>
      <w:r w:rsidRPr="00D106C9">
        <w:rPr>
          <w:lang w:eastAsia="es-ES"/>
        </w:rPr>
        <w:t xml:space="preserve"> no elaboró el PAO correspondiente debido a que los objetivos se formularon bajo el PAO de la </w:t>
      </w:r>
      <w:proofErr w:type="gramStart"/>
      <w:r w:rsidRPr="00D106C9">
        <w:rPr>
          <w:lang w:eastAsia="es-ES"/>
        </w:rPr>
        <w:t>Fiscalía General</w:t>
      </w:r>
      <w:proofErr w:type="gramEnd"/>
      <w:r w:rsidRPr="00D106C9">
        <w:rPr>
          <w:lang w:eastAsia="es-ES"/>
        </w:rPr>
        <w:t>.</w:t>
      </w:r>
    </w:p>
    <w:p w14:paraId="6F346F3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Con respecto a las oficinas 1870 -Juzgado Agrario de Puntarenas, sede </w:t>
      </w:r>
      <w:r w:rsidRPr="00D106C9">
        <w:rPr>
          <w:lang w:eastAsia="es-ES"/>
        </w:rPr>
        <w:lastRenderedPageBreak/>
        <w:t>Jicaral, 1875 -Unidad de Gestión Administrativa Transportes, 1902- Oficina de Comunicaciones Judiciales Cañas, 1866 -Unidad de Medicina Legal de San Ramón y 1903- Oficina de Comunicaciones Judiciales Buenos Aires, corresponden a oficinas nuevas para el 2021, por lo tanto, como se había indicado en el informe 1311-PLA-EV-2021 de seguimiento al primer semestre 2021, este grupo de oficinas no fueron objeto del seguimiento o evaluación (</w:t>
      </w:r>
      <w:r w:rsidRPr="00D106C9">
        <w:rPr>
          <w:b/>
          <w:bCs/>
          <w:lang w:eastAsia="es-ES"/>
        </w:rPr>
        <w:t>ver anexo 2</w:t>
      </w:r>
      <w:r w:rsidRPr="00D106C9">
        <w:rPr>
          <w:lang w:eastAsia="es-ES"/>
        </w:rPr>
        <w:t xml:space="preserve">). </w:t>
      </w:r>
    </w:p>
    <w:p w14:paraId="499ACBD2"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528A1E77"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b/>
          <w:bCs/>
          <w:lang w:eastAsia="es-ES"/>
        </w:rPr>
      </w:pPr>
      <w:bookmarkStart w:id="12" w:name="_Toc90563624"/>
      <w:bookmarkStart w:id="13" w:name="_Toc102390778"/>
      <w:r w:rsidRPr="00D106C9">
        <w:rPr>
          <w:b/>
          <w:bCs/>
          <w:lang w:eastAsia="es-ES"/>
        </w:rPr>
        <w:t>Antecedentes</w:t>
      </w:r>
      <w:bookmarkEnd w:id="12"/>
      <w:bookmarkEnd w:id="13"/>
    </w:p>
    <w:p w14:paraId="17BF99A5" w14:textId="77777777" w:rsidR="00D106C9" w:rsidRPr="00D106C9" w:rsidRDefault="00D106C9" w:rsidP="00D106C9">
      <w:pPr>
        <w:suppressAutoHyphens w:val="0"/>
        <w:ind w:left="851" w:right="851" w:firstLine="709"/>
        <w:jc w:val="both"/>
        <w:rPr>
          <w:bCs/>
          <w:lang w:eastAsia="es-CR"/>
        </w:rPr>
      </w:pPr>
    </w:p>
    <w:p w14:paraId="2C75FD53"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 xml:space="preserve">La base para la gestión de los </w:t>
      </w:r>
      <w:proofErr w:type="spellStart"/>
      <w:r w:rsidRPr="00D106C9">
        <w:rPr>
          <w:lang w:eastAsia="es-ES"/>
        </w:rPr>
        <w:t>PAO’s</w:t>
      </w:r>
      <w:proofErr w:type="spellEnd"/>
      <w:r w:rsidRPr="00D106C9">
        <w:rPr>
          <w:lang w:eastAsia="es-ES"/>
        </w:rPr>
        <w:t xml:space="preserve"> 2020 se construyó a partir del desarrollo y formulación del Plan Estratégico Institucional 2019-2024 (PEI 2019-2024). El primer paso era implementar el modelo de gestión para el proceso de formulación del PEI 2019-2024, aprobado mediante acuerdo del Consejo Superior, sesión 83-17 celebrada el 12 de setiembre del 2017, artículo LXIV. </w:t>
      </w:r>
      <w:bookmarkStart w:id="14" w:name="_Toc531355891"/>
    </w:p>
    <w:p w14:paraId="45841D56" w14:textId="77777777" w:rsidR="00D106C9" w:rsidRPr="00D106C9" w:rsidRDefault="00D106C9" w:rsidP="00D106C9">
      <w:pPr>
        <w:suppressAutoHyphens w:val="0"/>
        <w:ind w:left="851" w:right="851" w:firstLine="709"/>
        <w:jc w:val="both"/>
        <w:rPr>
          <w:lang w:eastAsia="es-ES"/>
        </w:rPr>
      </w:pPr>
    </w:p>
    <w:p w14:paraId="78665151"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Es importante destacar que, como parte del proceso de implementación del PEI 2019-2024, se desarrolló el Sistema del Plan Estratégico Institucional (Sistema PEI), que consiste en un sistema de información diseñado para formular, dar seguimiento y control sobre el cumplimiento de los compromisos adquiridos en este plan.</w:t>
      </w:r>
      <w:bookmarkEnd w:id="14"/>
      <w:r w:rsidRPr="00D106C9">
        <w:rPr>
          <w:lang w:eastAsia="es-ES"/>
        </w:rPr>
        <w:t xml:space="preserve">  De forma paralela, se trabajó con la aplicación de mejoras en el Sistema de Formulación y Seguimiento de los Planes Anuales Operativos (Sistema PAO), ya existente, para lograr la vinculación de ambos sistemas; con el fin de que, los compromisos estratégicos se pudieran operacionalizar y con ello dar seguimiento a los avances y resultados de ambos procesos de manera concomitante y automatizada, los cuales contribuirán a la oportuna toma de decisiones gerenciales y cumplimiento de la misión y visión de la institución.</w:t>
      </w:r>
    </w:p>
    <w:p w14:paraId="084A91E8" w14:textId="77777777" w:rsidR="00D106C9" w:rsidRPr="00D106C9" w:rsidRDefault="00D106C9" w:rsidP="00D106C9">
      <w:pPr>
        <w:suppressAutoHyphens w:val="0"/>
        <w:ind w:left="851" w:right="851" w:firstLine="709"/>
        <w:rPr>
          <w:lang w:eastAsia="es-ES"/>
        </w:rPr>
      </w:pPr>
    </w:p>
    <w:p w14:paraId="2FCC1FF7" w14:textId="77777777" w:rsidR="00D106C9" w:rsidRPr="00D106C9" w:rsidRDefault="00D106C9" w:rsidP="00D106C9">
      <w:pPr>
        <w:suppressAutoHyphens w:val="0"/>
        <w:ind w:left="851" w:right="851" w:firstLine="709"/>
        <w:jc w:val="both"/>
        <w:rPr>
          <w:lang w:eastAsia="es-ES"/>
        </w:rPr>
      </w:pPr>
    </w:p>
    <w:p w14:paraId="44F3006D"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 xml:space="preserve">Asimismo, en el Sistema PEI fueron incluidos tanto los compromisos estratégicos como operativos; lo cual permitió una vinculación automática en el Sistema PAO. De esta manera, las instancias que aparecen como responsables y coordinaciones en el PEI 2019-2024, al momento de realizar la formulación de los planes operativos anuales, tendrán reflejados por defecto los objetivos, metas, indicadores operativos y coordinaciones, relacionadas a cada una de las metas y los indicadores estratégicos del PEI. </w:t>
      </w:r>
    </w:p>
    <w:p w14:paraId="39642A3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2B37669"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 xml:space="preserve">Estos elementos operativos ligados al PEI, no pueden ser modificados o eliminados; a menos que los despachos y oficinas envíen las justificaciones respectivas a la Dirección de Planificación, que es el órgano </w:t>
      </w:r>
      <w:r w:rsidRPr="00D106C9">
        <w:rPr>
          <w:lang w:eastAsia="es-ES"/>
        </w:rPr>
        <w:lastRenderedPageBreak/>
        <w:t>institucional responsable de administrar los Sistemas de PEI y PAO.</w:t>
      </w:r>
    </w:p>
    <w:p w14:paraId="49D2877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2CA3BA98"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 xml:space="preserve">Así que, cuando las oficinas judiciales realicen los avances de las metas operativas contenidas en el </w:t>
      </w:r>
      <w:bookmarkStart w:id="15" w:name="_Hlk8134080"/>
      <w:r w:rsidRPr="00D106C9">
        <w:rPr>
          <w:lang w:eastAsia="es-ES"/>
        </w:rPr>
        <w:t>Sistema PAO,</w:t>
      </w:r>
      <w:bookmarkEnd w:id="15"/>
      <w:r w:rsidRPr="00D106C9">
        <w:rPr>
          <w:lang w:eastAsia="es-ES"/>
        </w:rPr>
        <w:t xml:space="preserve"> estos resultados se trasladarán automáticamente hacia el Sistema PEI, donde se sumarán al grado de avance del cumplimiento de cada objetivo y meta del Plan Estratégico Institucional. Esto, con el fin de proporcionar información en línea a las diferentes instancias de toma de decisiones y contribuir en una efectiva gestión estratégica judicial.</w:t>
      </w:r>
    </w:p>
    <w:p w14:paraId="203A354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41BD43D"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Es importante mencionar, que a las oficinas judiciales también se les dio la posibilidad de formular objetivos operativos no asociados directamente a alguna meta estratégica del PEI, pero que contribuye en la gestión de la oficina y de la institución.</w:t>
      </w:r>
    </w:p>
    <w:p w14:paraId="6AAA1F5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B82590E"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Como antecedente adicional, se tiene el cumplimiento en años anteriores contenidos en los informes de Evaluación del Plan Anual Operativo, en donde la Dirección de Planificación confeccionó los informes 548-PLA-2018, 1220-PLA-EV-2019 y 721-PLA-EV-2020 de los años 2017, 2018 y 2019 respectivamente.</w:t>
      </w:r>
    </w:p>
    <w:p w14:paraId="729F23E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E307EF9"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Es importante destacar que el Consejo Superior en la sesión 73-19, celebrada el 20 de agosto de 2019, artículo XXXVII, aprobó “</w:t>
      </w:r>
      <w:r w:rsidRPr="00D106C9">
        <w:rPr>
          <w:i/>
          <w:iCs/>
          <w:lang w:eastAsia="es-ES"/>
        </w:rPr>
        <w:t>Tener por rendido el informe 1220-PLA-EV-2019 de la Dirección de Planificación, relacionado con la “Evaluación de los Planes Anuales Operativos 2018”.</w:t>
      </w:r>
    </w:p>
    <w:p w14:paraId="058409A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571F992"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Adicionalmente, el Consejo Superior en la sesión 55-20, celebrada el 4 de junio del 2020, artículo LIII, aprobó “</w:t>
      </w:r>
      <w:r w:rsidRPr="00D106C9">
        <w:rPr>
          <w:i/>
          <w:iCs/>
          <w:lang w:eastAsia="es-ES"/>
        </w:rPr>
        <w:t>Tener por rendido el Informe 721-PLA-EV-2020 de la Dirección de Planificación, referente al “resultado del avance en el cumplimiento de los Planes Anuales Operativos del 2019</w:t>
      </w:r>
      <w:r w:rsidRPr="00D106C9">
        <w:rPr>
          <w:lang w:eastAsia="es-ES"/>
        </w:rPr>
        <w:t>.”</w:t>
      </w:r>
    </w:p>
    <w:p w14:paraId="7080239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EE2319E"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 xml:space="preserve">Por otro lado, el Consejo Superior en la sesión 51-21 celebrada el 22 de junio del 2021, artículo XXXII, aprobó </w:t>
      </w:r>
      <w:r w:rsidRPr="00D106C9">
        <w:rPr>
          <w:i/>
          <w:iCs/>
          <w:lang w:eastAsia="es-ES"/>
        </w:rPr>
        <w:t>“Tener por rendido el informe 604-PLA-2021 de la Dirección de Planificación, relacionado con el resultado del cumplimiento de los Planes Anuales Operativos del 2020.”</w:t>
      </w:r>
    </w:p>
    <w:p w14:paraId="46966B9D" w14:textId="77777777" w:rsidR="00D106C9" w:rsidRPr="00D106C9" w:rsidRDefault="00D106C9" w:rsidP="00D106C9">
      <w:pPr>
        <w:suppressAutoHyphens w:val="0"/>
        <w:ind w:left="851" w:right="851" w:firstLine="709"/>
        <w:rPr>
          <w:lang w:eastAsia="es-ES"/>
        </w:rPr>
      </w:pPr>
    </w:p>
    <w:p w14:paraId="13AB518F" w14:textId="77777777" w:rsidR="00D106C9" w:rsidRPr="00D106C9" w:rsidRDefault="00D106C9" w:rsidP="003B2E9B">
      <w:pPr>
        <w:widowControl w:val="0"/>
        <w:numPr>
          <w:ilvl w:val="0"/>
          <w:numId w:val="56"/>
        </w:numPr>
        <w:suppressAutoHyphens w:val="0"/>
        <w:autoSpaceDE w:val="0"/>
        <w:autoSpaceDN w:val="0"/>
        <w:adjustRightInd w:val="0"/>
        <w:ind w:left="851" w:right="851" w:firstLine="709"/>
        <w:contextualSpacing/>
        <w:jc w:val="both"/>
        <w:rPr>
          <w:lang w:eastAsia="es-ES"/>
        </w:rPr>
      </w:pPr>
      <w:r w:rsidRPr="00D106C9">
        <w:rPr>
          <w:lang w:eastAsia="es-ES"/>
        </w:rPr>
        <w:t xml:space="preserve">Finalmente, el Consejo Superior en la sesión 03-22 celebrada el 11 de enero del 2022, artículo XLVIII, aprobó </w:t>
      </w:r>
      <w:r w:rsidRPr="00D106C9">
        <w:rPr>
          <w:i/>
          <w:iCs/>
          <w:lang w:eastAsia="es-ES"/>
        </w:rPr>
        <w:t>“Tener por recibido el informe 1311-PLA-EV-2021 de la Dirección de Planificación, relacionado con el seguimiento semestral de las metas del PAO 2021.”</w:t>
      </w:r>
    </w:p>
    <w:p w14:paraId="2E64A787" w14:textId="77777777" w:rsidR="00D106C9" w:rsidRPr="00D106C9" w:rsidRDefault="00D106C9" w:rsidP="00D106C9">
      <w:pPr>
        <w:suppressAutoHyphens w:val="0"/>
        <w:ind w:left="851" w:right="851" w:firstLine="709"/>
        <w:rPr>
          <w:lang w:eastAsia="es-ES"/>
        </w:rPr>
      </w:pPr>
    </w:p>
    <w:p w14:paraId="667BB1F1" w14:textId="77777777" w:rsidR="00D106C9" w:rsidRPr="00D106C9" w:rsidRDefault="00D106C9" w:rsidP="00D106C9">
      <w:pPr>
        <w:suppressAutoHyphens w:val="0"/>
        <w:ind w:left="851" w:right="851" w:firstLine="709"/>
        <w:jc w:val="both"/>
        <w:rPr>
          <w:lang w:eastAsia="es-ES"/>
        </w:rPr>
      </w:pPr>
    </w:p>
    <w:p w14:paraId="32666AD4"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b/>
          <w:bCs/>
          <w:lang w:eastAsia="es-ES"/>
        </w:rPr>
      </w:pPr>
      <w:bookmarkStart w:id="16" w:name="_Toc90563625"/>
      <w:bookmarkStart w:id="17" w:name="_Toc102390779"/>
      <w:r w:rsidRPr="00D106C9">
        <w:rPr>
          <w:b/>
          <w:bCs/>
          <w:lang w:eastAsia="es-ES"/>
        </w:rPr>
        <w:t>Objetivo de la Evaluación de los Planes Anuales Operativos.</w:t>
      </w:r>
      <w:bookmarkEnd w:id="16"/>
      <w:bookmarkEnd w:id="17"/>
    </w:p>
    <w:p w14:paraId="1E1D1FA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El objetivo general del informe es determinar el cumplimiento del avance obtenido por cada oficina o despacho judicial que cuenta con metas operativas contenidas en el Sistema denominado Plan Anual Operativo, con el fin de brindar recomendaciones pertinentes a las oficinas y despachos judiciales para el que en el futuro mejore el cumplimiento de los PAOS y la gestión de la oficina y se genere una mayor rendición de cuentas y transparencia.</w:t>
      </w:r>
    </w:p>
    <w:p w14:paraId="5E54454C"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b/>
          <w:bCs/>
          <w:lang w:eastAsia="es-ES"/>
        </w:rPr>
      </w:pPr>
      <w:bookmarkStart w:id="18" w:name="_Toc102122892"/>
      <w:bookmarkStart w:id="19" w:name="_Toc90563626"/>
      <w:bookmarkStart w:id="20" w:name="_Toc102390780"/>
      <w:bookmarkEnd w:id="18"/>
      <w:r w:rsidRPr="00D106C9">
        <w:rPr>
          <w:b/>
          <w:bCs/>
          <w:lang w:eastAsia="es-ES"/>
        </w:rPr>
        <w:t>Descripción de la estrategia de la evaluación.</w:t>
      </w:r>
      <w:bookmarkEnd w:id="19"/>
      <w:bookmarkEnd w:id="20"/>
    </w:p>
    <w:p w14:paraId="61F36992" w14:textId="77777777" w:rsidR="00D106C9" w:rsidRPr="00D106C9" w:rsidRDefault="00D106C9" w:rsidP="00D106C9">
      <w:pPr>
        <w:widowControl w:val="0"/>
        <w:suppressAutoHyphens w:val="0"/>
        <w:autoSpaceDE w:val="0"/>
        <w:autoSpaceDN w:val="0"/>
        <w:adjustRightInd w:val="0"/>
        <w:ind w:left="851" w:right="851" w:firstLine="709"/>
        <w:jc w:val="both"/>
        <w:rPr>
          <w:lang w:eastAsia="ja-JP"/>
        </w:rPr>
      </w:pPr>
      <w:r w:rsidRPr="00D106C9">
        <w:rPr>
          <w:lang w:eastAsia="ja-JP"/>
        </w:rPr>
        <w:t xml:space="preserve">Este apartado </w:t>
      </w:r>
      <w:r w:rsidRPr="00D106C9">
        <w:rPr>
          <w:lang w:eastAsia="es-ES"/>
        </w:rPr>
        <w:t xml:space="preserve">permite obtener información sobre el cumplimiento de avance en la ejecución de las metas operativas en el 2021, y facilita el control por parte de los responsables; así como, el grado de cumplimiento y, por ende, el logro de las diferentes metas operativas definido en el Plan Anual Operativo (PAO) el cual depende de la ejecución de estas acciones. </w:t>
      </w:r>
    </w:p>
    <w:p w14:paraId="5225F4A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Asimismo, se verificó la información proporcionada por medio del sistema informatizado denominado “Sistema PAO” y se podrá llevar la evaluación determinando el nivel de cumplimiento de los Planes Anuales Operativos del 2021 de acuerdo con sus metas asociadas.</w:t>
      </w:r>
    </w:p>
    <w:p w14:paraId="1526C89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Finalmente es importante indicar que la clasificación del cumplimiento de cada meta operativa se estableció bajo el parámetro de cumplimiento para las metas operativas de la Dirección de Planificación, el cual es el siguiente: </w:t>
      </w:r>
    </w:p>
    <w:p w14:paraId="0BEA054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2BD82B2A"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2</w:t>
      </w:r>
      <w:r w:rsidRPr="00D106C9">
        <w:rPr>
          <w:b/>
          <w:bCs/>
          <w:lang w:eastAsia="es-ES"/>
        </w:rPr>
        <w:fldChar w:fldCharType="end"/>
      </w:r>
    </w:p>
    <w:p w14:paraId="1EFCA59A"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Parámetro de cumplimento para las metas operativas PAO</w:t>
      </w:r>
    </w:p>
    <w:tbl>
      <w:tblPr>
        <w:tblW w:w="0" w:type="auto"/>
        <w:jc w:val="center"/>
        <w:tblCellMar>
          <w:left w:w="0" w:type="dxa"/>
          <w:right w:w="0" w:type="dxa"/>
        </w:tblCellMar>
        <w:tblLook w:val="04A0" w:firstRow="1" w:lastRow="0" w:firstColumn="1" w:lastColumn="0" w:noHBand="0" w:noVBand="1"/>
      </w:tblPr>
      <w:tblGrid>
        <w:gridCol w:w="2835"/>
        <w:gridCol w:w="4677"/>
      </w:tblGrid>
      <w:tr w:rsidR="00D106C9" w:rsidRPr="00D106C9" w14:paraId="7898158F" w14:textId="77777777" w:rsidTr="006D7BCD">
        <w:trPr>
          <w:jc w:val="center"/>
        </w:trPr>
        <w:tc>
          <w:tcPr>
            <w:tcW w:w="2835" w:type="dxa"/>
            <w:tcBorders>
              <w:top w:val="single" w:sz="8" w:space="0" w:color="5B9BD5"/>
              <w:left w:val="single" w:sz="8" w:space="0" w:color="5B9BD5"/>
              <w:bottom w:val="single" w:sz="8" w:space="0" w:color="5B9BD5"/>
              <w:right w:val="single" w:sz="8" w:space="0" w:color="5B9BD5"/>
            </w:tcBorders>
            <w:shd w:val="clear" w:color="auto" w:fill="5B9BD5"/>
            <w:tcMar>
              <w:top w:w="0" w:type="dxa"/>
              <w:left w:w="108" w:type="dxa"/>
              <w:bottom w:w="0" w:type="dxa"/>
              <w:right w:w="108" w:type="dxa"/>
            </w:tcMar>
            <w:vAlign w:val="center"/>
            <w:hideMark/>
          </w:tcPr>
          <w:p w14:paraId="5D69D963" w14:textId="77777777" w:rsidR="00D106C9" w:rsidRPr="00D106C9" w:rsidRDefault="00D106C9" w:rsidP="00D106C9">
            <w:pPr>
              <w:widowControl w:val="0"/>
              <w:suppressAutoHyphens w:val="0"/>
              <w:autoSpaceDE w:val="0"/>
              <w:autoSpaceDN w:val="0"/>
              <w:adjustRightInd w:val="0"/>
              <w:jc w:val="center"/>
              <w:rPr>
                <w:lang w:eastAsia="es-ES"/>
              </w:rPr>
            </w:pPr>
            <w:r w:rsidRPr="00D106C9">
              <w:rPr>
                <w:b/>
                <w:bCs/>
                <w:lang w:eastAsia="es-ES"/>
              </w:rPr>
              <w:t>Parámetros de cumplimiento</w:t>
            </w:r>
          </w:p>
        </w:tc>
        <w:tc>
          <w:tcPr>
            <w:tcW w:w="4677" w:type="dxa"/>
            <w:tcBorders>
              <w:top w:val="single" w:sz="8" w:space="0" w:color="5B9BD5"/>
              <w:left w:val="nil"/>
              <w:bottom w:val="single" w:sz="8" w:space="0" w:color="5B9BD5"/>
              <w:right w:val="single" w:sz="8" w:space="0" w:color="5B9BD5"/>
            </w:tcBorders>
            <w:shd w:val="clear" w:color="auto" w:fill="5B9BD5"/>
            <w:tcMar>
              <w:top w:w="0" w:type="dxa"/>
              <w:left w:w="108" w:type="dxa"/>
              <w:bottom w:w="0" w:type="dxa"/>
              <w:right w:w="108" w:type="dxa"/>
            </w:tcMar>
            <w:vAlign w:val="center"/>
            <w:hideMark/>
          </w:tcPr>
          <w:p w14:paraId="40C5A001" w14:textId="77777777" w:rsidR="00D106C9" w:rsidRPr="00D106C9" w:rsidRDefault="00D106C9" w:rsidP="00D106C9">
            <w:pPr>
              <w:widowControl w:val="0"/>
              <w:suppressAutoHyphens w:val="0"/>
              <w:autoSpaceDE w:val="0"/>
              <w:autoSpaceDN w:val="0"/>
              <w:adjustRightInd w:val="0"/>
              <w:jc w:val="center"/>
              <w:rPr>
                <w:lang w:eastAsia="es-ES"/>
              </w:rPr>
            </w:pPr>
            <w:r w:rsidRPr="00D106C9">
              <w:rPr>
                <w:b/>
                <w:bCs/>
                <w:lang w:eastAsia="es-ES"/>
              </w:rPr>
              <w:t>Rango</w:t>
            </w:r>
          </w:p>
        </w:tc>
      </w:tr>
      <w:tr w:rsidR="00D106C9" w:rsidRPr="00D106C9" w14:paraId="30D5FFE6" w14:textId="77777777" w:rsidTr="006D7BCD">
        <w:trPr>
          <w:jc w:val="center"/>
        </w:trPr>
        <w:tc>
          <w:tcPr>
            <w:tcW w:w="2835" w:type="dxa"/>
            <w:tcBorders>
              <w:top w:val="nil"/>
              <w:left w:val="single" w:sz="8" w:space="0" w:color="5B9BD5"/>
              <w:bottom w:val="single" w:sz="8" w:space="0" w:color="5B9BD5"/>
              <w:right w:val="single" w:sz="8" w:space="0" w:color="5B9BD5"/>
            </w:tcBorders>
            <w:shd w:val="clear" w:color="auto" w:fill="92D050"/>
            <w:tcMar>
              <w:top w:w="0" w:type="dxa"/>
              <w:left w:w="108" w:type="dxa"/>
              <w:bottom w:w="0" w:type="dxa"/>
              <w:right w:w="108" w:type="dxa"/>
            </w:tcMar>
            <w:vAlign w:val="center"/>
            <w:hideMark/>
          </w:tcPr>
          <w:p w14:paraId="7D800EEC"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Cumplimiento Alto (CA)</w:t>
            </w:r>
          </w:p>
        </w:tc>
        <w:tc>
          <w:tcPr>
            <w:tcW w:w="4677" w:type="dxa"/>
            <w:tcBorders>
              <w:top w:val="nil"/>
              <w:left w:val="nil"/>
              <w:bottom w:val="single" w:sz="8" w:space="0" w:color="5B9BD5"/>
              <w:right w:val="single" w:sz="8" w:space="0" w:color="5B9BD5"/>
            </w:tcBorders>
            <w:tcMar>
              <w:top w:w="0" w:type="dxa"/>
              <w:left w:w="108" w:type="dxa"/>
              <w:bottom w:w="0" w:type="dxa"/>
              <w:right w:w="108" w:type="dxa"/>
            </w:tcMar>
            <w:vAlign w:val="center"/>
            <w:hideMark/>
          </w:tcPr>
          <w:p w14:paraId="34C97D3B" w14:textId="77777777" w:rsidR="00D106C9" w:rsidRPr="00D106C9" w:rsidRDefault="00D106C9" w:rsidP="00D106C9">
            <w:pPr>
              <w:widowControl w:val="0"/>
              <w:suppressAutoHyphens w:val="0"/>
              <w:autoSpaceDE w:val="0"/>
              <w:autoSpaceDN w:val="0"/>
              <w:adjustRightInd w:val="0"/>
              <w:jc w:val="center"/>
              <w:rPr>
                <w:i/>
                <w:iCs/>
                <w:lang w:eastAsia="es-ES"/>
              </w:rPr>
            </w:pPr>
            <w:r w:rsidRPr="00D106C9">
              <w:rPr>
                <w:i/>
                <w:iCs/>
                <w:lang w:eastAsia="es-ES"/>
              </w:rPr>
              <w:t>Mayor o igual a 90,00%</w:t>
            </w:r>
          </w:p>
        </w:tc>
      </w:tr>
      <w:tr w:rsidR="00D106C9" w:rsidRPr="00D106C9" w14:paraId="75A62797" w14:textId="77777777" w:rsidTr="006D7BCD">
        <w:trPr>
          <w:trHeight w:val="280"/>
          <w:jc w:val="center"/>
        </w:trPr>
        <w:tc>
          <w:tcPr>
            <w:tcW w:w="2835" w:type="dxa"/>
            <w:tcBorders>
              <w:top w:val="nil"/>
              <w:left w:val="single" w:sz="8" w:space="0" w:color="5B9BD5"/>
              <w:bottom w:val="single" w:sz="8" w:space="0" w:color="5B9BD5"/>
              <w:right w:val="single" w:sz="8" w:space="0" w:color="5B9BD5"/>
            </w:tcBorders>
            <w:shd w:val="clear" w:color="auto" w:fill="FFFF00"/>
            <w:tcMar>
              <w:top w:w="0" w:type="dxa"/>
              <w:left w:w="108" w:type="dxa"/>
              <w:bottom w:w="0" w:type="dxa"/>
              <w:right w:w="108" w:type="dxa"/>
            </w:tcMar>
            <w:vAlign w:val="center"/>
            <w:hideMark/>
          </w:tcPr>
          <w:p w14:paraId="1CC6EEA0"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Cumplimiento Medio (CM)</w:t>
            </w:r>
          </w:p>
        </w:tc>
        <w:tc>
          <w:tcPr>
            <w:tcW w:w="4677" w:type="dxa"/>
            <w:tcBorders>
              <w:top w:val="nil"/>
              <w:left w:val="nil"/>
              <w:bottom w:val="single" w:sz="8" w:space="0" w:color="5B9BD5"/>
              <w:right w:val="single" w:sz="8" w:space="0" w:color="5B9BD5"/>
            </w:tcBorders>
            <w:tcMar>
              <w:top w:w="0" w:type="dxa"/>
              <w:left w:w="108" w:type="dxa"/>
              <w:bottom w:w="0" w:type="dxa"/>
              <w:right w:w="108" w:type="dxa"/>
            </w:tcMar>
            <w:vAlign w:val="center"/>
            <w:hideMark/>
          </w:tcPr>
          <w:p w14:paraId="16BD4253" w14:textId="77777777" w:rsidR="00D106C9" w:rsidRPr="00D106C9" w:rsidRDefault="00D106C9" w:rsidP="00D106C9">
            <w:pPr>
              <w:widowControl w:val="0"/>
              <w:suppressAutoHyphens w:val="0"/>
              <w:autoSpaceDE w:val="0"/>
              <w:autoSpaceDN w:val="0"/>
              <w:adjustRightInd w:val="0"/>
              <w:jc w:val="center"/>
              <w:rPr>
                <w:i/>
                <w:iCs/>
                <w:lang w:eastAsia="es-ES"/>
              </w:rPr>
            </w:pPr>
            <w:r w:rsidRPr="00D106C9">
              <w:rPr>
                <w:i/>
                <w:iCs/>
                <w:lang w:eastAsia="es-ES"/>
              </w:rPr>
              <w:t>Menor o igual a 89,99% o igual a 50,00%</w:t>
            </w:r>
          </w:p>
        </w:tc>
      </w:tr>
      <w:tr w:rsidR="00D106C9" w:rsidRPr="00D106C9" w14:paraId="17ED2297" w14:textId="77777777" w:rsidTr="006D7BCD">
        <w:trPr>
          <w:jc w:val="center"/>
        </w:trPr>
        <w:tc>
          <w:tcPr>
            <w:tcW w:w="2835" w:type="dxa"/>
            <w:tcBorders>
              <w:top w:val="nil"/>
              <w:left w:val="single" w:sz="8" w:space="0" w:color="5B9BD5"/>
              <w:bottom w:val="single" w:sz="8" w:space="0" w:color="5B9BD5"/>
              <w:right w:val="single" w:sz="8" w:space="0" w:color="5B9BD5"/>
            </w:tcBorders>
            <w:shd w:val="clear" w:color="auto" w:fill="C00000"/>
            <w:tcMar>
              <w:top w:w="0" w:type="dxa"/>
              <w:left w:w="108" w:type="dxa"/>
              <w:bottom w:w="0" w:type="dxa"/>
              <w:right w:w="108" w:type="dxa"/>
            </w:tcMar>
            <w:vAlign w:val="center"/>
            <w:hideMark/>
          </w:tcPr>
          <w:p w14:paraId="0249C9F7"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Cumplimiento Bajo (CB)</w:t>
            </w:r>
          </w:p>
        </w:tc>
        <w:tc>
          <w:tcPr>
            <w:tcW w:w="4677" w:type="dxa"/>
            <w:tcBorders>
              <w:top w:val="nil"/>
              <w:left w:val="nil"/>
              <w:bottom w:val="single" w:sz="8" w:space="0" w:color="5B9BD5"/>
              <w:right w:val="single" w:sz="8" w:space="0" w:color="5B9BD5"/>
            </w:tcBorders>
            <w:tcMar>
              <w:top w:w="0" w:type="dxa"/>
              <w:left w:w="108" w:type="dxa"/>
              <w:bottom w:w="0" w:type="dxa"/>
              <w:right w:w="108" w:type="dxa"/>
            </w:tcMar>
            <w:vAlign w:val="center"/>
            <w:hideMark/>
          </w:tcPr>
          <w:p w14:paraId="63D5B0D1" w14:textId="77777777" w:rsidR="00D106C9" w:rsidRPr="00D106C9" w:rsidRDefault="00D106C9" w:rsidP="00D106C9">
            <w:pPr>
              <w:widowControl w:val="0"/>
              <w:suppressAutoHyphens w:val="0"/>
              <w:autoSpaceDE w:val="0"/>
              <w:autoSpaceDN w:val="0"/>
              <w:adjustRightInd w:val="0"/>
              <w:jc w:val="center"/>
              <w:rPr>
                <w:i/>
                <w:iCs/>
                <w:lang w:eastAsia="es-ES"/>
              </w:rPr>
            </w:pPr>
            <w:r w:rsidRPr="00D106C9">
              <w:rPr>
                <w:i/>
                <w:iCs/>
                <w:lang w:eastAsia="es-ES"/>
              </w:rPr>
              <w:t>Menor o igual a 49,99%</w:t>
            </w:r>
          </w:p>
        </w:tc>
      </w:tr>
    </w:tbl>
    <w:p w14:paraId="7F54AB1B" w14:textId="77777777" w:rsidR="00D106C9" w:rsidRPr="00D106C9" w:rsidRDefault="00D106C9" w:rsidP="00D106C9">
      <w:pPr>
        <w:widowControl w:val="0"/>
        <w:suppressAutoHyphens w:val="0"/>
        <w:autoSpaceDE w:val="0"/>
        <w:autoSpaceDN w:val="0"/>
        <w:adjustRightInd w:val="0"/>
        <w:jc w:val="both"/>
        <w:rPr>
          <w:lang w:eastAsia="es-ES"/>
        </w:rPr>
      </w:pPr>
      <w:r w:rsidRPr="00D106C9">
        <w:rPr>
          <w:lang w:eastAsia="es-ES"/>
        </w:rPr>
        <w:t xml:space="preserve">            </w:t>
      </w:r>
      <w:r w:rsidRPr="00D106C9">
        <w:rPr>
          <w:b/>
          <w:bCs/>
          <w:lang w:eastAsia="es-ES"/>
        </w:rPr>
        <w:t xml:space="preserve">Fuente: </w:t>
      </w:r>
      <w:r w:rsidRPr="00D106C9">
        <w:rPr>
          <w:lang w:eastAsia="es-ES"/>
        </w:rPr>
        <w:t>Lineamientos técnicos sobre el presupuesto de la República, Ministerio de Hacienda.</w:t>
      </w:r>
    </w:p>
    <w:p w14:paraId="6E352A1C" w14:textId="77777777" w:rsidR="00D106C9" w:rsidRPr="00D106C9" w:rsidRDefault="00D106C9" w:rsidP="00D106C9">
      <w:pPr>
        <w:widowControl w:val="0"/>
        <w:suppressAutoHyphens w:val="0"/>
        <w:autoSpaceDE w:val="0"/>
        <w:autoSpaceDN w:val="0"/>
        <w:adjustRightInd w:val="0"/>
        <w:rPr>
          <w:lang w:eastAsia="ja-JP"/>
        </w:rPr>
      </w:pPr>
    </w:p>
    <w:p w14:paraId="089D6564" w14:textId="77777777" w:rsidR="00D106C9" w:rsidRPr="00D106C9" w:rsidRDefault="00D106C9" w:rsidP="00D106C9">
      <w:pPr>
        <w:widowControl w:val="0"/>
        <w:suppressAutoHyphens w:val="0"/>
        <w:autoSpaceDE w:val="0"/>
        <w:autoSpaceDN w:val="0"/>
        <w:adjustRightInd w:val="0"/>
        <w:ind w:left="851" w:right="851" w:firstLine="709"/>
        <w:rPr>
          <w:lang w:eastAsia="es-ES"/>
        </w:rPr>
      </w:pPr>
      <w:bookmarkStart w:id="21" w:name="_Toc90563627"/>
      <w:bookmarkStart w:id="22" w:name="_Toc102390781"/>
      <w:r w:rsidRPr="00D106C9">
        <w:rPr>
          <w:lang w:eastAsia="es-ES"/>
        </w:rPr>
        <w:t>Cumplimiento de las metas operativas a nivel institucional, por Programas Presupuestario y por Centros de Responsabilidad.</w:t>
      </w:r>
      <w:bookmarkEnd w:id="21"/>
      <w:bookmarkEnd w:id="22"/>
    </w:p>
    <w:p w14:paraId="1947727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ja-JP"/>
        </w:rPr>
        <w:t xml:space="preserve">En este apartado se desarrollará las fases de la evaluación de las acciones </w:t>
      </w:r>
      <w:r w:rsidRPr="00D106C9">
        <w:rPr>
          <w:lang w:eastAsia="es-ES"/>
        </w:rPr>
        <w:t>ejecutadas durante el 2021, el cual consiste en el avance del cumplimiento de las metas operativas a nivel institucional, por Programa Presupuestario y por Centros de Responsabilidad, que refleja los logros alcanzados al finalizar el 2021.</w:t>
      </w:r>
    </w:p>
    <w:p w14:paraId="64FFF1F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9F342D0"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lastRenderedPageBreak/>
        <w:t>9.1. Avance del PAO a nivel institucional.</w:t>
      </w:r>
    </w:p>
    <w:p w14:paraId="1456FF7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6893C3F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En términos porcentuales, el avance en el cumplimiento de las metas operativas del 2021 en la institución registra un 96,40% de cumplimiento contra un 3,60% que no logró ser cumplido. Para ser un porcentaje que equivale a todas las labores ejecutadas a lo largo del año podría constituirse como un valor con un comportamiento de crecimiento en comparación al 2020, esto demuestra una mayor aceptación y adecuación al sistema y la cultura de planificar las metas y actividades,  se ha obtenido mejores resultados en su utilización y por ende, en los resultados que arroja los cuales muestran un mayor logro en la consecución de objetivos y metas operativas, lo que refleja un esfuerzo importante de las oficinas en realizar avances de manera oportuna a pesar de las limitaciones iniciales que ocasionó la emergencia sanitaria provocada por la enfermedad COVID-19.</w:t>
      </w:r>
    </w:p>
    <w:p w14:paraId="07D189A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0C9A00D1"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Gráfico </w:t>
      </w:r>
      <w:r w:rsidRPr="00D106C9">
        <w:rPr>
          <w:b/>
          <w:bCs/>
          <w:lang w:eastAsia="es-ES"/>
        </w:rPr>
        <w:fldChar w:fldCharType="begin"/>
      </w:r>
      <w:r w:rsidRPr="00D106C9">
        <w:rPr>
          <w:b/>
          <w:bCs/>
          <w:lang w:eastAsia="es-ES"/>
        </w:rPr>
        <w:instrText xml:space="preserve"> SEQ Gráfico \* ARABIC </w:instrText>
      </w:r>
      <w:r w:rsidRPr="00D106C9">
        <w:rPr>
          <w:b/>
          <w:bCs/>
          <w:lang w:eastAsia="es-ES"/>
        </w:rPr>
        <w:fldChar w:fldCharType="separate"/>
      </w:r>
      <w:r w:rsidRPr="00D106C9">
        <w:rPr>
          <w:b/>
          <w:bCs/>
          <w:lang w:eastAsia="es-ES"/>
        </w:rPr>
        <w:t>3</w:t>
      </w:r>
      <w:r w:rsidRPr="00D106C9">
        <w:rPr>
          <w:b/>
          <w:bCs/>
          <w:lang w:eastAsia="es-ES"/>
        </w:rPr>
        <w:fldChar w:fldCharType="end"/>
      </w:r>
    </w:p>
    <w:p w14:paraId="0B1E1A29"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Reporte Institucional de cumplimiento de metas operativas del PAO 2021.</w:t>
      </w:r>
    </w:p>
    <w:p w14:paraId="1CDE4E45" w14:textId="77777777" w:rsidR="00D106C9" w:rsidRPr="00D106C9" w:rsidRDefault="00D106C9" w:rsidP="00D106C9">
      <w:pPr>
        <w:widowControl w:val="0"/>
        <w:suppressAutoHyphens w:val="0"/>
        <w:autoSpaceDE w:val="0"/>
        <w:autoSpaceDN w:val="0"/>
        <w:adjustRightInd w:val="0"/>
        <w:jc w:val="both"/>
        <w:rPr>
          <w:lang w:eastAsia="es-ES"/>
        </w:rPr>
      </w:pPr>
    </w:p>
    <w:p w14:paraId="176D6976" w14:textId="77777777" w:rsidR="00D106C9" w:rsidRPr="00D106C9" w:rsidRDefault="00D106C9" w:rsidP="00D106C9">
      <w:pPr>
        <w:widowControl w:val="0"/>
        <w:suppressAutoHyphens w:val="0"/>
        <w:autoSpaceDE w:val="0"/>
        <w:autoSpaceDN w:val="0"/>
        <w:adjustRightInd w:val="0"/>
        <w:jc w:val="center"/>
        <w:rPr>
          <w:lang w:eastAsia="es-ES"/>
        </w:rPr>
      </w:pPr>
      <w:r w:rsidRPr="00D106C9">
        <w:rPr>
          <w:noProof/>
          <w:lang w:eastAsia="es-ES"/>
        </w:rPr>
        <w:drawing>
          <wp:inline distT="0" distB="0" distL="0" distR="0" wp14:anchorId="06523036" wp14:editId="1A102B36">
            <wp:extent cx="4572000" cy="2373923"/>
            <wp:effectExtent l="0" t="0" r="0" b="7620"/>
            <wp:docPr id="26" name="Gráfico 26">
              <a:extLst xmlns:a="http://schemas.openxmlformats.org/drawingml/2006/main">
                <a:ext uri="{FF2B5EF4-FFF2-40B4-BE49-F238E27FC236}">
                  <a16:creationId xmlns:a16="http://schemas.microsoft.com/office/drawing/2014/main" id="{B604CC34-68C3-4AF0-9C56-0395587E81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B7396C7" w14:textId="77777777" w:rsidR="00D106C9" w:rsidRPr="00D106C9" w:rsidRDefault="00D106C9" w:rsidP="00D106C9">
      <w:pPr>
        <w:widowControl w:val="0"/>
        <w:suppressAutoHyphens w:val="0"/>
        <w:autoSpaceDE w:val="0"/>
        <w:autoSpaceDN w:val="0"/>
        <w:adjustRightInd w:val="0"/>
        <w:jc w:val="both"/>
        <w:rPr>
          <w:lang w:eastAsia="es-ES"/>
        </w:rPr>
      </w:pPr>
      <w:r w:rsidRPr="00D106C9">
        <w:rPr>
          <w:lang w:eastAsia="es-ES"/>
        </w:rPr>
        <w:t xml:space="preserve">             </w:t>
      </w:r>
      <w:r w:rsidRPr="00D106C9">
        <w:rPr>
          <w:b/>
          <w:bCs/>
          <w:lang w:eastAsia="es-ES"/>
        </w:rPr>
        <w:t xml:space="preserve"> Fuente</w:t>
      </w:r>
      <w:r w:rsidRPr="00D106C9">
        <w:rPr>
          <w:lang w:eastAsia="es-ES"/>
        </w:rPr>
        <w:t>: Sistema PAO con corte al 19 de enero del 2022.</w:t>
      </w:r>
    </w:p>
    <w:p w14:paraId="7C6C31FF" w14:textId="77777777" w:rsidR="00D106C9" w:rsidRPr="00D106C9" w:rsidRDefault="00D106C9" w:rsidP="00D106C9">
      <w:pPr>
        <w:widowControl w:val="0"/>
        <w:suppressAutoHyphens w:val="0"/>
        <w:autoSpaceDE w:val="0"/>
        <w:autoSpaceDN w:val="0"/>
        <w:adjustRightInd w:val="0"/>
        <w:jc w:val="both"/>
        <w:rPr>
          <w:lang w:eastAsia="es-ES"/>
        </w:rPr>
      </w:pPr>
    </w:p>
    <w:p w14:paraId="5DC6FE7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Es importante destacar que los resultados del primer semestre en el cumplimiento de las metas operativas del 2021 de la institución fueron de un 52,33%, los cuales se comunicaron mediante informe 1311-PLA-EV-2021, este informe fue conocido por el Consejo Superior, en sesión 03-2022 celebrada el 11 de enero del 2022, artículo XLVIII.  En esta sesión se acordó </w:t>
      </w:r>
      <w:r w:rsidRPr="00D106C9">
        <w:rPr>
          <w:i/>
          <w:iCs/>
          <w:lang w:eastAsia="es-ES"/>
        </w:rPr>
        <w:t xml:space="preserve">“Tener por recibido el informe 1311-PLA-EV-2021 de la Dirección de Planificación, relacionado con el seguimiento semestral de las metas del PAO 2021. Adicionalmente, se </w:t>
      </w:r>
      <w:r w:rsidRPr="00D106C9">
        <w:rPr>
          <w:i/>
          <w:iCs/>
          <w:lang w:eastAsia="es-ES"/>
        </w:rPr>
        <w:lastRenderedPageBreak/>
        <w:t xml:space="preserve">tomará nota de la información consignada y de los elementos conclusivos; en consecuencia, se aprueban las recomendaciones sugeridas en el informe de cita, referentes al seguimiento semestral de las metas del PAO 2021. Finalmente, este acuerdo se hará de conocimiento de todas las oficinas y despachos judiciales, las Administraciones Regionales, Consejos de Administración y Centros de Responsabilidad, Programas Presupuestarios, los </w:t>
      </w:r>
      <w:proofErr w:type="gramStart"/>
      <w:r w:rsidRPr="00D106C9">
        <w:rPr>
          <w:i/>
          <w:iCs/>
          <w:lang w:eastAsia="es-ES"/>
        </w:rPr>
        <w:t>Responsables</w:t>
      </w:r>
      <w:proofErr w:type="gramEnd"/>
      <w:r w:rsidRPr="00D106C9">
        <w:rPr>
          <w:i/>
          <w:iCs/>
          <w:lang w:eastAsia="es-ES"/>
        </w:rPr>
        <w:t xml:space="preserve"> Estratégicos y la Dirección de Planificación, para lo de sus cargos según corresponda.” </w:t>
      </w:r>
      <w:r w:rsidRPr="00D106C9">
        <w:rPr>
          <w:lang w:eastAsia="es-ES"/>
        </w:rPr>
        <w:t>Se puede observar como las oficinas y despachos judiciales cumplieron a lo largo del 2021 con lo programado para poder alcanzar el porcentaje óptimo de cada meta operativa, ya que, al finalizar el periodo de evaluación se obtuvo un cumplimiento del 96,40%.</w:t>
      </w:r>
    </w:p>
    <w:p w14:paraId="361C2A2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18A636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A continuación, se realizará la comparación de cumplimiento anual de metas operativas del Plan Anual Operativo de los años 2017 al 2021.</w:t>
      </w:r>
    </w:p>
    <w:p w14:paraId="65152217"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76C9AFEF"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Gráfico </w:t>
      </w:r>
      <w:r w:rsidRPr="00D106C9">
        <w:rPr>
          <w:b/>
          <w:bCs/>
          <w:lang w:eastAsia="es-ES"/>
        </w:rPr>
        <w:fldChar w:fldCharType="begin"/>
      </w:r>
      <w:r w:rsidRPr="00D106C9">
        <w:rPr>
          <w:b/>
          <w:bCs/>
          <w:lang w:eastAsia="es-ES"/>
        </w:rPr>
        <w:instrText xml:space="preserve"> SEQ Gráfico \* ARABIC </w:instrText>
      </w:r>
      <w:r w:rsidRPr="00D106C9">
        <w:rPr>
          <w:b/>
          <w:bCs/>
          <w:lang w:eastAsia="es-ES"/>
        </w:rPr>
        <w:fldChar w:fldCharType="separate"/>
      </w:r>
      <w:r w:rsidRPr="00D106C9">
        <w:rPr>
          <w:b/>
          <w:bCs/>
          <w:lang w:eastAsia="es-ES"/>
        </w:rPr>
        <w:t>4</w:t>
      </w:r>
      <w:r w:rsidRPr="00D106C9">
        <w:rPr>
          <w:b/>
          <w:bCs/>
          <w:lang w:eastAsia="es-ES"/>
        </w:rPr>
        <w:fldChar w:fldCharType="end"/>
      </w:r>
    </w:p>
    <w:p w14:paraId="326F4D06"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Comparación de cumplimiento anual de metas operativas del PAO</w:t>
      </w:r>
    </w:p>
    <w:p w14:paraId="72EAB9EA"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 xml:space="preserve">Evaluaciones del 2017, 2018, 2019, 2020 y 2021 </w:t>
      </w:r>
    </w:p>
    <w:p w14:paraId="31EB44F0" w14:textId="77777777" w:rsidR="00D106C9" w:rsidRPr="00D106C9" w:rsidRDefault="00D106C9" w:rsidP="00D106C9">
      <w:pPr>
        <w:widowControl w:val="0"/>
        <w:suppressAutoHyphens w:val="0"/>
        <w:autoSpaceDE w:val="0"/>
        <w:autoSpaceDN w:val="0"/>
        <w:adjustRightInd w:val="0"/>
        <w:jc w:val="both"/>
        <w:rPr>
          <w:lang w:eastAsia="es-ES"/>
        </w:rPr>
      </w:pPr>
    </w:p>
    <w:p w14:paraId="29C079A4" w14:textId="77777777" w:rsidR="00D106C9" w:rsidRPr="00D106C9" w:rsidRDefault="00D106C9" w:rsidP="00D106C9">
      <w:pPr>
        <w:widowControl w:val="0"/>
        <w:suppressAutoHyphens w:val="0"/>
        <w:autoSpaceDE w:val="0"/>
        <w:autoSpaceDN w:val="0"/>
        <w:adjustRightInd w:val="0"/>
        <w:jc w:val="center"/>
        <w:rPr>
          <w:lang w:eastAsia="es-ES"/>
        </w:rPr>
      </w:pPr>
      <w:r w:rsidRPr="00D106C9">
        <w:rPr>
          <w:noProof/>
          <w:lang w:eastAsia="es-ES"/>
        </w:rPr>
        <w:drawing>
          <wp:inline distT="0" distB="0" distL="0" distR="0" wp14:anchorId="795674CE" wp14:editId="04CBF9E7">
            <wp:extent cx="4572000" cy="2743200"/>
            <wp:effectExtent l="0" t="0" r="0" b="0"/>
            <wp:docPr id="27" name="Gráfico 27">
              <a:extLst xmlns:a="http://schemas.openxmlformats.org/drawingml/2006/main">
                <a:ext uri="{FF2B5EF4-FFF2-40B4-BE49-F238E27FC236}">
                  <a16:creationId xmlns:a16="http://schemas.microsoft.com/office/drawing/2014/main" id="{83C99131-96DB-4E82-9B6F-F2ECA0F28D9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80742DF" w14:textId="77777777" w:rsidR="00D106C9" w:rsidRPr="00D106C9" w:rsidRDefault="00D106C9" w:rsidP="00D106C9">
      <w:pPr>
        <w:widowControl w:val="0"/>
        <w:suppressAutoHyphens w:val="0"/>
        <w:autoSpaceDE w:val="0"/>
        <w:autoSpaceDN w:val="0"/>
        <w:adjustRightInd w:val="0"/>
        <w:jc w:val="both"/>
        <w:rPr>
          <w:lang w:eastAsia="es-ES"/>
        </w:rPr>
      </w:pPr>
      <w:r w:rsidRPr="00D106C9">
        <w:rPr>
          <w:b/>
          <w:bCs/>
          <w:lang w:eastAsia="es-ES"/>
        </w:rPr>
        <w:t xml:space="preserve">                     Fuente</w:t>
      </w:r>
      <w:r w:rsidRPr="00D106C9">
        <w:rPr>
          <w:lang w:eastAsia="es-ES"/>
        </w:rPr>
        <w:t>: Sistema PAO con corte al 19 de enero del 2022.</w:t>
      </w:r>
    </w:p>
    <w:p w14:paraId="299D4AFE" w14:textId="77777777" w:rsidR="00D106C9" w:rsidRPr="00D106C9" w:rsidRDefault="00D106C9" w:rsidP="00D106C9">
      <w:pPr>
        <w:widowControl w:val="0"/>
        <w:suppressAutoHyphens w:val="0"/>
        <w:autoSpaceDE w:val="0"/>
        <w:autoSpaceDN w:val="0"/>
        <w:adjustRightInd w:val="0"/>
        <w:jc w:val="both"/>
        <w:rPr>
          <w:lang w:eastAsia="es-ES"/>
        </w:rPr>
      </w:pPr>
    </w:p>
    <w:p w14:paraId="1252ADE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Del gráfico anterior, </w:t>
      </w:r>
      <w:bookmarkStart w:id="23" w:name="_Hlk96519731"/>
      <w:r w:rsidRPr="00D106C9">
        <w:rPr>
          <w:lang w:eastAsia="es-ES"/>
        </w:rPr>
        <w:t xml:space="preserve">se puede observar cómo en el 2021 el porcentaje de avance ha tenido un incremento del 0,34% en comparación al 2020; sin embargo, al comparar el 2021 con el 2019 obtenemos una disminución del 0,37%, finalmente, comparamos el 2021 con el 2018 y 2017, se concluye que ha obtenido </w:t>
      </w:r>
      <w:r w:rsidRPr="00D106C9">
        <w:rPr>
          <w:lang w:eastAsia="es-ES"/>
        </w:rPr>
        <w:lastRenderedPageBreak/>
        <w:t>un incremento importante y ubicándolo como el segundo año con mayor registro en el cumplimiento de avances de los años citados en los que ya se disponía de un Sistema informático para el registro, esto inclusive a pesar de la emergencia sanitaria provocada por la enfermedad COVID-19, que ha afectado en cierta medida el quehacer de las oficinas judiciales para el año 2021, debido a la reorganización de labores y tareas que surgieron.</w:t>
      </w:r>
      <w:bookmarkEnd w:id="23"/>
    </w:p>
    <w:p w14:paraId="08E6DA5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B5286B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8069E74"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9.2. Cumplimiento del Plan Anual Operativo por Programa Presupuestario.</w:t>
      </w:r>
    </w:p>
    <w:p w14:paraId="40F993AB"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41A2E48F"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Los avances en el cumplimiento de las metas operativas del Plan Anual Operativo de acuerdo con los Programas Presupuestarios, los cuales se detallan en el siguiente cuadro:</w:t>
      </w:r>
    </w:p>
    <w:p w14:paraId="212708D5"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3</w:t>
      </w:r>
      <w:r w:rsidRPr="00D106C9">
        <w:rPr>
          <w:b/>
          <w:bCs/>
          <w:lang w:eastAsia="es-ES"/>
        </w:rPr>
        <w:fldChar w:fldCharType="end"/>
      </w:r>
    </w:p>
    <w:p w14:paraId="718AA6C5" w14:textId="77777777" w:rsidR="00D106C9" w:rsidRPr="00D106C9" w:rsidRDefault="00D106C9" w:rsidP="00D106C9">
      <w:pPr>
        <w:widowControl w:val="0"/>
        <w:suppressAutoHyphens w:val="0"/>
        <w:autoSpaceDE w:val="0"/>
        <w:autoSpaceDN w:val="0"/>
        <w:adjustRightInd w:val="0"/>
        <w:contextualSpacing/>
        <w:jc w:val="center"/>
        <w:rPr>
          <w:b/>
          <w:lang w:eastAsia="es-ES"/>
        </w:rPr>
      </w:pPr>
      <w:bookmarkStart w:id="24" w:name="_Hlk98405411"/>
      <w:r w:rsidRPr="00D106C9">
        <w:rPr>
          <w:b/>
          <w:lang w:eastAsia="es-ES"/>
        </w:rPr>
        <w:t>Porcentaje de avances al PAO por Programa Presupuestario</w:t>
      </w:r>
      <w:bookmarkEnd w:id="24"/>
    </w:p>
    <w:p w14:paraId="6F2CDA23"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para el 2021</w:t>
      </w:r>
    </w:p>
    <w:p w14:paraId="26B9533F" w14:textId="77777777" w:rsidR="00D106C9" w:rsidRPr="00D106C9" w:rsidRDefault="00D106C9" w:rsidP="00D106C9">
      <w:pPr>
        <w:widowControl w:val="0"/>
        <w:suppressAutoHyphens w:val="0"/>
        <w:autoSpaceDE w:val="0"/>
        <w:autoSpaceDN w:val="0"/>
        <w:adjustRightInd w:val="0"/>
        <w:rPr>
          <w:lang w:eastAsia="es-ES"/>
        </w:rPr>
      </w:pPr>
    </w:p>
    <w:tbl>
      <w:tblPr>
        <w:tblW w:w="824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63"/>
        <w:gridCol w:w="2976"/>
        <w:gridCol w:w="1554"/>
        <w:gridCol w:w="1381"/>
        <w:gridCol w:w="1166"/>
      </w:tblGrid>
      <w:tr w:rsidR="00D106C9" w:rsidRPr="00D106C9" w14:paraId="721204EF" w14:textId="77777777" w:rsidTr="006D7BCD">
        <w:trPr>
          <w:trHeight w:val="530"/>
          <w:jc w:val="center"/>
        </w:trPr>
        <w:tc>
          <w:tcPr>
            <w:tcW w:w="1198" w:type="dxa"/>
            <w:shd w:val="clear" w:color="000000" w:fill="0070C0"/>
            <w:vAlign w:val="center"/>
            <w:hideMark/>
          </w:tcPr>
          <w:p w14:paraId="2EBB6C55"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Código</w:t>
            </w:r>
          </w:p>
        </w:tc>
        <w:tc>
          <w:tcPr>
            <w:tcW w:w="3128" w:type="dxa"/>
            <w:shd w:val="clear" w:color="000000" w:fill="0070C0"/>
            <w:vAlign w:val="center"/>
            <w:hideMark/>
          </w:tcPr>
          <w:p w14:paraId="6737C78D"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Programa Presupuestario</w:t>
            </w:r>
          </w:p>
        </w:tc>
        <w:tc>
          <w:tcPr>
            <w:tcW w:w="1499" w:type="dxa"/>
            <w:shd w:val="clear" w:color="000000" w:fill="0070C0"/>
            <w:vAlign w:val="center"/>
            <w:hideMark/>
          </w:tcPr>
          <w:p w14:paraId="61EF61C9"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 de cumplimiento</w:t>
            </w:r>
          </w:p>
        </w:tc>
        <w:tc>
          <w:tcPr>
            <w:tcW w:w="1218" w:type="dxa"/>
            <w:shd w:val="clear" w:color="000000" w:fill="0070C0"/>
            <w:vAlign w:val="center"/>
            <w:hideMark/>
          </w:tcPr>
          <w:p w14:paraId="378735A2"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Metas Formuladas</w:t>
            </w:r>
          </w:p>
        </w:tc>
        <w:tc>
          <w:tcPr>
            <w:tcW w:w="1197" w:type="dxa"/>
            <w:shd w:val="clear" w:color="000000" w:fill="0070C0"/>
            <w:vAlign w:val="center"/>
            <w:hideMark/>
          </w:tcPr>
          <w:p w14:paraId="59216AFB"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Metas con Avance</w:t>
            </w:r>
          </w:p>
        </w:tc>
      </w:tr>
      <w:tr w:rsidR="00D106C9" w:rsidRPr="00D106C9" w14:paraId="0A8B69C3" w14:textId="77777777" w:rsidTr="006D7BCD">
        <w:trPr>
          <w:trHeight w:val="530"/>
          <w:jc w:val="center"/>
        </w:trPr>
        <w:tc>
          <w:tcPr>
            <w:tcW w:w="1198" w:type="dxa"/>
            <w:shd w:val="clear" w:color="auto" w:fill="auto"/>
            <w:vAlign w:val="center"/>
            <w:hideMark/>
          </w:tcPr>
          <w:p w14:paraId="3854384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926</w:t>
            </w:r>
          </w:p>
        </w:tc>
        <w:tc>
          <w:tcPr>
            <w:tcW w:w="3128" w:type="dxa"/>
            <w:shd w:val="clear" w:color="auto" w:fill="auto"/>
            <w:vAlign w:val="center"/>
            <w:hideMark/>
          </w:tcPr>
          <w:p w14:paraId="1200454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Administración y Otros Órganos de Apoyo</w:t>
            </w:r>
          </w:p>
        </w:tc>
        <w:tc>
          <w:tcPr>
            <w:tcW w:w="1499" w:type="dxa"/>
            <w:shd w:val="clear" w:color="auto" w:fill="auto"/>
            <w:vAlign w:val="center"/>
            <w:hideMark/>
          </w:tcPr>
          <w:p w14:paraId="2F6E78D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98,94%</w:t>
            </w:r>
          </w:p>
        </w:tc>
        <w:tc>
          <w:tcPr>
            <w:tcW w:w="1218" w:type="dxa"/>
            <w:shd w:val="clear" w:color="auto" w:fill="auto"/>
            <w:vAlign w:val="center"/>
            <w:hideMark/>
          </w:tcPr>
          <w:p w14:paraId="3C1E342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1674</w:t>
            </w:r>
          </w:p>
        </w:tc>
        <w:tc>
          <w:tcPr>
            <w:tcW w:w="1197" w:type="dxa"/>
            <w:shd w:val="clear" w:color="auto" w:fill="auto"/>
            <w:vAlign w:val="center"/>
            <w:hideMark/>
          </w:tcPr>
          <w:p w14:paraId="6DC3C5E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1671</w:t>
            </w:r>
          </w:p>
        </w:tc>
      </w:tr>
      <w:tr w:rsidR="00D106C9" w:rsidRPr="00D106C9" w14:paraId="2DCCFE57" w14:textId="77777777" w:rsidTr="006D7BCD">
        <w:trPr>
          <w:trHeight w:val="270"/>
          <w:jc w:val="center"/>
        </w:trPr>
        <w:tc>
          <w:tcPr>
            <w:tcW w:w="1198" w:type="dxa"/>
            <w:shd w:val="clear" w:color="auto" w:fill="auto"/>
            <w:vAlign w:val="center"/>
            <w:hideMark/>
          </w:tcPr>
          <w:p w14:paraId="21651EA8"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927</w:t>
            </w:r>
          </w:p>
        </w:tc>
        <w:tc>
          <w:tcPr>
            <w:tcW w:w="3128" w:type="dxa"/>
            <w:shd w:val="clear" w:color="auto" w:fill="auto"/>
            <w:vAlign w:val="center"/>
            <w:hideMark/>
          </w:tcPr>
          <w:p w14:paraId="3F55CB14"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Servicio Jurisdiccional</w:t>
            </w:r>
          </w:p>
        </w:tc>
        <w:tc>
          <w:tcPr>
            <w:tcW w:w="1499" w:type="dxa"/>
            <w:shd w:val="clear" w:color="auto" w:fill="auto"/>
            <w:vAlign w:val="center"/>
            <w:hideMark/>
          </w:tcPr>
          <w:p w14:paraId="595C930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92,41%</w:t>
            </w:r>
          </w:p>
        </w:tc>
        <w:tc>
          <w:tcPr>
            <w:tcW w:w="1218" w:type="dxa"/>
            <w:shd w:val="clear" w:color="auto" w:fill="auto"/>
            <w:vAlign w:val="center"/>
            <w:hideMark/>
          </w:tcPr>
          <w:p w14:paraId="4F809E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2854</w:t>
            </w:r>
          </w:p>
        </w:tc>
        <w:tc>
          <w:tcPr>
            <w:tcW w:w="1197" w:type="dxa"/>
            <w:shd w:val="clear" w:color="auto" w:fill="auto"/>
            <w:vAlign w:val="center"/>
            <w:hideMark/>
          </w:tcPr>
          <w:p w14:paraId="1444C88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2807</w:t>
            </w:r>
          </w:p>
        </w:tc>
      </w:tr>
      <w:tr w:rsidR="00D106C9" w:rsidRPr="00D106C9" w14:paraId="64AB5188" w14:textId="77777777" w:rsidTr="006D7BCD">
        <w:trPr>
          <w:trHeight w:val="530"/>
          <w:jc w:val="center"/>
        </w:trPr>
        <w:tc>
          <w:tcPr>
            <w:tcW w:w="1198" w:type="dxa"/>
            <w:shd w:val="clear" w:color="auto" w:fill="auto"/>
            <w:vAlign w:val="center"/>
            <w:hideMark/>
          </w:tcPr>
          <w:p w14:paraId="2C4624A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928</w:t>
            </w:r>
          </w:p>
        </w:tc>
        <w:tc>
          <w:tcPr>
            <w:tcW w:w="3128" w:type="dxa"/>
            <w:shd w:val="clear" w:color="auto" w:fill="auto"/>
            <w:vAlign w:val="center"/>
            <w:hideMark/>
          </w:tcPr>
          <w:p w14:paraId="19F8D45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Organismo de Investigación Judicial</w:t>
            </w:r>
          </w:p>
        </w:tc>
        <w:tc>
          <w:tcPr>
            <w:tcW w:w="1499" w:type="dxa"/>
            <w:shd w:val="clear" w:color="auto" w:fill="auto"/>
            <w:vAlign w:val="center"/>
            <w:hideMark/>
          </w:tcPr>
          <w:p w14:paraId="79F7C86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99,71%</w:t>
            </w:r>
          </w:p>
        </w:tc>
        <w:tc>
          <w:tcPr>
            <w:tcW w:w="1218" w:type="dxa"/>
            <w:shd w:val="clear" w:color="auto" w:fill="auto"/>
            <w:vAlign w:val="center"/>
            <w:hideMark/>
          </w:tcPr>
          <w:p w14:paraId="31CF0DD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1043</w:t>
            </w:r>
          </w:p>
        </w:tc>
        <w:tc>
          <w:tcPr>
            <w:tcW w:w="1197" w:type="dxa"/>
            <w:shd w:val="clear" w:color="auto" w:fill="auto"/>
            <w:vAlign w:val="center"/>
            <w:hideMark/>
          </w:tcPr>
          <w:p w14:paraId="6F532B2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1042</w:t>
            </w:r>
          </w:p>
        </w:tc>
      </w:tr>
      <w:tr w:rsidR="00D106C9" w:rsidRPr="00D106C9" w14:paraId="4EC75856" w14:textId="77777777" w:rsidTr="006D7BCD">
        <w:trPr>
          <w:trHeight w:val="270"/>
          <w:jc w:val="center"/>
        </w:trPr>
        <w:tc>
          <w:tcPr>
            <w:tcW w:w="1198" w:type="dxa"/>
            <w:shd w:val="clear" w:color="auto" w:fill="auto"/>
            <w:vAlign w:val="center"/>
            <w:hideMark/>
          </w:tcPr>
          <w:p w14:paraId="1B63AAA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929</w:t>
            </w:r>
          </w:p>
        </w:tc>
        <w:tc>
          <w:tcPr>
            <w:tcW w:w="3128" w:type="dxa"/>
            <w:shd w:val="clear" w:color="auto" w:fill="auto"/>
            <w:vAlign w:val="center"/>
            <w:hideMark/>
          </w:tcPr>
          <w:p w14:paraId="5996466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Ministerio Público</w:t>
            </w:r>
          </w:p>
        </w:tc>
        <w:tc>
          <w:tcPr>
            <w:tcW w:w="1499" w:type="dxa"/>
            <w:shd w:val="clear" w:color="auto" w:fill="auto"/>
            <w:vAlign w:val="center"/>
            <w:hideMark/>
          </w:tcPr>
          <w:p w14:paraId="751865D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98,33%</w:t>
            </w:r>
          </w:p>
        </w:tc>
        <w:tc>
          <w:tcPr>
            <w:tcW w:w="1218" w:type="dxa"/>
            <w:shd w:val="clear" w:color="auto" w:fill="auto"/>
            <w:vAlign w:val="center"/>
            <w:hideMark/>
          </w:tcPr>
          <w:p w14:paraId="4407C3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794</w:t>
            </w:r>
          </w:p>
        </w:tc>
        <w:tc>
          <w:tcPr>
            <w:tcW w:w="1197" w:type="dxa"/>
            <w:shd w:val="clear" w:color="auto" w:fill="auto"/>
            <w:vAlign w:val="center"/>
            <w:hideMark/>
          </w:tcPr>
          <w:p w14:paraId="78DCEE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793</w:t>
            </w:r>
          </w:p>
        </w:tc>
      </w:tr>
      <w:tr w:rsidR="00D106C9" w:rsidRPr="00D106C9" w14:paraId="506DFB50" w14:textId="77777777" w:rsidTr="006D7BCD">
        <w:trPr>
          <w:trHeight w:val="270"/>
          <w:jc w:val="center"/>
        </w:trPr>
        <w:tc>
          <w:tcPr>
            <w:tcW w:w="1198" w:type="dxa"/>
            <w:shd w:val="clear" w:color="auto" w:fill="auto"/>
            <w:vAlign w:val="center"/>
            <w:hideMark/>
          </w:tcPr>
          <w:p w14:paraId="5094AB7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930</w:t>
            </w:r>
          </w:p>
        </w:tc>
        <w:tc>
          <w:tcPr>
            <w:tcW w:w="3128" w:type="dxa"/>
            <w:shd w:val="clear" w:color="auto" w:fill="auto"/>
            <w:vAlign w:val="center"/>
            <w:hideMark/>
          </w:tcPr>
          <w:p w14:paraId="7283C8D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Defensa Pública</w:t>
            </w:r>
          </w:p>
        </w:tc>
        <w:tc>
          <w:tcPr>
            <w:tcW w:w="1499" w:type="dxa"/>
            <w:shd w:val="clear" w:color="auto" w:fill="auto"/>
            <w:vAlign w:val="center"/>
            <w:hideMark/>
          </w:tcPr>
          <w:p w14:paraId="44BD49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218" w:type="dxa"/>
            <w:shd w:val="clear" w:color="auto" w:fill="auto"/>
            <w:vAlign w:val="center"/>
            <w:hideMark/>
          </w:tcPr>
          <w:p w14:paraId="2CB4132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324</w:t>
            </w:r>
          </w:p>
        </w:tc>
        <w:tc>
          <w:tcPr>
            <w:tcW w:w="1197" w:type="dxa"/>
            <w:shd w:val="clear" w:color="auto" w:fill="auto"/>
            <w:vAlign w:val="center"/>
            <w:hideMark/>
          </w:tcPr>
          <w:p w14:paraId="134EC8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324</w:t>
            </w:r>
          </w:p>
        </w:tc>
      </w:tr>
      <w:tr w:rsidR="00D106C9" w:rsidRPr="00D106C9" w14:paraId="53467B93" w14:textId="77777777" w:rsidTr="006D7BCD">
        <w:trPr>
          <w:trHeight w:val="530"/>
          <w:jc w:val="center"/>
        </w:trPr>
        <w:tc>
          <w:tcPr>
            <w:tcW w:w="1198" w:type="dxa"/>
            <w:shd w:val="clear" w:color="auto" w:fill="auto"/>
            <w:vAlign w:val="center"/>
            <w:hideMark/>
          </w:tcPr>
          <w:p w14:paraId="264F03B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950</w:t>
            </w:r>
          </w:p>
        </w:tc>
        <w:tc>
          <w:tcPr>
            <w:tcW w:w="3128" w:type="dxa"/>
            <w:shd w:val="clear" w:color="auto" w:fill="auto"/>
            <w:vAlign w:val="center"/>
            <w:hideMark/>
          </w:tcPr>
          <w:p w14:paraId="404EE45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Servicio de Atención y Protección de Víctimas y Testigos</w:t>
            </w:r>
          </w:p>
        </w:tc>
        <w:tc>
          <w:tcPr>
            <w:tcW w:w="1499" w:type="dxa"/>
            <w:shd w:val="clear" w:color="auto" w:fill="auto"/>
            <w:vAlign w:val="center"/>
            <w:hideMark/>
          </w:tcPr>
          <w:p w14:paraId="2D9ABB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97,88%</w:t>
            </w:r>
          </w:p>
        </w:tc>
        <w:tc>
          <w:tcPr>
            <w:tcW w:w="1218" w:type="dxa"/>
            <w:shd w:val="clear" w:color="auto" w:fill="auto"/>
            <w:vAlign w:val="center"/>
            <w:hideMark/>
          </w:tcPr>
          <w:p w14:paraId="2414BB3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w:t>
            </w:r>
          </w:p>
        </w:tc>
        <w:tc>
          <w:tcPr>
            <w:tcW w:w="1197" w:type="dxa"/>
            <w:shd w:val="clear" w:color="auto" w:fill="auto"/>
            <w:vAlign w:val="center"/>
            <w:hideMark/>
          </w:tcPr>
          <w:p w14:paraId="4A5FAB9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w:t>
            </w:r>
          </w:p>
        </w:tc>
      </w:tr>
      <w:tr w:rsidR="00D106C9" w:rsidRPr="00D106C9" w14:paraId="46FDE67B" w14:textId="77777777" w:rsidTr="006D7BCD">
        <w:trPr>
          <w:trHeight w:val="530"/>
          <w:jc w:val="center"/>
        </w:trPr>
        <w:tc>
          <w:tcPr>
            <w:tcW w:w="4326" w:type="dxa"/>
            <w:gridSpan w:val="2"/>
            <w:shd w:val="clear" w:color="auto" w:fill="auto"/>
            <w:vAlign w:val="center"/>
          </w:tcPr>
          <w:p w14:paraId="51FF8753"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Total</w:t>
            </w:r>
          </w:p>
        </w:tc>
        <w:tc>
          <w:tcPr>
            <w:tcW w:w="1499" w:type="dxa"/>
            <w:shd w:val="clear" w:color="auto" w:fill="auto"/>
            <w:vAlign w:val="center"/>
          </w:tcPr>
          <w:p w14:paraId="52F75B9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96,40%</w:t>
            </w:r>
          </w:p>
        </w:tc>
        <w:tc>
          <w:tcPr>
            <w:tcW w:w="1218" w:type="dxa"/>
            <w:shd w:val="clear" w:color="auto" w:fill="auto"/>
            <w:vAlign w:val="center"/>
          </w:tcPr>
          <w:p w14:paraId="76815A90"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6738</w:t>
            </w:r>
          </w:p>
        </w:tc>
        <w:tc>
          <w:tcPr>
            <w:tcW w:w="1197" w:type="dxa"/>
            <w:shd w:val="clear" w:color="auto" w:fill="auto"/>
            <w:vAlign w:val="center"/>
          </w:tcPr>
          <w:p w14:paraId="5B7C34A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6686</w:t>
            </w:r>
          </w:p>
        </w:tc>
      </w:tr>
    </w:tbl>
    <w:p w14:paraId="157FCC69" w14:textId="77777777" w:rsidR="00D106C9" w:rsidRPr="00D106C9" w:rsidRDefault="00D106C9" w:rsidP="00D106C9">
      <w:pPr>
        <w:widowControl w:val="0"/>
        <w:suppressAutoHyphens w:val="0"/>
        <w:autoSpaceDE w:val="0"/>
        <w:autoSpaceDN w:val="0"/>
        <w:adjustRightInd w:val="0"/>
        <w:rPr>
          <w:lang w:eastAsia="es-ES"/>
        </w:rPr>
      </w:pPr>
      <w:r w:rsidRPr="00D106C9">
        <w:rPr>
          <w:b/>
          <w:bCs/>
          <w:lang w:eastAsia="es-ES"/>
        </w:rPr>
        <w:t xml:space="preserve">        Fuente:</w:t>
      </w:r>
      <w:r w:rsidRPr="00D106C9">
        <w:rPr>
          <w:lang w:eastAsia="es-ES"/>
        </w:rPr>
        <w:t xml:space="preserve"> Sistema PAO con corte al 19 de enero del 2022. </w:t>
      </w:r>
    </w:p>
    <w:p w14:paraId="62D195CF" w14:textId="77777777" w:rsidR="00D106C9" w:rsidRPr="00D106C9" w:rsidRDefault="00D106C9" w:rsidP="00D106C9">
      <w:pPr>
        <w:widowControl w:val="0"/>
        <w:suppressAutoHyphens w:val="0"/>
        <w:autoSpaceDE w:val="0"/>
        <w:autoSpaceDN w:val="0"/>
        <w:adjustRightInd w:val="0"/>
        <w:jc w:val="both"/>
        <w:rPr>
          <w:lang w:eastAsia="es-ES"/>
        </w:rPr>
      </w:pPr>
    </w:p>
    <w:p w14:paraId="1D6D12D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De las 6738 metas formuladas, se registran 6686 metas con algún nivel de avance. Con respecto al porcentaje de avances por Programa se observa un cumplimiento alto por parte de la Defensa Pública con 100,00%, de seguido del Organismo de Investigación Judicial con un 99,71%, así como la Dirección, Administración y Otros Órganos de Apoyo con un 98,94%, el Ministerio Público </w:t>
      </w:r>
      <w:r w:rsidRPr="00D106C9">
        <w:rPr>
          <w:lang w:eastAsia="es-ES"/>
        </w:rPr>
        <w:lastRenderedPageBreak/>
        <w:t>registra un 98,33% y el Servicio de Atención y Protección de Víctimas y Testigos con un 97,88%. Por otro lado, el Programa de Servicio Jurisdiccional registra un 92,41%, siendo el de menor nivel de cumplimiento, se destaca que es el programa con mayor cantidad de oficinas, compuesto por 413 despachos a lo largo del país lo que genera mayores dificultades para la consecución de las metas de manera pormenorizada y el debido control que debe de haber a lo interno de las oficinas para el cumplimiento.</w:t>
      </w:r>
    </w:p>
    <w:p w14:paraId="7C78D0D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1F0C94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D66AEB0"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4</w:t>
      </w:r>
      <w:r w:rsidRPr="00D106C9">
        <w:rPr>
          <w:b/>
          <w:bCs/>
          <w:lang w:eastAsia="es-ES"/>
        </w:rPr>
        <w:fldChar w:fldCharType="end"/>
      </w:r>
    </w:p>
    <w:p w14:paraId="7748867A"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Comparación de porcentaje de avances al PAO por Programa Presupuestario</w:t>
      </w:r>
    </w:p>
    <w:p w14:paraId="345BEFC8"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según evaluación del 2020 versus evaluación del 2021.</w:t>
      </w:r>
    </w:p>
    <w:p w14:paraId="460A9011" w14:textId="77777777" w:rsidR="00D106C9" w:rsidRPr="00D106C9" w:rsidRDefault="00D106C9" w:rsidP="00D106C9">
      <w:pPr>
        <w:widowControl w:val="0"/>
        <w:suppressAutoHyphens w:val="0"/>
        <w:autoSpaceDE w:val="0"/>
        <w:autoSpaceDN w:val="0"/>
        <w:adjustRightInd w:val="0"/>
        <w:jc w:val="both"/>
        <w:rPr>
          <w:lang w:eastAsia="es-ES"/>
        </w:rPr>
      </w:pPr>
    </w:p>
    <w:tbl>
      <w:tblPr>
        <w:tblW w:w="7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190"/>
        <w:gridCol w:w="2339"/>
        <w:gridCol w:w="1190"/>
        <w:gridCol w:w="1194"/>
        <w:gridCol w:w="1247"/>
      </w:tblGrid>
      <w:tr w:rsidR="00D106C9" w:rsidRPr="00D106C9" w14:paraId="33AD8941" w14:textId="77777777" w:rsidTr="006D7BCD">
        <w:trPr>
          <w:trHeight w:val="790"/>
          <w:jc w:val="center"/>
        </w:trPr>
        <w:tc>
          <w:tcPr>
            <w:tcW w:w="1200" w:type="dxa"/>
            <w:shd w:val="clear" w:color="000000" w:fill="548DD4"/>
            <w:vAlign w:val="center"/>
            <w:hideMark/>
          </w:tcPr>
          <w:p w14:paraId="1E45AFCC"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Código</w:t>
            </w:r>
          </w:p>
        </w:tc>
        <w:tc>
          <w:tcPr>
            <w:tcW w:w="2360" w:type="dxa"/>
            <w:shd w:val="clear" w:color="000000" w:fill="548DD4"/>
            <w:vAlign w:val="center"/>
            <w:hideMark/>
          </w:tcPr>
          <w:p w14:paraId="7275F3DB"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Programa Presupuestario</w:t>
            </w:r>
          </w:p>
        </w:tc>
        <w:tc>
          <w:tcPr>
            <w:tcW w:w="1200" w:type="dxa"/>
            <w:shd w:val="clear" w:color="000000" w:fill="548DD4"/>
            <w:vAlign w:val="center"/>
            <w:hideMark/>
          </w:tcPr>
          <w:p w14:paraId="32191517"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2020</w:t>
            </w:r>
          </w:p>
        </w:tc>
        <w:tc>
          <w:tcPr>
            <w:tcW w:w="1200" w:type="dxa"/>
            <w:shd w:val="clear" w:color="000000" w:fill="548DD4"/>
            <w:vAlign w:val="center"/>
            <w:hideMark/>
          </w:tcPr>
          <w:p w14:paraId="074AE901"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2021</w:t>
            </w:r>
          </w:p>
        </w:tc>
        <w:tc>
          <w:tcPr>
            <w:tcW w:w="1200" w:type="dxa"/>
            <w:shd w:val="clear" w:color="000000" w:fill="548DD4"/>
            <w:vAlign w:val="center"/>
            <w:hideMark/>
          </w:tcPr>
          <w:p w14:paraId="5FD97014"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 de variación</w:t>
            </w:r>
          </w:p>
        </w:tc>
      </w:tr>
      <w:tr w:rsidR="00D106C9" w:rsidRPr="00D106C9" w14:paraId="6C5BDC30" w14:textId="77777777" w:rsidTr="006D7BCD">
        <w:trPr>
          <w:trHeight w:val="300"/>
          <w:jc w:val="center"/>
        </w:trPr>
        <w:tc>
          <w:tcPr>
            <w:tcW w:w="1200" w:type="dxa"/>
            <w:shd w:val="clear" w:color="auto" w:fill="auto"/>
            <w:vAlign w:val="center"/>
            <w:hideMark/>
          </w:tcPr>
          <w:p w14:paraId="2377623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929</w:t>
            </w:r>
          </w:p>
        </w:tc>
        <w:tc>
          <w:tcPr>
            <w:tcW w:w="2360" w:type="dxa"/>
            <w:shd w:val="clear" w:color="auto" w:fill="auto"/>
            <w:vAlign w:val="center"/>
            <w:hideMark/>
          </w:tcPr>
          <w:p w14:paraId="35FFF5DB"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Ministerio Público</w:t>
            </w:r>
          </w:p>
        </w:tc>
        <w:tc>
          <w:tcPr>
            <w:tcW w:w="1200" w:type="dxa"/>
            <w:shd w:val="clear" w:color="auto" w:fill="auto"/>
            <w:vAlign w:val="center"/>
            <w:hideMark/>
          </w:tcPr>
          <w:p w14:paraId="3787A18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95,65%</w:t>
            </w:r>
          </w:p>
        </w:tc>
        <w:tc>
          <w:tcPr>
            <w:tcW w:w="1200" w:type="dxa"/>
            <w:shd w:val="clear" w:color="auto" w:fill="auto"/>
            <w:vAlign w:val="center"/>
            <w:hideMark/>
          </w:tcPr>
          <w:p w14:paraId="694CC97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98,33%</w:t>
            </w:r>
          </w:p>
        </w:tc>
        <w:tc>
          <w:tcPr>
            <w:tcW w:w="1200" w:type="dxa"/>
            <w:shd w:val="clear" w:color="auto" w:fill="auto"/>
            <w:vAlign w:val="center"/>
            <w:hideMark/>
          </w:tcPr>
          <w:p w14:paraId="41DA3CD0"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2,68%</w:t>
            </w:r>
          </w:p>
        </w:tc>
      </w:tr>
      <w:tr w:rsidR="00D106C9" w:rsidRPr="00D106C9" w14:paraId="5EEEA3EF" w14:textId="77777777" w:rsidTr="006D7BCD">
        <w:trPr>
          <w:trHeight w:val="790"/>
          <w:jc w:val="center"/>
        </w:trPr>
        <w:tc>
          <w:tcPr>
            <w:tcW w:w="1200" w:type="dxa"/>
            <w:shd w:val="clear" w:color="auto" w:fill="auto"/>
            <w:vAlign w:val="center"/>
            <w:hideMark/>
          </w:tcPr>
          <w:p w14:paraId="1B1B1B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926</w:t>
            </w:r>
          </w:p>
        </w:tc>
        <w:tc>
          <w:tcPr>
            <w:tcW w:w="2360" w:type="dxa"/>
            <w:shd w:val="clear" w:color="auto" w:fill="auto"/>
            <w:vAlign w:val="center"/>
            <w:hideMark/>
          </w:tcPr>
          <w:p w14:paraId="79F99226"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Dirección, Administración y Otros Órganos de Apoyo</w:t>
            </w:r>
          </w:p>
        </w:tc>
        <w:tc>
          <w:tcPr>
            <w:tcW w:w="1200" w:type="dxa"/>
            <w:shd w:val="clear" w:color="auto" w:fill="auto"/>
            <w:vAlign w:val="center"/>
            <w:hideMark/>
          </w:tcPr>
          <w:p w14:paraId="7668A7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98,13%</w:t>
            </w:r>
          </w:p>
        </w:tc>
        <w:tc>
          <w:tcPr>
            <w:tcW w:w="1200" w:type="dxa"/>
            <w:shd w:val="clear" w:color="auto" w:fill="auto"/>
            <w:vAlign w:val="center"/>
            <w:hideMark/>
          </w:tcPr>
          <w:p w14:paraId="27F0AD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98,94%</w:t>
            </w:r>
          </w:p>
        </w:tc>
        <w:tc>
          <w:tcPr>
            <w:tcW w:w="1200" w:type="dxa"/>
            <w:shd w:val="clear" w:color="auto" w:fill="auto"/>
            <w:vAlign w:val="center"/>
            <w:hideMark/>
          </w:tcPr>
          <w:p w14:paraId="574A781C"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0,81%</w:t>
            </w:r>
          </w:p>
        </w:tc>
      </w:tr>
      <w:tr w:rsidR="00D106C9" w:rsidRPr="00D106C9" w14:paraId="74E37C1F" w14:textId="77777777" w:rsidTr="006D7BCD">
        <w:trPr>
          <w:trHeight w:val="300"/>
          <w:jc w:val="center"/>
        </w:trPr>
        <w:tc>
          <w:tcPr>
            <w:tcW w:w="1200" w:type="dxa"/>
            <w:shd w:val="clear" w:color="auto" w:fill="auto"/>
            <w:vAlign w:val="center"/>
            <w:hideMark/>
          </w:tcPr>
          <w:p w14:paraId="0413F8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930</w:t>
            </w:r>
          </w:p>
        </w:tc>
        <w:tc>
          <w:tcPr>
            <w:tcW w:w="2360" w:type="dxa"/>
            <w:shd w:val="clear" w:color="auto" w:fill="auto"/>
            <w:vAlign w:val="center"/>
            <w:hideMark/>
          </w:tcPr>
          <w:p w14:paraId="0D402058"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Defensa Pública</w:t>
            </w:r>
          </w:p>
        </w:tc>
        <w:tc>
          <w:tcPr>
            <w:tcW w:w="1200" w:type="dxa"/>
            <w:shd w:val="clear" w:color="auto" w:fill="auto"/>
            <w:vAlign w:val="center"/>
            <w:hideMark/>
          </w:tcPr>
          <w:p w14:paraId="702577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99,99%</w:t>
            </w:r>
          </w:p>
        </w:tc>
        <w:tc>
          <w:tcPr>
            <w:tcW w:w="1200" w:type="dxa"/>
            <w:shd w:val="clear" w:color="auto" w:fill="auto"/>
            <w:vAlign w:val="center"/>
            <w:hideMark/>
          </w:tcPr>
          <w:p w14:paraId="686492C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200" w:type="dxa"/>
            <w:shd w:val="clear" w:color="auto" w:fill="auto"/>
            <w:vAlign w:val="center"/>
            <w:hideMark/>
          </w:tcPr>
          <w:p w14:paraId="755FBD0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0,01%</w:t>
            </w:r>
          </w:p>
        </w:tc>
      </w:tr>
      <w:tr w:rsidR="00D106C9" w:rsidRPr="00D106C9" w14:paraId="180E1E4E" w14:textId="77777777" w:rsidTr="006D7BCD">
        <w:trPr>
          <w:trHeight w:val="530"/>
          <w:jc w:val="center"/>
        </w:trPr>
        <w:tc>
          <w:tcPr>
            <w:tcW w:w="1200" w:type="dxa"/>
            <w:shd w:val="clear" w:color="auto" w:fill="auto"/>
            <w:vAlign w:val="center"/>
            <w:hideMark/>
          </w:tcPr>
          <w:p w14:paraId="561DB5A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928</w:t>
            </w:r>
          </w:p>
        </w:tc>
        <w:tc>
          <w:tcPr>
            <w:tcW w:w="2360" w:type="dxa"/>
            <w:shd w:val="clear" w:color="auto" w:fill="auto"/>
            <w:vAlign w:val="center"/>
            <w:hideMark/>
          </w:tcPr>
          <w:p w14:paraId="4CCEECBC"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Organismo de Investigación Judicial</w:t>
            </w:r>
          </w:p>
        </w:tc>
        <w:tc>
          <w:tcPr>
            <w:tcW w:w="1200" w:type="dxa"/>
            <w:shd w:val="clear" w:color="auto" w:fill="auto"/>
            <w:vAlign w:val="center"/>
            <w:hideMark/>
          </w:tcPr>
          <w:p w14:paraId="395CC8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99,81%</w:t>
            </w:r>
          </w:p>
        </w:tc>
        <w:tc>
          <w:tcPr>
            <w:tcW w:w="1200" w:type="dxa"/>
            <w:shd w:val="clear" w:color="auto" w:fill="auto"/>
            <w:vAlign w:val="center"/>
            <w:hideMark/>
          </w:tcPr>
          <w:p w14:paraId="3773A0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99,71%</w:t>
            </w:r>
          </w:p>
        </w:tc>
        <w:tc>
          <w:tcPr>
            <w:tcW w:w="1200" w:type="dxa"/>
            <w:shd w:val="clear" w:color="auto" w:fill="auto"/>
            <w:vAlign w:val="center"/>
            <w:hideMark/>
          </w:tcPr>
          <w:p w14:paraId="69D47EB7"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-0,10%</w:t>
            </w:r>
          </w:p>
        </w:tc>
      </w:tr>
      <w:tr w:rsidR="00D106C9" w:rsidRPr="00D106C9" w14:paraId="148F5187" w14:textId="77777777" w:rsidTr="006D7BCD">
        <w:trPr>
          <w:trHeight w:val="300"/>
          <w:jc w:val="center"/>
        </w:trPr>
        <w:tc>
          <w:tcPr>
            <w:tcW w:w="1200" w:type="dxa"/>
            <w:shd w:val="clear" w:color="auto" w:fill="auto"/>
            <w:vAlign w:val="center"/>
            <w:hideMark/>
          </w:tcPr>
          <w:p w14:paraId="70AD58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927</w:t>
            </w:r>
          </w:p>
        </w:tc>
        <w:tc>
          <w:tcPr>
            <w:tcW w:w="2360" w:type="dxa"/>
            <w:shd w:val="clear" w:color="auto" w:fill="auto"/>
            <w:vAlign w:val="center"/>
            <w:hideMark/>
          </w:tcPr>
          <w:p w14:paraId="45260904"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Servicio Jurisdiccional</w:t>
            </w:r>
          </w:p>
        </w:tc>
        <w:tc>
          <w:tcPr>
            <w:tcW w:w="1200" w:type="dxa"/>
            <w:shd w:val="clear" w:color="auto" w:fill="auto"/>
            <w:vAlign w:val="center"/>
            <w:hideMark/>
          </w:tcPr>
          <w:p w14:paraId="5F34B9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92,92%</w:t>
            </w:r>
          </w:p>
        </w:tc>
        <w:tc>
          <w:tcPr>
            <w:tcW w:w="1200" w:type="dxa"/>
            <w:shd w:val="clear" w:color="auto" w:fill="auto"/>
            <w:vAlign w:val="center"/>
            <w:hideMark/>
          </w:tcPr>
          <w:p w14:paraId="04CE241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92,41%</w:t>
            </w:r>
          </w:p>
        </w:tc>
        <w:tc>
          <w:tcPr>
            <w:tcW w:w="1200" w:type="dxa"/>
            <w:shd w:val="clear" w:color="auto" w:fill="auto"/>
            <w:vAlign w:val="center"/>
            <w:hideMark/>
          </w:tcPr>
          <w:p w14:paraId="734AB85A"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-0,51%</w:t>
            </w:r>
          </w:p>
        </w:tc>
      </w:tr>
      <w:tr w:rsidR="00D106C9" w:rsidRPr="00D106C9" w14:paraId="7471F191" w14:textId="77777777" w:rsidTr="006D7BCD">
        <w:trPr>
          <w:trHeight w:val="790"/>
          <w:jc w:val="center"/>
        </w:trPr>
        <w:tc>
          <w:tcPr>
            <w:tcW w:w="1200" w:type="dxa"/>
            <w:shd w:val="clear" w:color="auto" w:fill="auto"/>
            <w:vAlign w:val="center"/>
            <w:hideMark/>
          </w:tcPr>
          <w:p w14:paraId="5937733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950</w:t>
            </w:r>
          </w:p>
        </w:tc>
        <w:tc>
          <w:tcPr>
            <w:tcW w:w="2360" w:type="dxa"/>
            <w:shd w:val="clear" w:color="auto" w:fill="auto"/>
            <w:vAlign w:val="center"/>
            <w:hideMark/>
          </w:tcPr>
          <w:p w14:paraId="3F4B261F" w14:textId="77777777" w:rsidR="00D106C9" w:rsidRPr="00D106C9" w:rsidRDefault="00D106C9" w:rsidP="00D106C9">
            <w:pPr>
              <w:widowControl w:val="0"/>
              <w:suppressAutoHyphens w:val="0"/>
              <w:autoSpaceDE w:val="0"/>
              <w:autoSpaceDN w:val="0"/>
              <w:adjustRightInd w:val="0"/>
              <w:rPr>
                <w:lang w:eastAsia="es-CR"/>
              </w:rPr>
            </w:pPr>
            <w:r w:rsidRPr="00D106C9">
              <w:rPr>
                <w:lang w:eastAsia="es-CR"/>
              </w:rPr>
              <w:t>Servicio de Atención y Protección de Víctimas y Testigos</w:t>
            </w:r>
          </w:p>
        </w:tc>
        <w:tc>
          <w:tcPr>
            <w:tcW w:w="1200" w:type="dxa"/>
            <w:shd w:val="clear" w:color="auto" w:fill="auto"/>
            <w:vAlign w:val="center"/>
            <w:hideMark/>
          </w:tcPr>
          <w:p w14:paraId="41024E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98,66%</w:t>
            </w:r>
          </w:p>
        </w:tc>
        <w:tc>
          <w:tcPr>
            <w:tcW w:w="1200" w:type="dxa"/>
            <w:shd w:val="clear" w:color="auto" w:fill="auto"/>
            <w:vAlign w:val="center"/>
            <w:hideMark/>
          </w:tcPr>
          <w:p w14:paraId="1093ED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97,88%</w:t>
            </w:r>
          </w:p>
        </w:tc>
        <w:tc>
          <w:tcPr>
            <w:tcW w:w="1200" w:type="dxa"/>
            <w:shd w:val="clear" w:color="auto" w:fill="auto"/>
            <w:vAlign w:val="center"/>
            <w:hideMark/>
          </w:tcPr>
          <w:p w14:paraId="160261E3"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-0,78%</w:t>
            </w:r>
          </w:p>
        </w:tc>
      </w:tr>
    </w:tbl>
    <w:p w14:paraId="524D390B" w14:textId="77777777" w:rsidR="00D106C9" w:rsidRPr="00D106C9" w:rsidRDefault="00D106C9" w:rsidP="00D106C9">
      <w:pPr>
        <w:widowControl w:val="0"/>
        <w:suppressAutoHyphens w:val="0"/>
        <w:autoSpaceDE w:val="0"/>
        <w:autoSpaceDN w:val="0"/>
        <w:adjustRightInd w:val="0"/>
        <w:rPr>
          <w:lang w:eastAsia="es-ES"/>
        </w:rPr>
      </w:pPr>
      <w:r w:rsidRPr="00D106C9">
        <w:rPr>
          <w:b/>
          <w:bCs/>
          <w:lang w:eastAsia="es-ES"/>
        </w:rPr>
        <w:t xml:space="preserve">                     Fuente:</w:t>
      </w:r>
      <w:r w:rsidRPr="00D106C9">
        <w:rPr>
          <w:lang w:eastAsia="es-ES"/>
        </w:rPr>
        <w:t xml:space="preserve"> Sistema PAO con corte al 19 de enero del 2022.</w:t>
      </w:r>
    </w:p>
    <w:p w14:paraId="77922E1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Del cuadro anterior, se puede observar cómo el Ministerio Público, Dirección, Administración y Otros Órganos de Apoyo y la Defensa Pública, </w:t>
      </w:r>
      <w:r w:rsidRPr="00D106C9">
        <w:rPr>
          <w:lang w:eastAsia="es-CR"/>
        </w:rPr>
        <w:t xml:space="preserve">fueron los tres programas con incremento en el cumplimiento de los avances del PAO entre los periodos analizados con un 2,68%, 0,81% y 0,01% respectivamente. Mientras el </w:t>
      </w:r>
      <w:r w:rsidRPr="00D106C9">
        <w:rPr>
          <w:lang w:eastAsia="es-ES"/>
        </w:rPr>
        <w:t xml:space="preserve">Organismo de Investigación Judicial, el Servicio Jurisdiccional y el Servicio de Atención y Protección de Víctimas y Testigos, son los programas que presentaron una disminución en el cumplimiento de los avances del PAO entre los periodos analizados con un -0,10%, -0,51% y -0,78% respectivamente. </w:t>
      </w:r>
    </w:p>
    <w:p w14:paraId="3DFF130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D8ACCBC"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9.3. Cumplimiento del Plan Anual Operativo por Centro de </w:t>
      </w:r>
      <w:r w:rsidRPr="00D106C9">
        <w:rPr>
          <w:b/>
          <w:bCs/>
          <w:lang w:eastAsia="es-ES"/>
        </w:rPr>
        <w:lastRenderedPageBreak/>
        <w:t>Responsabilidad.</w:t>
      </w:r>
    </w:p>
    <w:p w14:paraId="50DD4188"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5327D459"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En cuanto al análisis por Centro de Responsabilidad, el siguiente cuadro detalla en forma descendente el porcentaje de avance en el cumplimiento de las oficinas que integran cada Centro.</w:t>
      </w:r>
    </w:p>
    <w:p w14:paraId="3A0A4149"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p>
    <w:p w14:paraId="36775706"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p>
    <w:p w14:paraId="1B52624A"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p>
    <w:p w14:paraId="429173F2"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5</w:t>
      </w:r>
      <w:r w:rsidRPr="00D106C9">
        <w:rPr>
          <w:b/>
          <w:bCs/>
          <w:lang w:eastAsia="es-ES"/>
        </w:rPr>
        <w:fldChar w:fldCharType="end"/>
      </w:r>
    </w:p>
    <w:p w14:paraId="6119D431"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 xml:space="preserve">Porcentaje de avances al PAO </w:t>
      </w:r>
    </w:p>
    <w:p w14:paraId="36EE4E5E"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por Centro de Responsabilidad para el del 2021</w:t>
      </w:r>
    </w:p>
    <w:tbl>
      <w:tblPr>
        <w:tblW w:w="94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060"/>
        <w:gridCol w:w="3960"/>
        <w:gridCol w:w="1360"/>
        <w:gridCol w:w="1600"/>
        <w:gridCol w:w="1480"/>
      </w:tblGrid>
      <w:tr w:rsidR="00D106C9" w:rsidRPr="00D106C9" w14:paraId="4EEB886F" w14:textId="77777777" w:rsidTr="006D7BCD">
        <w:trPr>
          <w:trHeight w:val="520"/>
          <w:jc w:val="center"/>
        </w:trPr>
        <w:tc>
          <w:tcPr>
            <w:tcW w:w="1060" w:type="dxa"/>
            <w:shd w:val="clear" w:color="D3D3D3" w:fill="4F81BD"/>
            <w:vAlign w:val="bottom"/>
            <w:hideMark/>
          </w:tcPr>
          <w:p w14:paraId="6F413B92"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Código</w:t>
            </w:r>
          </w:p>
        </w:tc>
        <w:tc>
          <w:tcPr>
            <w:tcW w:w="3960" w:type="dxa"/>
            <w:shd w:val="clear" w:color="D3D3D3" w:fill="4F81BD"/>
            <w:vAlign w:val="bottom"/>
            <w:hideMark/>
          </w:tcPr>
          <w:p w14:paraId="34973E8F"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Descripción</w:t>
            </w:r>
          </w:p>
        </w:tc>
        <w:tc>
          <w:tcPr>
            <w:tcW w:w="1360" w:type="dxa"/>
            <w:shd w:val="clear" w:color="D3D3D3" w:fill="4F81BD"/>
            <w:vAlign w:val="bottom"/>
            <w:hideMark/>
          </w:tcPr>
          <w:p w14:paraId="2947CACB"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w:t>
            </w:r>
          </w:p>
        </w:tc>
        <w:tc>
          <w:tcPr>
            <w:tcW w:w="1600" w:type="dxa"/>
            <w:shd w:val="clear" w:color="D3D3D3" w:fill="4F81BD"/>
            <w:vAlign w:val="bottom"/>
            <w:hideMark/>
          </w:tcPr>
          <w:p w14:paraId="423B953A"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Metas Formuladas</w:t>
            </w:r>
          </w:p>
        </w:tc>
        <w:tc>
          <w:tcPr>
            <w:tcW w:w="1480" w:type="dxa"/>
            <w:shd w:val="clear" w:color="D3D3D3" w:fill="4F81BD"/>
            <w:vAlign w:val="bottom"/>
            <w:hideMark/>
          </w:tcPr>
          <w:p w14:paraId="02D8B6DA"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Metas con Avance</w:t>
            </w:r>
          </w:p>
        </w:tc>
      </w:tr>
      <w:tr w:rsidR="00D106C9" w:rsidRPr="00D106C9" w14:paraId="7A161392" w14:textId="77777777" w:rsidTr="006D7BCD">
        <w:trPr>
          <w:trHeight w:val="290"/>
          <w:jc w:val="center"/>
        </w:trPr>
        <w:tc>
          <w:tcPr>
            <w:tcW w:w="1060" w:type="dxa"/>
            <w:shd w:val="clear" w:color="auto" w:fill="auto"/>
            <w:vAlign w:val="bottom"/>
            <w:hideMark/>
          </w:tcPr>
          <w:p w14:paraId="3CDDEF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19</w:t>
            </w:r>
          </w:p>
        </w:tc>
        <w:tc>
          <w:tcPr>
            <w:tcW w:w="3960" w:type="dxa"/>
            <w:shd w:val="clear" w:color="auto" w:fill="auto"/>
            <w:vAlign w:val="bottom"/>
            <w:hideMark/>
          </w:tcPr>
          <w:p w14:paraId="294773C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Auditoría</w:t>
            </w:r>
          </w:p>
        </w:tc>
        <w:tc>
          <w:tcPr>
            <w:tcW w:w="1360" w:type="dxa"/>
            <w:shd w:val="clear" w:color="auto" w:fill="auto"/>
            <w:vAlign w:val="bottom"/>
            <w:hideMark/>
          </w:tcPr>
          <w:p w14:paraId="3530B3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28535C7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80</w:t>
            </w:r>
          </w:p>
        </w:tc>
        <w:tc>
          <w:tcPr>
            <w:tcW w:w="1480" w:type="dxa"/>
            <w:shd w:val="clear" w:color="auto" w:fill="auto"/>
            <w:vAlign w:val="bottom"/>
            <w:hideMark/>
          </w:tcPr>
          <w:p w14:paraId="210FE6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80</w:t>
            </w:r>
          </w:p>
        </w:tc>
      </w:tr>
      <w:tr w:rsidR="00D106C9" w:rsidRPr="00D106C9" w14:paraId="3C9269BB" w14:textId="77777777" w:rsidTr="006D7BCD">
        <w:trPr>
          <w:trHeight w:val="580"/>
          <w:jc w:val="center"/>
        </w:trPr>
        <w:tc>
          <w:tcPr>
            <w:tcW w:w="1060" w:type="dxa"/>
            <w:shd w:val="clear" w:color="auto" w:fill="auto"/>
            <w:vAlign w:val="bottom"/>
            <w:hideMark/>
          </w:tcPr>
          <w:p w14:paraId="3BF9C4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20</w:t>
            </w:r>
          </w:p>
        </w:tc>
        <w:tc>
          <w:tcPr>
            <w:tcW w:w="3960" w:type="dxa"/>
            <w:shd w:val="clear" w:color="auto" w:fill="auto"/>
            <w:vAlign w:val="bottom"/>
            <w:hideMark/>
          </w:tcPr>
          <w:p w14:paraId="77FCAA4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Comisión Nacional Mejoramiento de Justicia</w:t>
            </w:r>
          </w:p>
        </w:tc>
        <w:tc>
          <w:tcPr>
            <w:tcW w:w="1360" w:type="dxa"/>
            <w:shd w:val="clear" w:color="auto" w:fill="auto"/>
            <w:vAlign w:val="bottom"/>
            <w:hideMark/>
          </w:tcPr>
          <w:p w14:paraId="331D1AB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7E95DB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24</w:t>
            </w:r>
          </w:p>
        </w:tc>
        <w:tc>
          <w:tcPr>
            <w:tcW w:w="1480" w:type="dxa"/>
            <w:shd w:val="clear" w:color="auto" w:fill="auto"/>
            <w:vAlign w:val="bottom"/>
            <w:hideMark/>
          </w:tcPr>
          <w:p w14:paraId="560FF0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24</w:t>
            </w:r>
          </w:p>
        </w:tc>
      </w:tr>
      <w:tr w:rsidR="00D106C9" w:rsidRPr="00D106C9" w14:paraId="213F1C4F" w14:textId="77777777" w:rsidTr="006D7BCD">
        <w:trPr>
          <w:trHeight w:val="290"/>
          <w:jc w:val="center"/>
        </w:trPr>
        <w:tc>
          <w:tcPr>
            <w:tcW w:w="1060" w:type="dxa"/>
            <w:shd w:val="clear" w:color="auto" w:fill="auto"/>
            <w:vAlign w:val="bottom"/>
            <w:hideMark/>
          </w:tcPr>
          <w:p w14:paraId="57EF0F3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21</w:t>
            </w:r>
          </w:p>
        </w:tc>
        <w:tc>
          <w:tcPr>
            <w:tcW w:w="3960" w:type="dxa"/>
            <w:shd w:val="clear" w:color="auto" w:fill="auto"/>
            <w:vAlign w:val="bottom"/>
            <w:hideMark/>
          </w:tcPr>
          <w:p w14:paraId="09267FA1"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Contraloría de Servicios</w:t>
            </w:r>
          </w:p>
        </w:tc>
        <w:tc>
          <w:tcPr>
            <w:tcW w:w="1360" w:type="dxa"/>
            <w:shd w:val="clear" w:color="auto" w:fill="auto"/>
            <w:vAlign w:val="bottom"/>
            <w:hideMark/>
          </w:tcPr>
          <w:p w14:paraId="24FAF92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4B348F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109</w:t>
            </w:r>
          </w:p>
        </w:tc>
        <w:tc>
          <w:tcPr>
            <w:tcW w:w="1480" w:type="dxa"/>
            <w:shd w:val="clear" w:color="auto" w:fill="auto"/>
            <w:vAlign w:val="bottom"/>
            <w:hideMark/>
          </w:tcPr>
          <w:p w14:paraId="3A77CEA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109</w:t>
            </w:r>
          </w:p>
        </w:tc>
      </w:tr>
      <w:tr w:rsidR="00D106C9" w:rsidRPr="00D106C9" w14:paraId="240EBD12" w14:textId="77777777" w:rsidTr="006D7BCD">
        <w:trPr>
          <w:trHeight w:val="290"/>
          <w:jc w:val="center"/>
        </w:trPr>
        <w:tc>
          <w:tcPr>
            <w:tcW w:w="1060" w:type="dxa"/>
            <w:shd w:val="clear" w:color="auto" w:fill="auto"/>
            <w:vAlign w:val="bottom"/>
            <w:hideMark/>
          </w:tcPr>
          <w:p w14:paraId="0D2DB5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22</w:t>
            </w:r>
          </w:p>
        </w:tc>
        <w:tc>
          <w:tcPr>
            <w:tcW w:w="3960" w:type="dxa"/>
            <w:shd w:val="clear" w:color="auto" w:fill="auto"/>
            <w:vAlign w:val="bottom"/>
            <w:hideMark/>
          </w:tcPr>
          <w:p w14:paraId="2D878FF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Escuela Judicial</w:t>
            </w:r>
          </w:p>
        </w:tc>
        <w:tc>
          <w:tcPr>
            <w:tcW w:w="1360" w:type="dxa"/>
            <w:shd w:val="clear" w:color="auto" w:fill="auto"/>
            <w:vAlign w:val="bottom"/>
            <w:hideMark/>
          </w:tcPr>
          <w:p w14:paraId="44AA9AD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60033F7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48</w:t>
            </w:r>
          </w:p>
        </w:tc>
        <w:tc>
          <w:tcPr>
            <w:tcW w:w="1480" w:type="dxa"/>
            <w:shd w:val="clear" w:color="auto" w:fill="auto"/>
            <w:vAlign w:val="bottom"/>
            <w:hideMark/>
          </w:tcPr>
          <w:p w14:paraId="77A585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48</w:t>
            </w:r>
          </w:p>
        </w:tc>
      </w:tr>
      <w:tr w:rsidR="00D106C9" w:rsidRPr="00D106C9" w14:paraId="4F33D7E4" w14:textId="77777777" w:rsidTr="006D7BCD">
        <w:trPr>
          <w:trHeight w:val="290"/>
          <w:jc w:val="center"/>
        </w:trPr>
        <w:tc>
          <w:tcPr>
            <w:tcW w:w="1060" w:type="dxa"/>
            <w:shd w:val="clear" w:color="auto" w:fill="auto"/>
            <w:vAlign w:val="bottom"/>
            <w:hideMark/>
          </w:tcPr>
          <w:p w14:paraId="6478206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25</w:t>
            </w:r>
          </w:p>
        </w:tc>
        <w:tc>
          <w:tcPr>
            <w:tcW w:w="3960" w:type="dxa"/>
            <w:shd w:val="clear" w:color="auto" w:fill="auto"/>
            <w:vAlign w:val="bottom"/>
            <w:hideMark/>
          </w:tcPr>
          <w:p w14:paraId="6F7FC01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Defensa Pública </w:t>
            </w:r>
          </w:p>
        </w:tc>
        <w:tc>
          <w:tcPr>
            <w:tcW w:w="1360" w:type="dxa"/>
            <w:shd w:val="clear" w:color="auto" w:fill="auto"/>
            <w:vAlign w:val="bottom"/>
            <w:hideMark/>
          </w:tcPr>
          <w:p w14:paraId="12FA41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25B555C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324</w:t>
            </w:r>
          </w:p>
        </w:tc>
        <w:tc>
          <w:tcPr>
            <w:tcW w:w="1480" w:type="dxa"/>
            <w:shd w:val="clear" w:color="auto" w:fill="auto"/>
            <w:vAlign w:val="bottom"/>
            <w:hideMark/>
          </w:tcPr>
          <w:p w14:paraId="38A93A7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324</w:t>
            </w:r>
          </w:p>
        </w:tc>
      </w:tr>
      <w:tr w:rsidR="00D106C9" w:rsidRPr="00D106C9" w14:paraId="36F58234" w14:textId="77777777" w:rsidTr="006D7BCD">
        <w:trPr>
          <w:trHeight w:val="580"/>
          <w:jc w:val="center"/>
        </w:trPr>
        <w:tc>
          <w:tcPr>
            <w:tcW w:w="1060" w:type="dxa"/>
            <w:shd w:val="clear" w:color="auto" w:fill="auto"/>
            <w:vAlign w:val="bottom"/>
            <w:hideMark/>
          </w:tcPr>
          <w:p w14:paraId="12EE33A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w:t>
            </w:r>
          </w:p>
        </w:tc>
        <w:tc>
          <w:tcPr>
            <w:tcW w:w="3960" w:type="dxa"/>
            <w:shd w:val="clear" w:color="auto" w:fill="auto"/>
            <w:vAlign w:val="bottom"/>
            <w:hideMark/>
          </w:tcPr>
          <w:p w14:paraId="5741324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Judicial de Intervención de las Comunicaciones (CJIC)</w:t>
            </w:r>
          </w:p>
        </w:tc>
        <w:tc>
          <w:tcPr>
            <w:tcW w:w="1360" w:type="dxa"/>
            <w:shd w:val="clear" w:color="auto" w:fill="auto"/>
            <w:vAlign w:val="bottom"/>
            <w:hideMark/>
          </w:tcPr>
          <w:p w14:paraId="7B3219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4C1A181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w:t>
            </w:r>
          </w:p>
        </w:tc>
        <w:tc>
          <w:tcPr>
            <w:tcW w:w="1480" w:type="dxa"/>
            <w:shd w:val="clear" w:color="auto" w:fill="auto"/>
            <w:vAlign w:val="bottom"/>
            <w:hideMark/>
          </w:tcPr>
          <w:p w14:paraId="201A95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w:t>
            </w:r>
          </w:p>
        </w:tc>
      </w:tr>
      <w:tr w:rsidR="00D106C9" w:rsidRPr="00D106C9" w14:paraId="5350A4B3" w14:textId="77777777" w:rsidTr="006D7BCD">
        <w:trPr>
          <w:trHeight w:val="290"/>
          <w:jc w:val="center"/>
        </w:trPr>
        <w:tc>
          <w:tcPr>
            <w:tcW w:w="1060" w:type="dxa"/>
            <w:shd w:val="clear" w:color="auto" w:fill="auto"/>
            <w:vAlign w:val="bottom"/>
            <w:hideMark/>
          </w:tcPr>
          <w:p w14:paraId="0390E31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50</w:t>
            </w:r>
          </w:p>
        </w:tc>
        <w:tc>
          <w:tcPr>
            <w:tcW w:w="3960" w:type="dxa"/>
            <w:shd w:val="clear" w:color="auto" w:fill="auto"/>
            <w:vAlign w:val="bottom"/>
            <w:hideMark/>
          </w:tcPr>
          <w:p w14:paraId="6864361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de Gestión de la Calidad</w:t>
            </w:r>
          </w:p>
        </w:tc>
        <w:tc>
          <w:tcPr>
            <w:tcW w:w="1360" w:type="dxa"/>
            <w:shd w:val="clear" w:color="auto" w:fill="auto"/>
            <w:vAlign w:val="bottom"/>
            <w:hideMark/>
          </w:tcPr>
          <w:p w14:paraId="677C7A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2D6ED90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17</w:t>
            </w:r>
          </w:p>
        </w:tc>
        <w:tc>
          <w:tcPr>
            <w:tcW w:w="1480" w:type="dxa"/>
            <w:shd w:val="clear" w:color="auto" w:fill="auto"/>
            <w:vAlign w:val="bottom"/>
            <w:hideMark/>
          </w:tcPr>
          <w:p w14:paraId="10882DC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17</w:t>
            </w:r>
          </w:p>
        </w:tc>
      </w:tr>
      <w:tr w:rsidR="00D106C9" w:rsidRPr="00D106C9" w14:paraId="20402D3F" w14:textId="77777777" w:rsidTr="006D7BCD">
        <w:trPr>
          <w:trHeight w:val="290"/>
          <w:jc w:val="center"/>
        </w:trPr>
        <w:tc>
          <w:tcPr>
            <w:tcW w:w="1060" w:type="dxa"/>
            <w:shd w:val="clear" w:color="auto" w:fill="auto"/>
            <w:vAlign w:val="bottom"/>
            <w:hideMark/>
          </w:tcPr>
          <w:p w14:paraId="57CB417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56</w:t>
            </w:r>
          </w:p>
        </w:tc>
        <w:tc>
          <w:tcPr>
            <w:tcW w:w="3960" w:type="dxa"/>
            <w:shd w:val="clear" w:color="auto" w:fill="auto"/>
            <w:vAlign w:val="bottom"/>
            <w:hideMark/>
          </w:tcPr>
          <w:p w14:paraId="2B9B554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Despacho de la Presidencia</w:t>
            </w:r>
          </w:p>
        </w:tc>
        <w:tc>
          <w:tcPr>
            <w:tcW w:w="1360" w:type="dxa"/>
            <w:shd w:val="clear" w:color="auto" w:fill="auto"/>
            <w:vAlign w:val="bottom"/>
            <w:hideMark/>
          </w:tcPr>
          <w:p w14:paraId="0123B04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512F718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27</w:t>
            </w:r>
          </w:p>
        </w:tc>
        <w:tc>
          <w:tcPr>
            <w:tcW w:w="1480" w:type="dxa"/>
            <w:shd w:val="clear" w:color="auto" w:fill="auto"/>
            <w:vAlign w:val="bottom"/>
            <w:hideMark/>
          </w:tcPr>
          <w:p w14:paraId="242450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27</w:t>
            </w:r>
          </w:p>
        </w:tc>
      </w:tr>
      <w:tr w:rsidR="00D106C9" w:rsidRPr="00D106C9" w14:paraId="164D2F9C" w14:textId="77777777" w:rsidTr="006D7BCD">
        <w:trPr>
          <w:trHeight w:val="290"/>
          <w:jc w:val="center"/>
        </w:trPr>
        <w:tc>
          <w:tcPr>
            <w:tcW w:w="1060" w:type="dxa"/>
            <w:shd w:val="clear" w:color="auto" w:fill="auto"/>
            <w:vAlign w:val="bottom"/>
            <w:hideMark/>
          </w:tcPr>
          <w:p w14:paraId="59148B5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57</w:t>
            </w:r>
          </w:p>
        </w:tc>
        <w:tc>
          <w:tcPr>
            <w:tcW w:w="3960" w:type="dxa"/>
            <w:shd w:val="clear" w:color="auto" w:fill="auto"/>
            <w:vAlign w:val="bottom"/>
            <w:hideMark/>
          </w:tcPr>
          <w:p w14:paraId="0433B24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Presidencia de la Corte</w:t>
            </w:r>
          </w:p>
        </w:tc>
        <w:tc>
          <w:tcPr>
            <w:tcW w:w="1360" w:type="dxa"/>
            <w:shd w:val="clear" w:color="auto" w:fill="auto"/>
            <w:vAlign w:val="bottom"/>
            <w:hideMark/>
          </w:tcPr>
          <w:p w14:paraId="4E4AFD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2DE9EC5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w:t>
            </w:r>
          </w:p>
        </w:tc>
        <w:tc>
          <w:tcPr>
            <w:tcW w:w="1480" w:type="dxa"/>
            <w:shd w:val="clear" w:color="auto" w:fill="auto"/>
            <w:vAlign w:val="bottom"/>
            <w:hideMark/>
          </w:tcPr>
          <w:p w14:paraId="021C64A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w:t>
            </w:r>
          </w:p>
        </w:tc>
      </w:tr>
      <w:tr w:rsidR="00D106C9" w:rsidRPr="00D106C9" w14:paraId="1E4E7568" w14:textId="77777777" w:rsidTr="006D7BCD">
        <w:trPr>
          <w:trHeight w:val="290"/>
          <w:jc w:val="center"/>
        </w:trPr>
        <w:tc>
          <w:tcPr>
            <w:tcW w:w="1060" w:type="dxa"/>
            <w:shd w:val="clear" w:color="auto" w:fill="auto"/>
            <w:vAlign w:val="bottom"/>
            <w:hideMark/>
          </w:tcPr>
          <w:p w14:paraId="2A28333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59</w:t>
            </w:r>
          </w:p>
        </w:tc>
        <w:tc>
          <w:tcPr>
            <w:tcW w:w="3960" w:type="dxa"/>
            <w:shd w:val="clear" w:color="auto" w:fill="auto"/>
            <w:vAlign w:val="bottom"/>
            <w:hideMark/>
          </w:tcPr>
          <w:p w14:paraId="634190A8"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Secretaría de la Corte</w:t>
            </w:r>
          </w:p>
        </w:tc>
        <w:tc>
          <w:tcPr>
            <w:tcW w:w="1360" w:type="dxa"/>
            <w:shd w:val="clear" w:color="auto" w:fill="auto"/>
            <w:vAlign w:val="bottom"/>
            <w:hideMark/>
          </w:tcPr>
          <w:p w14:paraId="6557686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654D1C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w:t>
            </w:r>
          </w:p>
        </w:tc>
        <w:tc>
          <w:tcPr>
            <w:tcW w:w="1480" w:type="dxa"/>
            <w:shd w:val="clear" w:color="auto" w:fill="auto"/>
            <w:vAlign w:val="bottom"/>
            <w:hideMark/>
          </w:tcPr>
          <w:p w14:paraId="5A482F6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w:t>
            </w:r>
          </w:p>
        </w:tc>
      </w:tr>
      <w:tr w:rsidR="00D106C9" w:rsidRPr="00D106C9" w14:paraId="56160ECF" w14:textId="77777777" w:rsidTr="006D7BCD">
        <w:trPr>
          <w:trHeight w:val="290"/>
          <w:jc w:val="center"/>
        </w:trPr>
        <w:tc>
          <w:tcPr>
            <w:tcW w:w="1060" w:type="dxa"/>
            <w:shd w:val="clear" w:color="auto" w:fill="auto"/>
            <w:vAlign w:val="bottom"/>
            <w:hideMark/>
          </w:tcPr>
          <w:p w14:paraId="42FAD01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60</w:t>
            </w:r>
          </w:p>
        </w:tc>
        <w:tc>
          <w:tcPr>
            <w:tcW w:w="3960" w:type="dxa"/>
            <w:shd w:val="clear" w:color="auto" w:fill="auto"/>
            <w:vAlign w:val="bottom"/>
            <w:hideMark/>
          </w:tcPr>
          <w:p w14:paraId="2B0E4D90"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Consejo Superior</w:t>
            </w:r>
          </w:p>
        </w:tc>
        <w:tc>
          <w:tcPr>
            <w:tcW w:w="1360" w:type="dxa"/>
            <w:shd w:val="clear" w:color="auto" w:fill="auto"/>
            <w:vAlign w:val="bottom"/>
            <w:hideMark/>
          </w:tcPr>
          <w:p w14:paraId="5EC2582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60BD2E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w:t>
            </w:r>
          </w:p>
        </w:tc>
        <w:tc>
          <w:tcPr>
            <w:tcW w:w="1480" w:type="dxa"/>
            <w:shd w:val="clear" w:color="auto" w:fill="auto"/>
            <w:vAlign w:val="bottom"/>
            <w:hideMark/>
          </w:tcPr>
          <w:p w14:paraId="54B59B5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w:t>
            </w:r>
          </w:p>
        </w:tc>
      </w:tr>
      <w:tr w:rsidR="00D106C9" w:rsidRPr="00D106C9" w14:paraId="577F1BA3" w14:textId="77777777" w:rsidTr="006D7BCD">
        <w:trPr>
          <w:trHeight w:val="290"/>
          <w:jc w:val="center"/>
        </w:trPr>
        <w:tc>
          <w:tcPr>
            <w:tcW w:w="1060" w:type="dxa"/>
            <w:shd w:val="clear" w:color="auto" w:fill="auto"/>
            <w:vAlign w:val="bottom"/>
            <w:hideMark/>
          </w:tcPr>
          <w:p w14:paraId="2742F4B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61</w:t>
            </w:r>
          </w:p>
        </w:tc>
        <w:tc>
          <w:tcPr>
            <w:tcW w:w="3960" w:type="dxa"/>
            <w:shd w:val="clear" w:color="auto" w:fill="auto"/>
            <w:vAlign w:val="bottom"/>
            <w:hideMark/>
          </w:tcPr>
          <w:p w14:paraId="4EB3D2D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Oficina de Control Interno</w:t>
            </w:r>
          </w:p>
        </w:tc>
        <w:tc>
          <w:tcPr>
            <w:tcW w:w="1360" w:type="dxa"/>
            <w:shd w:val="clear" w:color="auto" w:fill="auto"/>
            <w:vAlign w:val="bottom"/>
            <w:hideMark/>
          </w:tcPr>
          <w:p w14:paraId="63ABAC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4BF893F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w:t>
            </w:r>
          </w:p>
        </w:tc>
        <w:tc>
          <w:tcPr>
            <w:tcW w:w="1480" w:type="dxa"/>
            <w:shd w:val="clear" w:color="auto" w:fill="auto"/>
            <w:vAlign w:val="bottom"/>
            <w:hideMark/>
          </w:tcPr>
          <w:p w14:paraId="1A52046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w:t>
            </w:r>
          </w:p>
        </w:tc>
      </w:tr>
      <w:tr w:rsidR="00D106C9" w:rsidRPr="00D106C9" w14:paraId="5E851686" w14:textId="77777777" w:rsidTr="006D7BCD">
        <w:trPr>
          <w:trHeight w:val="290"/>
          <w:jc w:val="center"/>
        </w:trPr>
        <w:tc>
          <w:tcPr>
            <w:tcW w:w="1060" w:type="dxa"/>
            <w:shd w:val="clear" w:color="auto" w:fill="auto"/>
            <w:vAlign w:val="bottom"/>
            <w:hideMark/>
          </w:tcPr>
          <w:p w14:paraId="4254159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62</w:t>
            </w:r>
          </w:p>
        </w:tc>
        <w:tc>
          <w:tcPr>
            <w:tcW w:w="3960" w:type="dxa"/>
            <w:shd w:val="clear" w:color="auto" w:fill="auto"/>
            <w:vAlign w:val="bottom"/>
            <w:hideMark/>
          </w:tcPr>
          <w:p w14:paraId="2ECDA989"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Jurídica</w:t>
            </w:r>
          </w:p>
        </w:tc>
        <w:tc>
          <w:tcPr>
            <w:tcW w:w="1360" w:type="dxa"/>
            <w:shd w:val="clear" w:color="auto" w:fill="auto"/>
            <w:vAlign w:val="bottom"/>
            <w:hideMark/>
          </w:tcPr>
          <w:p w14:paraId="22EDB8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14CCB8A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w:t>
            </w:r>
          </w:p>
        </w:tc>
        <w:tc>
          <w:tcPr>
            <w:tcW w:w="1480" w:type="dxa"/>
            <w:shd w:val="clear" w:color="auto" w:fill="auto"/>
            <w:vAlign w:val="bottom"/>
            <w:hideMark/>
          </w:tcPr>
          <w:p w14:paraId="0CD4E5E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w:t>
            </w:r>
          </w:p>
        </w:tc>
      </w:tr>
      <w:tr w:rsidR="00D106C9" w:rsidRPr="00D106C9" w14:paraId="4E6EC578" w14:textId="77777777" w:rsidTr="006D7BCD">
        <w:trPr>
          <w:trHeight w:val="580"/>
          <w:jc w:val="center"/>
        </w:trPr>
        <w:tc>
          <w:tcPr>
            <w:tcW w:w="1060" w:type="dxa"/>
            <w:shd w:val="clear" w:color="auto" w:fill="auto"/>
            <w:vAlign w:val="bottom"/>
            <w:hideMark/>
          </w:tcPr>
          <w:p w14:paraId="32BE0EB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64</w:t>
            </w:r>
          </w:p>
        </w:tc>
        <w:tc>
          <w:tcPr>
            <w:tcW w:w="3960" w:type="dxa"/>
            <w:shd w:val="clear" w:color="auto" w:fill="auto"/>
            <w:vAlign w:val="bottom"/>
            <w:hideMark/>
          </w:tcPr>
          <w:p w14:paraId="40464104"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Electrónico de Información Jurisprudencial</w:t>
            </w:r>
          </w:p>
        </w:tc>
        <w:tc>
          <w:tcPr>
            <w:tcW w:w="1360" w:type="dxa"/>
            <w:shd w:val="clear" w:color="auto" w:fill="auto"/>
            <w:vAlign w:val="bottom"/>
            <w:hideMark/>
          </w:tcPr>
          <w:p w14:paraId="6239107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42389EA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w:t>
            </w:r>
          </w:p>
        </w:tc>
        <w:tc>
          <w:tcPr>
            <w:tcW w:w="1480" w:type="dxa"/>
            <w:shd w:val="clear" w:color="auto" w:fill="auto"/>
            <w:vAlign w:val="bottom"/>
            <w:hideMark/>
          </w:tcPr>
          <w:p w14:paraId="112B8A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w:t>
            </w:r>
          </w:p>
        </w:tc>
      </w:tr>
      <w:tr w:rsidR="00D106C9" w:rsidRPr="00D106C9" w14:paraId="6BD86A3F" w14:textId="77777777" w:rsidTr="006D7BCD">
        <w:trPr>
          <w:trHeight w:val="290"/>
          <w:jc w:val="center"/>
        </w:trPr>
        <w:tc>
          <w:tcPr>
            <w:tcW w:w="1060" w:type="dxa"/>
            <w:shd w:val="clear" w:color="auto" w:fill="auto"/>
            <w:vAlign w:val="bottom"/>
            <w:hideMark/>
          </w:tcPr>
          <w:p w14:paraId="0A9A77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65</w:t>
            </w:r>
          </w:p>
        </w:tc>
        <w:tc>
          <w:tcPr>
            <w:tcW w:w="3960" w:type="dxa"/>
            <w:shd w:val="clear" w:color="auto" w:fill="auto"/>
            <w:vAlign w:val="bottom"/>
            <w:hideMark/>
          </w:tcPr>
          <w:p w14:paraId="62EDA440"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de Planificación</w:t>
            </w:r>
          </w:p>
        </w:tc>
        <w:tc>
          <w:tcPr>
            <w:tcW w:w="1360" w:type="dxa"/>
            <w:shd w:val="clear" w:color="auto" w:fill="auto"/>
            <w:vAlign w:val="bottom"/>
            <w:hideMark/>
          </w:tcPr>
          <w:p w14:paraId="51C30F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434502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196</w:t>
            </w:r>
          </w:p>
        </w:tc>
        <w:tc>
          <w:tcPr>
            <w:tcW w:w="1480" w:type="dxa"/>
            <w:shd w:val="clear" w:color="auto" w:fill="auto"/>
            <w:vAlign w:val="bottom"/>
            <w:hideMark/>
          </w:tcPr>
          <w:p w14:paraId="497A173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196</w:t>
            </w:r>
          </w:p>
        </w:tc>
      </w:tr>
      <w:tr w:rsidR="00D106C9" w:rsidRPr="00D106C9" w14:paraId="3FDE54BC" w14:textId="77777777" w:rsidTr="006D7BCD">
        <w:trPr>
          <w:trHeight w:val="290"/>
          <w:jc w:val="center"/>
        </w:trPr>
        <w:tc>
          <w:tcPr>
            <w:tcW w:w="1060" w:type="dxa"/>
            <w:shd w:val="clear" w:color="auto" w:fill="auto"/>
            <w:vAlign w:val="bottom"/>
            <w:hideMark/>
          </w:tcPr>
          <w:p w14:paraId="6870DC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68</w:t>
            </w:r>
          </w:p>
        </w:tc>
        <w:tc>
          <w:tcPr>
            <w:tcW w:w="3960" w:type="dxa"/>
            <w:shd w:val="clear" w:color="auto" w:fill="auto"/>
            <w:vAlign w:val="bottom"/>
            <w:hideMark/>
          </w:tcPr>
          <w:p w14:paraId="4CCC31E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Inspección Judicial</w:t>
            </w:r>
          </w:p>
        </w:tc>
        <w:tc>
          <w:tcPr>
            <w:tcW w:w="1360" w:type="dxa"/>
            <w:shd w:val="clear" w:color="auto" w:fill="auto"/>
            <w:vAlign w:val="bottom"/>
            <w:hideMark/>
          </w:tcPr>
          <w:p w14:paraId="50A32D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1F1960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w:t>
            </w:r>
          </w:p>
        </w:tc>
        <w:tc>
          <w:tcPr>
            <w:tcW w:w="1480" w:type="dxa"/>
            <w:shd w:val="clear" w:color="auto" w:fill="auto"/>
            <w:vAlign w:val="bottom"/>
            <w:hideMark/>
          </w:tcPr>
          <w:p w14:paraId="2B88F2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w:t>
            </w:r>
          </w:p>
        </w:tc>
      </w:tr>
      <w:tr w:rsidR="00D106C9" w:rsidRPr="00D106C9" w14:paraId="6E35285E" w14:textId="77777777" w:rsidTr="006D7BCD">
        <w:trPr>
          <w:trHeight w:val="290"/>
          <w:jc w:val="center"/>
        </w:trPr>
        <w:tc>
          <w:tcPr>
            <w:tcW w:w="1060" w:type="dxa"/>
            <w:shd w:val="clear" w:color="auto" w:fill="auto"/>
            <w:vAlign w:val="bottom"/>
            <w:hideMark/>
          </w:tcPr>
          <w:p w14:paraId="4F658A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69</w:t>
            </w:r>
          </w:p>
        </w:tc>
        <w:tc>
          <w:tcPr>
            <w:tcW w:w="3960" w:type="dxa"/>
            <w:shd w:val="clear" w:color="auto" w:fill="auto"/>
            <w:vAlign w:val="bottom"/>
            <w:hideMark/>
          </w:tcPr>
          <w:p w14:paraId="056E528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Secretaría Técnica de Ética y Valores</w:t>
            </w:r>
          </w:p>
        </w:tc>
        <w:tc>
          <w:tcPr>
            <w:tcW w:w="1360" w:type="dxa"/>
            <w:shd w:val="clear" w:color="auto" w:fill="auto"/>
            <w:vAlign w:val="bottom"/>
            <w:hideMark/>
          </w:tcPr>
          <w:p w14:paraId="74606F7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32A0F61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w:t>
            </w:r>
          </w:p>
        </w:tc>
        <w:tc>
          <w:tcPr>
            <w:tcW w:w="1480" w:type="dxa"/>
            <w:shd w:val="clear" w:color="auto" w:fill="auto"/>
            <w:vAlign w:val="bottom"/>
            <w:hideMark/>
          </w:tcPr>
          <w:p w14:paraId="640D52F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w:t>
            </w:r>
          </w:p>
        </w:tc>
      </w:tr>
      <w:tr w:rsidR="00D106C9" w:rsidRPr="00D106C9" w14:paraId="1CEF2663" w14:textId="77777777" w:rsidTr="006D7BCD">
        <w:trPr>
          <w:trHeight w:val="580"/>
          <w:jc w:val="center"/>
        </w:trPr>
        <w:tc>
          <w:tcPr>
            <w:tcW w:w="1060" w:type="dxa"/>
            <w:shd w:val="clear" w:color="auto" w:fill="auto"/>
            <w:vAlign w:val="bottom"/>
            <w:hideMark/>
          </w:tcPr>
          <w:p w14:paraId="085A9F6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70</w:t>
            </w:r>
          </w:p>
        </w:tc>
        <w:tc>
          <w:tcPr>
            <w:tcW w:w="3960" w:type="dxa"/>
            <w:shd w:val="clear" w:color="auto" w:fill="auto"/>
            <w:vAlign w:val="bottom"/>
            <w:hideMark/>
          </w:tcPr>
          <w:p w14:paraId="17A1F2A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Secretaría Técnica de Género y Acceso a la Justicia</w:t>
            </w:r>
          </w:p>
        </w:tc>
        <w:tc>
          <w:tcPr>
            <w:tcW w:w="1360" w:type="dxa"/>
            <w:shd w:val="clear" w:color="auto" w:fill="auto"/>
            <w:vAlign w:val="bottom"/>
            <w:hideMark/>
          </w:tcPr>
          <w:p w14:paraId="3AE5FD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244970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71</w:t>
            </w:r>
          </w:p>
        </w:tc>
        <w:tc>
          <w:tcPr>
            <w:tcW w:w="1480" w:type="dxa"/>
            <w:shd w:val="clear" w:color="auto" w:fill="auto"/>
            <w:vAlign w:val="bottom"/>
            <w:hideMark/>
          </w:tcPr>
          <w:p w14:paraId="305DE3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71</w:t>
            </w:r>
          </w:p>
        </w:tc>
      </w:tr>
      <w:tr w:rsidR="00D106C9" w:rsidRPr="00D106C9" w14:paraId="76540FCE" w14:textId="77777777" w:rsidTr="006D7BCD">
        <w:trPr>
          <w:trHeight w:val="290"/>
          <w:jc w:val="center"/>
        </w:trPr>
        <w:tc>
          <w:tcPr>
            <w:tcW w:w="1060" w:type="dxa"/>
            <w:shd w:val="clear" w:color="auto" w:fill="auto"/>
            <w:vAlign w:val="bottom"/>
            <w:hideMark/>
          </w:tcPr>
          <w:p w14:paraId="1DA0641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71</w:t>
            </w:r>
          </w:p>
        </w:tc>
        <w:tc>
          <w:tcPr>
            <w:tcW w:w="3960" w:type="dxa"/>
            <w:shd w:val="clear" w:color="auto" w:fill="auto"/>
            <w:vAlign w:val="bottom"/>
            <w:hideMark/>
          </w:tcPr>
          <w:p w14:paraId="2D2D25D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Unidad de Adiestramiento</w:t>
            </w:r>
          </w:p>
        </w:tc>
        <w:tc>
          <w:tcPr>
            <w:tcW w:w="1360" w:type="dxa"/>
            <w:shd w:val="clear" w:color="auto" w:fill="auto"/>
            <w:vAlign w:val="bottom"/>
            <w:hideMark/>
          </w:tcPr>
          <w:p w14:paraId="3812891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3A232B1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w:t>
            </w:r>
          </w:p>
        </w:tc>
        <w:tc>
          <w:tcPr>
            <w:tcW w:w="1480" w:type="dxa"/>
            <w:shd w:val="clear" w:color="auto" w:fill="auto"/>
            <w:vAlign w:val="bottom"/>
            <w:hideMark/>
          </w:tcPr>
          <w:p w14:paraId="7238564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w:t>
            </w:r>
          </w:p>
        </w:tc>
      </w:tr>
      <w:tr w:rsidR="00D106C9" w:rsidRPr="00D106C9" w14:paraId="188EB286" w14:textId="77777777" w:rsidTr="006D7BCD">
        <w:trPr>
          <w:trHeight w:val="290"/>
          <w:jc w:val="center"/>
        </w:trPr>
        <w:tc>
          <w:tcPr>
            <w:tcW w:w="1060" w:type="dxa"/>
            <w:shd w:val="clear" w:color="auto" w:fill="auto"/>
            <w:vAlign w:val="bottom"/>
            <w:hideMark/>
          </w:tcPr>
          <w:p w14:paraId="11EF3C7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74</w:t>
            </w:r>
          </w:p>
        </w:tc>
        <w:tc>
          <w:tcPr>
            <w:tcW w:w="3960" w:type="dxa"/>
            <w:shd w:val="clear" w:color="auto" w:fill="auto"/>
            <w:vAlign w:val="bottom"/>
            <w:hideMark/>
          </w:tcPr>
          <w:p w14:paraId="21EF40A1"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Justicia Restaurativa</w:t>
            </w:r>
          </w:p>
        </w:tc>
        <w:tc>
          <w:tcPr>
            <w:tcW w:w="1360" w:type="dxa"/>
            <w:shd w:val="clear" w:color="auto" w:fill="auto"/>
            <w:vAlign w:val="bottom"/>
            <w:hideMark/>
          </w:tcPr>
          <w:p w14:paraId="728F181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769BD54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31</w:t>
            </w:r>
          </w:p>
        </w:tc>
        <w:tc>
          <w:tcPr>
            <w:tcW w:w="1480" w:type="dxa"/>
            <w:shd w:val="clear" w:color="auto" w:fill="auto"/>
            <w:vAlign w:val="bottom"/>
            <w:hideMark/>
          </w:tcPr>
          <w:p w14:paraId="535254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31</w:t>
            </w:r>
          </w:p>
        </w:tc>
      </w:tr>
      <w:tr w:rsidR="00D106C9" w:rsidRPr="00D106C9" w14:paraId="60101781" w14:textId="77777777" w:rsidTr="006D7BCD">
        <w:trPr>
          <w:trHeight w:val="290"/>
          <w:jc w:val="center"/>
        </w:trPr>
        <w:tc>
          <w:tcPr>
            <w:tcW w:w="1060" w:type="dxa"/>
            <w:shd w:val="clear" w:color="auto" w:fill="auto"/>
            <w:vAlign w:val="bottom"/>
            <w:hideMark/>
          </w:tcPr>
          <w:p w14:paraId="35638B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75</w:t>
            </w:r>
          </w:p>
        </w:tc>
        <w:tc>
          <w:tcPr>
            <w:tcW w:w="3960" w:type="dxa"/>
            <w:shd w:val="clear" w:color="auto" w:fill="auto"/>
            <w:vAlign w:val="bottom"/>
            <w:hideMark/>
          </w:tcPr>
          <w:p w14:paraId="46E7EE9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Oficina de Cumplimiento</w:t>
            </w:r>
          </w:p>
        </w:tc>
        <w:tc>
          <w:tcPr>
            <w:tcW w:w="1360" w:type="dxa"/>
            <w:shd w:val="clear" w:color="auto" w:fill="auto"/>
            <w:vAlign w:val="bottom"/>
            <w:hideMark/>
          </w:tcPr>
          <w:p w14:paraId="4ABA1B6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100.00 %</w:t>
            </w:r>
          </w:p>
        </w:tc>
        <w:tc>
          <w:tcPr>
            <w:tcW w:w="1600" w:type="dxa"/>
            <w:shd w:val="clear" w:color="auto" w:fill="auto"/>
            <w:vAlign w:val="bottom"/>
            <w:hideMark/>
          </w:tcPr>
          <w:p w14:paraId="60BB4A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w:t>
            </w:r>
          </w:p>
        </w:tc>
        <w:tc>
          <w:tcPr>
            <w:tcW w:w="1480" w:type="dxa"/>
            <w:shd w:val="clear" w:color="auto" w:fill="auto"/>
            <w:vAlign w:val="bottom"/>
            <w:hideMark/>
          </w:tcPr>
          <w:p w14:paraId="0C2E1C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w:t>
            </w:r>
          </w:p>
        </w:tc>
      </w:tr>
      <w:tr w:rsidR="00D106C9" w:rsidRPr="00D106C9" w14:paraId="70AD1733" w14:textId="77777777" w:rsidTr="006D7BCD">
        <w:trPr>
          <w:trHeight w:val="290"/>
          <w:jc w:val="center"/>
        </w:trPr>
        <w:tc>
          <w:tcPr>
            <w:tcW w:w="1060" w:type="dxa"/>
            <w:shd w:val="clear" w:color="auto" w:fill="auto"/>
            <w:vAlign w:val="bottom"/>
            <w:hideMark/>
          </w:tcPr>
          <w:p w14:paraId="6462A2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67</w:t>
            </w:r>
          </w:p>
        </w:tc>
        <w:tc>
          <w:tcPr>
            <w:tcW w:w="3960" w:type="dxa"/>
            <w:shd w:val="clear" w:color="auto" w:fill="auto"/>
            <w:vAlign w:val="bottom"/>
            <w:hideMark/>
          </w:tcPr>
          <w:p w14:paraId="36F585C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de Gestión Humana</w:t>
            </w:r>
          </w:p>
        </w:tc>
        <w:tc>
          <w:tcPr>
            <w:tcW w:w="1360" w:type="dxa"/>
            <w:shd w:val="clear" w:color="auto" w:fill="auto"/>
            <w:vAlign w:val="bottom"/>
            <w:hideMark/>
          </w:tcPr>
          <w:p w14:paraId="0419D1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99.97 %</w:t>
            </w:r>
          </w:p>
        </w:tc>
        <w:tc>
          <w:tcPr>
            <w:tcW w:w="1600" w:type="dxa"/>
            <w:shd w:val="clear" w:color="auto" w:fill="auto"/>
            <w:vAlign w:val="bottom"/>
            <w:hideMark/>
          </w:tcPr>
          <w:p w14:paraId="6D84FE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105</w:t>
            </w:r>
          </w:p>
        </w:tc>
        <w:tc>
          <w:tcPr>
            <w:tcW w:w="1480" w:type="dxa"/>
            <w:shd w:val="clear" w:color="auto" w:fill="auto"/>
            <w:vAlign w:val="bottom"/>
            <w:hideMark/>
          </w:tcPr>
          <w:p w14:paraId="222140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105</w:t>
            </w:r>
          </w:p>
        </w:tc>
      </w:tr>
      <w:tr w:rsidR="00D106C9" w:rsidRPr="00D106C9" w14:paraId="42EDA429" w14:textId="77777777" w:rsidTr="006D7BCD">
        <w:trPr>
          <w:trHeight w:val="580"/>
          <w:jc w:val="center"/>
        </w:trPr>
        <w:tc>
          <w:tcPr>
            <w:tcW w:w="1060" w:type="dxa"/>
            <w:shd w:val="clear" w:color="auto" w:fill="auto"/>
            <w:vAlign w:val="bottom"/>
            <w:hideMark/>
          </w:tcPr>
          <w:p w14:paraId="3B5FED1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23</w:t>
            </w:r>
          </w:p>
        </w:tc>
        <w:tc>
          <w:tcPr>
            <w:tcW w:w="3960" w:type="dxa"/>
            <w:shd w:val="clear" w:color="auto" w:fill="auto"/>
            <w:vAlign w:val="bottom"/>
            <w:hideMark/>
          </w:tcPr>
          <w:p w14:paraId="6A16BAF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Organismo de Investigación Judicial</w:t>
            </w:r>
          </w:p>
        </w:tc>
        <w:tc>
          <w:tcPr>
            <w:tcW w:w="1360" w:type="dxa"/>
            <w:shd w:val="clear" w:color="auto" w:fill="auto"/>
            <w:vAlign w:val="bottom"/>
            <w:hideMark/>
          </w:tcPr>
          <w:p w14:paraId="050F26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99.77 %</w:t>
            </w:r>
          </w:p>
        </w:tc>
        <w:tc>
          <w:tcPr>
            <w:tcW w:w="1600" w:type="dxa"/>
            <w:shd w:val="clear" w:color="auto" w:fill="auto"/>
            <w:vAlign w:val="bottom"/>
            <w:hideMark/>
          </w:tcPr>
          <w:p w14:paraId="314B23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1043</w:t>
            </w:r>
          </w:p>
        </w:tc>
        <w:tc>
          <w:tcPr>
            <w:tcW w:w="1480" w:type="dxa"/>
            <w:shd w:val="clear" w:color="auto" w:fill="auto"/>
            <w:vAlign w:val="bottom"/>
            <w:hideMark/>
          </w:tcPr>
          <w:p w14:paraId="2A9F78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1042</w:t>
            </w:r>
          </w:p>
        </w:tc>
      </w:tr>
      <w:tr w:rsidR="00D106C9" w:rsidRPr="00D106C9" w14:paraId="01445465" w14:textId="77777777" w:rsidTr="006D7BCD">
        <w:trPr>
          <w:trHeight w:val="580"/>
          <w:jc w:val="center"/>
        </w:trPr>
        <w:tc>
          <w:tcPr>
            <w:tcW w:w="1060" w:type="dxa"/>
            <w:shd w:val="clear" w:color="auto" w:fill="auto"/>
            <w:vAlign w:val="bottom"/>
            <w:hideMark/>
          </w:tcPr>
          <w:p w14:paraId="31BF90D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58</w:t>
            </w:r>
          </w:p>
        </w:tc>
        <w:tc>
          <w:tcPr>
            <w:tcW w:w="3960" w:type="dxa"/>
            <w:shd w:val="clear" w:color="auto" w:fill="auto"/>
            <w:vAlign w:val="bottom"/>
            <w:hideMark/>
          </w:tcPr>
          <w:p w14:paraId="1D252B34"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Centro de Apoyo, Coordinación y Mejoramiento Función </w:t>
            </w:r>
            <w:proofErr w:type="spellStart"/>
            <w:r w:rsidRPr="00D106C9">
              <w:rPr>
                <w:lang w:eastAsia="es-CR"/>
              </w:rPr>
              <w:t>Jurisd</w:t>
            </w:r>
            <w:proofErr w:type="spellEnd"/>
          </w:p>
        </w:tc>
        <w:tc>
          <w:tcPr>
            <w:tcW w:w="1360" w:type="dxa"/>
            <w:shd w:val="clear" w:color="auto" w:fill="auto"/>
            <w:vAlign w:val="bottom"/>
            <w:hideMark/>
          </w:tcPr>
          <w:p w14:paraId="35F7373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99.43 %</w:t>
            </w:r>
          </w:p>
        </w:tc>
        <w:tc>
          <w:tcPr>
            <w:tcW w:w="1600" w:type="dxa"/>
            <w:shd w:val="clear" w:color="auto" w:fill="auto"/>
            <w:vAlign w:val="bottom"/>
            <w:hideMark/>
          </w:tcPr>
          <w:p w14:paraId="680E24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24</w:t>
            </w:r>
          </w:p>
        </w:tc>
        <w:tc>
          <w:tcPr>
            <w:tcW w:w="1480" w:type="dxa"/>
            <w:shd w:val="clear" w:color="auto" w:fill="auto"/>
            <w:vAlign w:val="bottom"/>
            <w:hideMark/>
          </w:tcPr>
          <w:p w14:paraId="018FB5F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24</w:t>
            </w:r>
          </w:p>
        </w:tc>
      </w:tr>
      <w:tr w:rsidR="00D106C9" w:rsidRPr="00D106C9" w14:paraId="128B2896" w14:textId="77777777" w:rsidTr="006D7BCD">
        <w:trPr>
          <w:trHeight w:val="580"/>
          <w:jc w:val="center"/>
        </w:trPr>
        <w:tc>
          <w:tcPr>
            <w:tcW w:w="1060" w:type="dxa"/>
            <w:shd w:val="clear" w:color="auto" w:fill="auto"/>
            <w:vAlign w:val="bottom"/>
            <w:hideMark/>
          </w:tcPr>
          <w:p w14:paraId="356658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66</w:t>
            </w:r>
          </w:p>
        </w:tc>
        <w:tc>
          <w:tcPr>
            <w:tcW w:w="3960" w:type="dxa"/>
            <w:shd w:val="clear" w:color="auto" w:fill="auto"/>
            <w:vAlign w:val="bottom"/>
            <w:hideMark/>
          </w:tcPr>
          <w:p w14:paraId="32676340"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de Tecnología de Información y Comunicaciones</w:t>
            </w:r>
          </w:p>
        </w:tc>
        <w:tc>
          <w:tcPr>
            <w:tcW w:w="1360" w:type="dxa"/>
            <w:shd w:val="clear" w:color="auto" w:fill="auto"/>
            <w:vAlign w:val="bottom"/>
            <w:hideMark/>
          </w:tcPr>
          <w:p w14:paraId="435760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99.42 %</w:t>
            </w:r>
          </w:p>
        </w:tc>
        <w:tc>
          <w:tcPr>
            <w:tcW w:w="1600" w:type="dxa"/>
            <w:shd w:val="clear" w:color="auto" w:fill="auto"/>
            <w:vAlign w:val="bottom"/>
            <w:hideMark/>
          </w:tcPr>
          <w:p w14:paraId="0A2D18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146</w:t>
            </w:r>
          </w:p>
        </w:tc>
        <w:tc>
          <w:tcPr>
            <w:tcW w:w="1480" w:type="dxa"/>
            <w:shd w:val="clear" w:color="auto" w:fill="auto"/>
            <w:vAlign w:val="bottom"/>
            <w:hideMark/>
          </w:tcPr>
          <w:p w14:paraId="7F0F8C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146</w:t>
            </w:r>
          </w:p>
        </w:tc>
      </w:tr>
      <w:tr w:rsidR="00D106C9" w:rsidRPr="00D106C9" w14:paraId="3302C2C0" w14:textId="77777777" w:rsidTr="006D7BCD">
        <w:trPr>
          <w:trHeight w:val="580"/>
          <w:jc w:val="center"/>
        </w:trPr>
        <w:tc>
          <w:tcPr>
            <w:tcW w:w="1060" w:type="dxa"/>
            <w:shd w:val="clear" w:color="auto" w:fill="auto"/>
            <w:vAlign w:val="bottom"/>
            <w:hideMark/>
          </w:tcPr>
          <w:p w14:paraId="7FA0C7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54</w:t>
            </w:r>
          </w:p>
        </w:tc>
        <w:tc>
          <w:tcPr>
            <w:tcW w:w="3960" w:type="dxa"/>
            <w:shd w:val="clear" w:color="auto" w:fill="auto"/>
            <w:vAlign w:val="bottom"/>
            <w:hideMark/>
          </w:tcPr>
          <w:p w14:paraId="56011F4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Departamento de Trabajo Social y Psicología</w:t>
            </w:r>
          </w:p>
        </w:tc>
        <w:tc>
          <w:tcPr>
            <w:tcW w:w="1360" w:type="dxa"/>
            <w:shd w:val="clear" w:color="auto" w:fill="auto"/>
            <w:vAlign w:val="bottom"/>
            <w:hideMark/>
          </w:tcPr>
          <w:p w14:paraId="0419D3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99.06 %</w:t>
            </w:r>
          </w:p>
        </w:tc>
        <w:tc>
          <w:tcPr>
            <w:tcW w:w="1600" w:type="dxa"/>
            <w:shd w:val="clear" w:color="auto" w:fill="auto"/>
            <w:vAlign w:val="bottom"/>
            <w:hideMark/>
          </w:tcPr>
          <w:p w14:paraId="6DDFB7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137</w:t>
            </w:r>
          </w:p>
        </w:tc>
        <w:tc>
          <w:tcPr>
            <w:tcW w:w="1480" w:type="dxa"/>
            <w:shd w:val="clear" w:color="auto" w:fill="auto"/>
            <w:vAlign w:val="bottom"/>
            <w:hideMark/>
          </w:tcPr>
          <w:p w14:paraId="3A8C4A1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137</w:t>
            </w:r>
          </w:p>
        </w:tc>
      </w:tr>
      <w:tr w:rsidR="00D106C9" w:rsidRPr="00D106C9" w14:paraId="7EF5A191" w14:textId="77777777" w:rsidTr="006D7BCD">
        <w:trPr>
          <w:trHeight w:val="580"/>
          <w:jc w:val="center"/>
        </w:trPr>
        <w:tc>
          <w:tcPr>
            <w:tcW w:w="1060" w:type="dxa"/>
            <w:shd w:val="clear" w:color="auto" w:fill="auto"/>
            <w:vAlign w:val="bottom"/>
            <w:hideMark/>
          </w:tcPr>
          <w:p w14:paraId="0BF5FF4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63</w:t>
            </w:r>
          </w:p>
        </w:tc>
        <w:tc>
          <w:tcPr>
            <w:tcW w:w="3960" w:type="dxa"/>
            <w:shd w:val="clear" w:color="auto" w:fill="auto"/>
            <w:vAlign w:val="bottom"/>
            <w:hideMark/>
          </w:tcPr>
          <w:p w14:paraId="774F94E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Departamento de Prensa y Comunicación Organizacional</w:t>
            </w:r>
          </w:p>
        </w:tc>
        <w:tc>
          <w:tcPr>
            <w:tcW w:w="1360" w:type="dxa"/>
            <w:shd w:val="clear" w:color="auto" w:fill="auto"/>
            <w:vAlign w:val="bottom"/>
            <w:hideMark/>
          </w:tcPr>
          <w:p w14:paraId="4310EF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98.61 %</w:t>
            </w:r>
          </w:p>
        </w:tc>
        <w:tc>
          <w:tcPr>
            <w:tcW w:w="1600" w:type="dxa"/>
            <w:shd w:val="clear" w:color="auto" w:fill="auto"/>
            <w:vAlign w:val="bottom"/>
            <w:hideMark/>
          </w:tcPr>
          <w:p w14:paraId="7BCCBC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22</w:t>
            </w:r>
          </w:p>
        </w:tc>
        <w:tc>
          <w:tcPr>
            <w:tcW w:w="1480" w:type="dxa"/>
            <w:shd w:val="clear" w:color="auto" w:fill="auto"/>
            <w:vAlign w:val="bottom"/>
            <w:hideMark/>
          </w:tcPr>
          <w:p w14:paraId="7869693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22</w:t>
            </w:r>
          </w:p>
        </w:tc>
      </w:tr>
      <w:tr w:rsidR="00D106C9" w:rsidRPr="00D106C9" w14:paraId="337772FF" w14:textId="77777777" w:rsidTr="006D7BCD">
        <w:trPr>
          <w:trHeight w:val="290"/>
          <w:jc w:val="center"/>
        </w:trPr>
        <w:tc>
          <w:tcPr>
            <w:tcW w:w="1060" w:type="dxa"/>
            <w:shd w:val="clear" w:color="auto" w:fill="auto"/>
            <w:vAlign w:val="bottom"/>
            <w:hideMark/>
          </w:tcPr>
          <w:p w14:paraId="3044220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24</w:t>
            </w:r>
          </w:p>
        </w:tc>
        <w:tc>
          <w:tcPr>
            <w:tcW w:w="3960" w:type="dxa"/>
            <w:shd w:val="clear" w:color="auto" w:fill="auto"/>
            <w:vAlign w:val="bottom"/>
            <w:hideMark/>
          </w:tcPr>
          <w:p w14:paraId="40D92A40"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Ministerio Público</w:t>
            </w:r>
          </w:p>
        </w:tc>
        <w:tc>
          <w:tcPr>
            <w:tcW w:w="1360" w:type="dxa"/>
            <w:shd w:val="clear" w:color="auto" w:fill="auto"/>
            <w:vAlign w:val="bottom"/>
            <w:hideMark/>
          </w:tcPr>
          <w:p w14:paraId="6636A1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98.33 %</w:t>
            </w:r>
          </w:p>
        </w:tc>
        <w:tc>
          <w:tcPr>
            <w:tcW w:w="1600" w:type="dxa"/>
            <w:shd w:val="clear" w:color="auto" w:fill="auto"/>
            <w:vAlign w:val="bottom"/>
            <w:hideMark/>
          </w:tcPr>
          <w:p w14:paraId="58D809A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794</w:t>
            </w:r>
          </w:p>
        </w:tc>
        <w:tc>
          <w:tcPr>
            <w:tcW w:w="1480" w:type="dxa"/>
            <w:shd w:val="clear" w:color="auto" w:fill="auto"/>
            <w:vAlign w:val="bottom"/>
            <w:hideMark/>
          </w:tcPr>
          <w:p w14:paraId="72F81C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793</w:t>
            </w:r>
          </w:p>
        </w:tc>
      </w:tr>
      <w:tr w:rsidR="00D106C9" w:rsidRPr="00D106C9" w14:paraId="49506524" w14:textId="77777777" w:rsidTr="006D7BCD">
        <w:trPr>
          <w:trHeight w:val="580"/>
          <w:jc w:val="center"/>
        </w:trPr>
        <w:tc>
          <w:tcPr>
            <w:tcW w:w="1060" w:type="dxa"/>
            <w:shd w:val="clear" w:color="auto" w:fill="auto"/>
            <w:vAlign w:val="bottom"/>
            <w:hideMark/>
          </w:tcPr>
          <w:p w14:paraId="0883631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51</w:t>
            </w:r>
          </w:p>
        </w:tc>
        <w:tc>
          <w:tcPr>
            <w:tcW w:w="3960" w:type="dxa"/>
            <w:shd w:val="clear" w:color="auto" w:fill="auto"/>
            <w:vAlign w:val="bottom"/>
            <w:hideMark/>
          </w:tcPr>
          <w:p w14:paraId="337D9458"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Servicio de Atención y Protección de Víctimas y Testigos</w:t>
            </w:r>
          </w:p>
        </w:tc>
        <w:tc>
          <w:tcPr>
            <w:tcW w:w="1360" w:type="dxa"/>
            <w:shd w:val="clear" w:color="auto" w:fill="auto"/>
            <w:vAlign w:val="bottom"/>
            <w:hideMark/>
          </w:tcPr>
          <w:p w14:paraId="73B0BA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97.88 %</w:t>
            </w:r>
          </w:p>
        </w:tc>
        <w:tc>
          <w:tcPr>
            <w:tcW w:w="1600" w:type="dxa"/>
            <w:shd w:val="clear" w:color="auto" w:fill="auto"/>
            <w:vAlign w:val="bottom"/>
            <w:hideMark/>
          </w:tcPr>
          <w:p w14:paraId="5DFA30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w:t>
            </w:r>
          </w:p>
        </w:tc>
        <w:tc>
          <w:tcPr>
            <w:tcW w:w="1480" w:type="dxa"/>
            <w:shd w:val="clear" w:color="auto" w:fill="auto"/>
            <w:vAlign w:val="bottom"/>
            <w:hideMark/>
          </w:tcPr>
          <w:p w14:paraId="622BE7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w:t>
            </w:r>
          </w:p>
        </w:tc>
      </w:tr>
      <w:tr w:rsidR="00D106C9" w:rsidRPr="00D106C9" w14:paraId="49FC4409" w14:textId="77777777" w:rsidTr="006D7BCD">
        <w:trPr>
          <w:trHeight w:val="580"/>
          <w:jc w:val="center"/>
        </w:trPr>
        <w:tc>
          <w:tcPr>
            <w:tcW w:w="1060" w:type="dxa"/>
            <w:shd w:val="clear" w:color="auto" w:fill="auto"/>
            <w:vAlign w:val="bottom"/>
            <w:hideMark/>
          </w:tcPr>
          <w:p w14:paraId="2C44EDF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w:t>
            </w:r>
          </w:p>
        </w:tc>
        <w:tc>
          <w:tcPr>
            <w:tcW w:w="3960" w:type="dxa"/>
            <w:shd w:val="clear" w:color="auto" w:fill="auto"/>
            <w:vAlign w:val="bottom"/>
            <w:hideMark/>
          </w:tcPr>
          <w:p w14:paraId="6B6A1F6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Ciudad Judicial San Joaquín de Flores</w:t>
            </w:r>
          </w:p>
        </w:tc>
        <w:tc>
          <w:tcPr>
            <w:tcW w:w="1360" w:type="dxa"/>
            <w:shd w:val="clear" w:color="auto" w:fill="auto"/>
            <w:vAlign w:val="bottom"/>
            <w:hideMark/>
          </w:tcPr>
          <w:p w14:paraId="6143AA3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97.80 %</w:t>
            </w:r>
          </w:p>
        </w:tc>
        <w:tc>
          <w:tcPr>
            <w:tcW w:w="1600" w:type="dxa"/>
            <w:shd w:val="clear" w:color="auto" w:fill="auto"/>
            <w:vAlign w:val="bottom"/>
            <w:hideMark/>
          </w:tcPr>
          <w:p w14:paraId="7BE65D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34</w:t>
            </w:r>
          </w:p>
        </w:tc>
        <w:tc>
          <w:tcPr>
            <w:tcW w:w="1480" w:type="dxa"/>
            <w:shd w:val="clear" w:color="auto" w:fill="auto"/>
            <w:vAlign w:val="bottom"/>
            <w:hideMark/>
          </w:tcPr>
          <w:p w14:paraId="4FB0BAD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34</w:t>
            </w:r>
          </w:p>
        </w:tc>
      </w:tr>
      <w:tr w:rsidR="00D106C9" w:rsidRPr="00D106C9" w14:paraId="4AF93560" w14:textId="77777777" w:rsidTr="006D7BCD">
        <w:trPr>
          <w:trHeight w:val="290"/>
          <w:jc w:val="center"/>
        </w:trPr>
        <w:tc>
          <w:tcPr>
            <w:tcW w:w="1060" w:type="dxa"/>
            <w:shd w:val="clear" w:color="auto" w:fill="auto"/>
            <w:vAlign w:val="bottom"/>
            <w:hideMark/>
          </w:tcPr>
          <w:p w14:paraId="6DCAF21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31</w:t>
            </w:r>
          </w:p>
        </w:tc>
        <w:tc>
          <w:tcPr>
            <w:tcW w:w="3960" w:type="dxa"/>
            <w:shd w:val="clear" w:color="auto" w:fill="auto"/>
            <w:vAlign w:val="bottom"/>
            <w:hideMark/>
          </w:tcPr>
          <w:p w14:paraId="1DB77BD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Ejecutiva</w:t>
            </w:r>
          </w:p>
        </w:tc>
        <w:tc>
          <w:tcPr>
            <w:tcW w:w="1360" w:type="dxa"/>
            <w:shd w:val="clear" w:color="auto" w:fill="auto"/>
            <w:vAlign w:val="bottom"/>
            <w:hideMark/>
          </w:tcPr>
          <w:p w14:paraId="23167BD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96.38 %</w:t>
            </w:r>
          </w:p>
        </w:tc>
        <w:tc>
          <w:tcPr>
            <w:tcW w:w="1600" w:type="dxa"/>
            <w:shd w:val="clear" w:color="auto" w:fill="auto"/>
            <w:vAlign w:val="bottom"/>
            <w:hideMark/>
          </w:tcPr>
          <w:p w14:paraId="309A8CD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182</w:t>
            </w:r>
          </w:p>
        </w:tc>
        <w:tc>
          <w:tcPr>
            <w:tcW w:w="1480" w:type="dxa"/>
            <w:shd w:val="clear" w:color="auto" w:fill="auto"/>
            <w:vAlign w:val="bottom"/>
            <w:hideMark/>
          </w:tcPr>
          <w:p w14:paraId="341955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180</w:t>
            </w:r>
          </w:p>
        </w:tc>
      </w:tr>
      <w:tr w:rsidR="00D106C9" w:rsidRPr="00D106C9" w14:paraId="0F11CC84" w14:textId="77777777" w:rsidTr="006D7BCD">
        <w:trPr>
          <w:trHeight w:val="290"/>
          <w:jc w:val="center"/>
        </w:trPr>
        <w:tc>
          <w:tcPr>
            <w:tcW w:w="1060" w:type="dxa"/>
            <w:shd w:val="clear" w:color="auto" w:fill="auto"/>
            <w:vAlign w:val="bottom"/>
            <w:hideMark/>
          </w:tcPr>
          <w:p w14:paraId="558188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53</w:t>
            </w:r>
          </w:p>
        </w:tc>
        <w:tc>
          <w:tcPr>
            <w:tcW w:w="3960" w:type="dxa"/>
            <w:shd w:val="clear" w:color="auto" w:fill="auto"/>
            <w:vAlign w:val="bottom"/>
            <w:hideMark/>
          </w:tcPr>
          <w:p w14:paraId="654D554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Comisiones Institucionales</w:t>
            </w:r>
          </w:p>
        </w:tc>
        <w:tc>
          <w:tcPr>
            <w:tcW w:w="1360" w:type="dxa"/>
            <w:shd w:val="clear" w:color="auto" w:fill="auto"/>
            <w:vAlign w:val="bottom"/>
            <w:hideMark/>
          </w:tcPr>
          <w:p w14:paraId="62CE71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95.71 %</w:t>
            </w:r>
          </w:p>
        </w:tc>
        <w:tc>
          <w:tcPr>
            <w:tcW w:w="1600" w:type="dxa"/>
            <w:shd w:val="clear" w:color="auto" w:fill="auto"/>
            <w:vAlign w:val="bottom"/>
            <w:hideMark/>
          </w:tcPr>
          <w:p w14:paraId="24E3E42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136</w:t>
            </w:r>
          </w:p>
        </w:tc>
        <w:tc>
          <w:tcPr>
            <w:tcW w:w="1480" w:type="dxa"/>
            <w:shd w:val="clear" w:color="auto" w:fill="auto"/>
            <w:vAlign w:val="bottom"/>
            <w:hideMark/>
          </w:tcPr>
          <w:p w14:paraId="55B4AB0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132</w:t>
            </w:r>
          </w:p>
        </w:tc>
      </w:tr>
      <w:tr w:rsidR="00D106C9" w:rsidRPr="00D106C9" w14:paraId="30A2C358" w14:textId="77777777" w:rsidTr="006D7BCD">
        <w:trPr>
          <w:trHeight w:val="290"/>
          <w:jc w:val="center"/>
        </w:trPr>
        <w:tc>
          <w:tcPr>
            <w:tcW w:w="1060" w:type="dxa"/>
            <w:shd w:val="clear" w:color="auto" w:fill="auto"/>
            <w:vAlign w:val="bottom"/>
            <w:hideMark/>
          </w:tcPr>
          <w:p w14:paraId="38DF946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29</w:t>
            </w:r>
          </w:p>
        </w:tc>
        <w:tc>
          <w:tcPr>
            <w:tcW w:w="3960" w:type="dxa"/>
            <w:shd w:val="clear" w:color="auto" w:fill="auto"/>
            <w:vAlign w:val="bottom"/>
            <w:hideMark/>
          </w:tcPr>
          <w:p w14:paraId="744E2DC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Salas</w:t>
            </w:r>
          </w:p>
        </w:tc>
        <w:tc>
          <w:tcPr>
            <w:tcW w:w="1360" w:type="dxa"/>
            <w:shd w:val="clear" w:color="auto" w:fill="auto"/>
            <w:vAlign w:val="bottom"/>
            <w:hideMark/>
          </w:tcPr>
          <w:p w14:paraId="76401C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95.53 %</w:t>
            </w:r>
          </w:p>
        </w:tc>
        <w:tc>
          <w:tcPr>
            <w:tcW w:w="1600" w:type="dxa"/>
            <w:shd w:val="clear" w:color="auto" w:fill="auto"/>
            <w:vAlign w:val="bottom"/>
            <w:hideMark/>
          </w:tcPr>
          <w:p w14:paraId="149698B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52</w:t>
            </w:r>
          </w:p>
        </w:tc>
        <w:tc>
          <w:tcPr>
            <w:tcW w:w="1480" w:type="dxa"/>
            <w:shd w:val="clear" w:color="auto" w:fill="auto"/>
            <w:vAlign w:val="bottom"/>
            <w:hideMark/>
          </w:tcPr>
          <w:p w14:paraId="706D6AB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51</w:t>
            </w:r>
          </w:p>
        </w:tc>
      </w:tr>
      <w:tr w:rsidR="00D106C9" w:rsidRPr="00D106C9" w14:paraId="5C747EC2" w14:textId="77777777" w:rsidTr="006D7BCD">
        <w:trPr>
          <w:trHeight w:val="290"/>
          <w:jc w:val="center"/>
        </w:trPr>
        <w:tc>
          <w:tcPr>
            <w:tcW w:w="1060" w:type="dxa"/>
            <w:shd w:val="clear" w:color="auto" w:fill="auto"/>
            <w:vAlign w:val="bottom"/>
            <w:hideMark/>
          </w:tcPr>
          <w:p w14:paraId="6F2CE5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52</w:t>
            </w:r>
          </w:p>
        </w:tc>
        <w:tc>
          <w:tcPr>
            <w:tcW w:w="3960" w:type="dxa"/>
            <w:shd w:val="clear" w:color="auto" w:fill="auto"/>
            <w:vAlign w:val="bottom"/>
            <w:hideMark/>
          </w:tcPr>
          <w:p w14:paraId="287CAE14"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Quepos</w:t>
            </w:r>
          </w:p>
        </w:tc>
        <w:tc>
          <w:tcPr>
            <w:tcW w:w="1360" w:type="dxa"/>
            <w:shd w:val="clear" w:color="auto" w:fill="auto"/>
            <w:vAlign w:val="bottom"/>
            <w:hideMark/>
          </w:tcPr>
          <w:p w14:paraId="522F031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95.22 %</w:t>
            </w:r>
          </w:p>
        </w:tc>
        <w:tc>
          <w:tcPr>
            <w:tcW w:w="1600" w:type="dxa"/>
            <w:shd w:val="clear" w:color="auto" w:fill="auto"/>
            <w:vAlign w:val="bottom"/>
            <w:hideMark/>
          </w:tcPr>
          <w:p w14:paraId="709765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60</w:t>
            </w:r>
          </w:p>
        </w:tc>
        <w:tc>
          <w:tcPr>
            <w:tcW w:w="1480" w:type="dxa"/>
            <w:shd w:val="clear" w:color="auto" w:fill="auto"/>
            <w:vAlign w:val="bottom"/>
            <w:hideMark/>
          </w:tcPr>
          <w:p w14:paraId="7B1129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60</w:t>
            </w:r>
          </w:p>
        </w:tc>
      </w:tr>
      <w:tr w:rsidR="00D106C9" w:rsidRPr="00D106C9" w14:paraId="1794F3DB" w14:textId="77777777" w:rsidTr="006D7BCD">
        <w:trPr>
          <w:trHeight w:val="290"/>
          <w:jc w:val="center"/>
        </w:trPr>
        <w:tc>
          <w:tcPr>
            <w:tcW w:w="1060" w:type="dxa"/>
            <w:shd w:val="clear" w:color="auto" w:fill="auto"/>
            <w:vAlign w:val="bottom"/>
            <w:hideMark/>
          </w:tcPr>
          <w:p w14:paraId="7C2FC5A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w:t>
            </w:r>
          </w:p>
        </w:tc>
        <w:tc>
          <w:tcPr>
            <w:tcW w:w="3960" w:type="dxa"/>
            <w:shd w:val="clear" w:color="auto" w:fill="auto"/>
            <w:vAlign w:val="bottom"/>
            <w:hideMark/>
          </w:tcPr>
          <w:p w14:paraId="4FBE3DB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Guanacaste</w:t>
            </w:r>
          </w:p>
        </w:tc>
        <w:tc>
          <w:tcPr>
            <w:tcW w:w="1360" w:type="dxa"/>
            <w:shd w:val="clear" w:color="auto" w:fill="auto"/>
            <w:vAlign w:val="bottom"/>
            <w:hideMark/>
          </w:tcPr>
          <w:p w14:paraId="5053134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95.05 %</w:t>
            </w:r>
          </w:p>
        </w:tc>
        <w:tc>
          <w:tcPr>
            <w:tcW w:w="1600" w:type="dxa"/>
            <w:shd w:val="clear" w:color="auto" w:fill="auto"/>
            <w:vAlign w:val="bottom"/>
            <w:hideMark/>
          </w:tcPr>
          <w:p w14:paraId="1E16D38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213</w:t>
            </w:r>
          </w:p>
        </w:tc>
        <w:tc>
          <w:tcPr>
            <w:tcW w:w="1480" w:type="dxa"/>
            <w:shd w:val="clear" w:color="auto" w:fill="auto"/>
            <w:vAlign w:val="bottom"/>
            <w:hideMark/>
          </w:tcPr>
          <w:p w14:paraId="6CBC870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212</w:t>
            </w:r>
          </w:p>
        </w:tc>
      </w:tr>
      <w:tr w:rsidR="00D106C9" w:rsidRPr="00D106C9" w14:paraId="5B14FFE9" w14:textId="77777777" w:rsidTr="006D7BCD">
        <w:trPr>
          <w:trHeight w:val="290"/>
          <w:jc w:val="center"/>
        </w:trPr>
        <w:tc>
          <w:tcPr>
            <w:tcW w:w="1060" w:type="dxa"/>
            <w:shd w:val="clear" w:color="auto" w:fill="auto"/>
            <w:vAlign w:val="bottom"/>
            <w:hideMark/>
          </w:tcPr>
          <w:p w14:paraId="485BEA0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48</w:t>
            </w:r>
          </w:p>
        </w:tc>
        <w:tc>
          <w:tcPr>
            <w:tcW w:w="3960" w:type="dxa"/>
            <w:shd w:val="clear" w:color="auto" w:fill="auto"/>
            <w:vAlign w:val="bottom"/>
            <w:hideMark/>
          </w:tcPr>
          <w:p w14:paraId="092D133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Grecia</w:t>
            </w:r>
          </w:p>
        </w:tc>
        <w:tc>
          <w:tcPr>
            <w:tcW w:w="1360" w:type="dxa"/>
            <w:shd w:val="clear" w:color="auto" w:fill="auto"/>
            <w:vAlign w:val="bottom"/>
            <w:hideMark/>
          </w:tcPr>
          <w:p w14:paraId="2146D93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94.86 %</w:t>
            </w:r>
          </w:p>
        </w:tc>
        <w:tc>
          <w:tcPr>
            <w:tcW w:w="1600" w:type="dxa"/>
            <w:shd w:val="clear" w:color="auto" w:fill="auto"/>
            <w:vAlign w:val="bottom"/>
            <w:hideMark/>
          </w:tcPr>
          <w:p w14:paraId="360790E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64</w:t>
            </w:r>
          </w:p>
        </w:tc>
        <w:tc>
          <w:tcPr>
            <w:tcW w:w="1480" w:type="dxa"/>
            <w:shd w:val="clear" w:color="auto" w:fill="auto"/>
            <w:vAlign w:val="bottom"/>
            <w:hideMark/>
          </w:tcPr>
          <w:p w14:paraId="5B4E04A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64</w:t>
            </w:r>
          </w:p>
        </w:tc>
      </w:tr>
      <w:tr w:rsidR="00D106C9" w:rsidRPr="00D106C9" w14:paraId="169E3A4E" w14:textId="77777777" w:rsidTr="006D7BCD">
        <w:trPr>
          <w:trHeight w:val="290"/>
          <w:jc w:val="center"/>
        </w:trPr>
        <w:tc>
          <w:tcPr>
            <w:tcW w:w="1060" w:type="dxa"/>
            <w:shd w:val="clear" w:color="auto" w:fill="auto"/>
            <w:vAlign w:val="bottom"/>
            <w:hideMark/>
          </w:tcPr>
          <w:p w14:paraId="4FAA82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36</w:t>
            </w:r>
          </w:p>
        </w:tc>
        <w:tc>
          <w:tcPr>
            <w:tcW w:w="3960" w:type="dxa"/>
            <w:shd w:val="clear" w:color="auto" w:fill="auto"/>
            <w:vAlign w:val="bottom"/>
            <w:hideMark/>
          </w:tcPr>
          <w:p w14:paraId="5B6CE26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Tercer Circuito Judicial San José</w:t>
            </w:r>
          </w:p>
        </w:tc>
        <w:tc>
          <w:tcPr>
            <w:tcW w:w="1360" w:type="dxa"/>
            <w:shd w:val="clear" w:color="auto" w:fill="auto"/>
            <w:vAlign w:val="bottom"/>
            <w:hideMark/>
          </w:tcPr>
          <w:p w14:paraId="7B35BD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94.42 %</w:t>
            </w:r>
          </w:p>
        </w:tc>
        <w:tc>
          <w:tcPr>
            <w:tcW w:w="1600" w:type="dxa"/>
            <w:shd w:val="clear" w:color="auto" w:fill="auto"/>
            <w:vAlign w:val="bottom"/>
            <w:hideMark/>
          </w:tcPr>
          <w:p w14:paraId="57A8CB3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175</w:t>
            </w:r>
          </w:p>
        </w:tc>
        <w:tc>
          <w:tcPr>
            <w:tcW w:w="1480" w:type="dxa"/>
            <w:shd w:val="clear" w:color="auto" w:fill="auto"/>
            <w:vAlign w:val="bottom"/>
            <w:hideMark/>
          </w:tcPr>
          <w:p w14:paraId="0189982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174</w:t>
            </w:r>
          </w:p>
        </w:tc>
      </w:tr>
      <w:tr w:rsidR="00D106C9" w:rsidRPr="00D106C9" w14:paraId="713A5347" w14:textId="77777777" w:rsidTr="006D7BCD">
        <w:trPr>
          <w:trHeight w:val="290"/>
          <w:jc w:val="center"/>
        </w:trPr>
        <w:tc>
          <w:tcPr>
            <w:tcW w:w="1060" w:type="dxa"/>
            <w:shd w:val="clear" w:color="auto" w:fill="auto"/>
            <w:vAlign w:val="bottom"/>
            <w:hideMark/>
          </w:tcPr>
          <w:p w14:paraId="4F2F6F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w:t>
            </w:r>
          </w:p>
        </w:tc>
        <w:tc>
          <w:tcPr>
            <w:tcW w:w="3960" w:type="dxa"/>
            <w:shd w:val="clear" w:color="auto" w:fill="auto"/>
            <w:vAlign w:val="bottom"/>
            <w:hideMark/>
          </w:tcPr>
          <w:p w14:paraId="69DBD45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Circuito Judicial Cartago</w:t>
            </w:r>
          </w:p>
        </w:tc>
        <w:tc>
          <w:tcPr>
            <w:tcW w:w="1360" w:type="dxa"/>
            <w:shd w:val="clear" w:color="auto" w:fill="auto"/>
            <w:vAlign w:val="bottom"/>
            <w:hideMark/>
          </w:tcPr>
          <w:p w14:paraId="316DEE4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94.30 %</w:t>
            </w:r>
          </w:p>
        </w:tc>
        <w:tc>
          <w:tcPr>
            <w:tcW w:w="1600" w:type="dxa"/>
            <w:shd w:val="clear" w:color="auto" w:fill="auto"/>
            <w:vAlign w:val="bottom"/>
            <w:hideMark/>
          </w:tcPr>
          <w:p w14:paraId="615A66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168</w:t>
            </w:r>
          </w:p>
        </w:tc>
        <w:tc>
          <w:tcPr>
            <w:tcW w:w="1480" w:type="dxa"/>
            <w:shd w:val="clear" w:color="auto" w:fill="auto"/>
            <w:vAlign w:val="bottom"/>
            <w:hideMark/>
          </w:tcPr>
          <w:p w14:paraId="6414136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166</w:t>
            </w:r>
          </w:p>
        </w:tc>
      </w:tr>
      <w:tr w:rsidR="00D106C9" w:rsidRPr="00D106C9" w14:paraId="47FD6557" w14:textId="77777777" w:rsidTr="006D7BCD">
        <w:trPr>
          <w:trHeight w:val="290"/>
          <w:jc w:val="center"/>
        </w:trPr>
        <w:tc>
          <w:tcPr>
            <w:tcW w:w="1060" w:type="dxa"/>
            <w:shd w:val="clear" w:color="auto" w:fill="auto"/>
            <w:vAlign w:val="bottom"/>
            <w:hideMark/>
          </w:tcPr>
          <w:p w14:paraId="6599AF5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w:t>
            </w:r>
          </w:p>
        </w:tc>
        <w:tc>
          <w:tcPr>
            <w:tcW w:w="3960" w:type="dxa"/>
            <w:shd w:val="clear" w:color="auto" w:fill="auto"/>
            <w:vAlign w:val="bottom"/>
            <w:hideMark/>
          </w:tcPr>
          <w:p w14:paraId="53E8BA2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Circuito Judicial Puntarenas</w:t>
            </w:r>
          </w:p>
        </w:tc>
        <w:tc>
          <w:tcPr>
            <w:tcW w:w="1360" w:type="dxa"/>
            <w:shd w:val="clear" w:color="auto" w:fill="auto"/>
            <w:vAlign w:val="bottom"/>
            <w:hideMark/>
          </w:tcPr>
          <w:p w14:paraId="223B502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94.11 %</w:t>
            </w:r>
          </w:p>
        </w:tc>
        <w:tc>
          <w:tcPr>
            <w:tcW w:w="1600" w:type="dxa"/>
            <w:shd w:val="clear" w:color="auto" w:fill="auto"/>
            <w:vAlign w:val="bottom"/>
            <w:hideMark/>
          </w:tcPr>
          <w:p w14:paraId="587FA38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159</w:t>
            </w:r>
          </w:p>
        </w:tc>
        <w:tc>
          <w:tcPr>
            <w:tcW w:w="1480" w:type="dxa"/>
            <w:shd w:val="clear" w:color="auto" w:fill="auto"/>
            <w:vAlign w:val="bottom"/>
            <w:hideMark/>
          </w:tcPr>
          <w:p w14:paraId="33B1D32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158</w:t>
            </w:r>
          </w:p>
        </w:tc>
      </w:tr>
      <w:tr w:rsidR="00D106C9" w:rsidRPr="00D106C9" w14:paraId="2E6C7A27" w14:textId="77777777" w:rsidTr="006D7BCD">
        <w:trPr>
          <w:trHeight w:val="580"/>
          <w:jc w:val="center"/>
        </w:trPr>
        <w:tc>
          <w:tcPr>
            <w:tcW w:w="1060" w:type="dxa"/>
            <w:shd w:val="clear" w:color="auto" w:fill="auto"/>
            <w:vAlign w:val="bottom"/>
            <w:hideMark/>
          </w:tcPr>
          <w:p w14:paraId="5F2597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37</w:t>
            </w:r>
          </w:p>
        </w:tc>
        <w:tc>
          <w:tcPr>
            <w:tcW w:w="3960" w:type="dxa"/>
            <w:shd w:val="clear" w:color="auto" w:fill="auto"/>
            <w:vAlign w:val="bottom"/>
            <w:hideMark/>
          </w:tcPr>
          <w:p w14:paraId="4043C50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de Conciliación del Poder Judicial</w:t>
            </w:r>
          </w:p>
        </w:tc>
        <w:tc>
          <w:tcPr>
            <w:tcW w:w="1360" w:type="dxa"/>
            <w:shd w:val="clear" w:color="auto" w:fill="auto"/>
            <w:vAlign w:val="bottom"/>
            <w:hideMark/>
          </w:tcPr>
          <w:p w14:paraId="02E9B53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94.00 %</w:t>
            </w:r>
          </w:p>
        </w:tc>
        <w:tc>
          <w:tcPr>
            <w:tcW w:w="1600" w:type="dxa"/>
            <w:shd w:val="clear" w:color="auto" w:fill="auto"/>
            <w:vAlign w:val="bottom"/>
            <w:hideMark/>
          </w:tcPr>
          <w:p w14:paraId="5ADAEB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24</w:t>
            </w:r>
          </w:p>
        </w:tc>
        <w:tc>
          <w:tcPr>
            <w:tcW w:w="1480" w:type="dxa"/>
            <w:shd w:val="clear" w:color="auto" w:fill="auto"/>
            <w:vAlign w:val="bottom"/>
            <w:hideMark/>
          </w:tcPr>
          <w:p w14:paraId="1B83E81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24</w:t>
            </w:r>
          </w:p>
        </w:tc>
      </w:tr>
      <w:tr w:rsidR="00D106C9" w:rsidRPr="00D106C9" w14:paraId="7A7ABB27" w14:textId="77777777" w:rsidTr="006D7BCD">
        <w:trPr>
          <w:trHeight w:val="580"/>
          <w:jc w:val="center"/>
        </w:trPr>
        <w:tc>
          <w:tcPr>
            <w:tcW w:w="1060" w:type="dxa"/>
            <w:shd w:val="clear" w:color="auto" w:fill="auto"/>
            <w:vAlign w:val="bottom"/>
            <w:hideMark/>
          </w:tcPr>
          <w:p w14:paraId="1296E6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18</w:t>
            </w:r>
          </w:p>
        </w:tc>
        <w:tc>
          <w:tcPr>
            <w:tcW w:w="3960" w:type="dxa"/>
            <w:shd w:val="clear" w:color="auto" w:fill="auto"/>
            <w:vAlign w:val="bottom"/>
            <w:hideMark/>
          </w:tcPr>
          <w:p w14:paraId="42264494"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Zona Atlántica</w:t>
            </w:r>
          </w:p>
        </w:tc>
        <w:tc>
          <w:tcPr>
            <w:tcW w:w="1360" w:type="dxa"/>
            <w:shd w:val="clear" w:color="auto" w:fill="auto"/>
            <w:vAlign w:val="bottom"/>
            <w:hideMark/>
          </w:tcPr>
          <w:p w14:paraId="5121AE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93.99 %</w:t>
            </w:r>
          </w:p>
        </w:tc>
        <w:tc>
          <w:tcPr>
            <w:tcW w:w="1600" w:type="dxa"/>
            <w:shd w:val="clear" w:color="auto" w:fill="auto"/>
            <w:vAlign w:val="bottom"/>
            <w:hideMark/>
          </w:tcPr>
          <w:p w14:paraId="143E50F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128</w:t>
            </w:r>
          </w:p>
        </w:tc>
        <w:tc>
          <w:tcPr>
            <w:tcW w:w="1480" w:type="dxa"/>
            <w:shd w:val="clear" w:color="auto" w:fill="auto"/>
            <w:vAlign w:val="bottom"/>
            <w:hideMark/>
          </w:tcPr>
          <w:p w14:paraId="35B4F7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127</w:t>
            </w:r>
          </w:p>
        </w:tc>
      </w:tr>
      <w:tr w:rsidR="00D106C9" w:rsidRPr="00D106C9" w14:paraId="508F05E8" w14:textId="77777777" w:rsidTr="006D7BCD">
        <w:trPr>
          <w:trHeight w:val="290"/>
          <w:jc w:val="center"/>
        </w:trPr>
        <w:tc>
          <w:tcPr>
            <w:tcW w:w="1060" w:type="dxa"/>
            <w:shd w:val="clear" w:color="auto" w:fill="auto"/>
            <w:vAlign w:val="bottom"/>
            <w:hideMark/>
          </w:tcPr>
          <w:p w14:paraId="516AD08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73</w:t>
            </w:r>
          </w:p>
        </w:tc>
        <w:tc>
          <w:tcPr>
            <w:tcW w:w="3960" w:type="dxa"/>
            <w:shd w:val="clear" w:color="auto" w:fill="auto"/>
            <w:vAlign w:val="bottom"/>
            <w:hideMark/>
          </w:tcPr>
          <w:p w14:paraId="09CE097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Sarapiquí</w:t>
            </w:r>
          </w:p>
        </w:tc>
        <w:tc>
          <w:tcPr>
            <w:tcW w:w="1360" w:type="dxa"/>
            <w:shd w:val="clear" w:color="auto" w:fill="auto"/>
            <w:vAlign w:val="bottom"/>
            <w:hideMark/>
          </w:tcPr>
          <w:p w14:paraId="404E8FF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93.06 %</w:t>
            </w:r>
          </w:p>
        </w:tc>
        <w:tc>
          <w:tcPr>
            <w:tcW w:w="1600" w:type="dxa"/>
            <w:shd w:val="clear" w:color="auto" w:fill="auto"/>
            <w:vAlign w:val="bottom"/>
            <w:hideMark/>
          </w:tcPr>
          <w:p w14:paraId="20F6FB1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62</w:t>
            </w:r>
          </w:p>
        </w:tc>
        <w:tc>
          <w:tcPr>
            <w:tcW w:w="1480" w:type="dxa"/>
            <w:shd w:val="clear" w:color="auto" w:fill="auto"/>
            <w:vAlign w:val="bottom"/>
            <w:hideMark/>
          </w:tcPr>
          <w:p w14:paraId="3E0B3F7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61</w:t>
            </w:r>
          </w:p>
        </w:tc>
      </w:tr>
      <w:tr w:rsidR="00D106C9" w:rsidRPr="00D106C9" w14:paraId="671B3AAA" w14:textId="77777777" w:rsidTr="006D7BCD">
        <w:trPr>
          <w:trHeight w:val="290"/>
          <w:jc w:val="center"/>
        </w:trPr>
        <w:tc>
          <w:tcPr>
            <w:tcW w:w="1060" w:type="dxa"/>
            <w:shd w:val="clear" w:color="auto" w:fill="auto"/>
            <w:vAlign w:val="bottom"/>
            <w:hideMark/>
          </w:tcPr>
          <w:p w14:paraId="19E2864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14</w:t>
            </w:r>
          </w:p>
        </w:tc>
        <w:tc>
          <w:tcPr>
            <w:tcW w:w="3960" w:type="dxa"/>
            <w:shd w:val="clear" w:color="auto" w:fill="auto"/>
            <w:vAlign w:val="bottom"/>
            <w:hideMark/>
          </w:tcPr>
          <w:p w14:paraId="224601F9"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Tercer Circuito Judicial Alajuela</w:t>
            </w:r>
          </w:p>
        </w:tc>
        <w:tc>
          <w:tcPr>
            <w:tcW w:w="1360" w:type="dxa"/>
            <w:shd w:val="clear" w:color="auto" w:fill="auto"/>
            <w:vAlign w:val="bottom"/>
            <w:hideMark/>
          </w:tcPr>
          <w:p w14:paraId="72C67F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92.92 %</w:t>
            </w:r>
          </w:p>
        </w:tc>
        <w:tc>
          <w:tcPr>
            <w:tcW w:w="1600" w:type="dxa"/>
            <w:shd w:val="clear" w:color="auto" w:fill="auto"/>
            <w:vAlign w:val="bottom"/>
            <w:hideMark/>
          </w:tcPr>
          <w:p w14:paraId="44136D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119</w:t>
            </w:r>
          </w:p>
        </w:tc>
        <w:tc>
          <w:tcPr>
            <w:tcW w:w="1480" w:type="dxa"/>
            <w:shd w:val="clear" w:color="auto" w:fill="auto"/>
            <w:vAlign w:val="bottom"/>
            <w:hideMark/>
          </w:tcPr>
          <w:p w14:paraId="386A751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117</w:t>
            </w:r>
          </w:p>
        </w:tc>
      </w:tr>
      <w:tr w:rsidR="00D106C9" w:rsidRPr="00D106C9" w14:paraId="52D6BDAE" w14:textId="77777777" w:rsidTr="006D7BCD">
        <w:trPr>
          <w:trHeight w:val="290"/>
          <w:jc w:val="center"/>
        </w:trPr>
        <w:tc>
          <w:tcPr>
            <w:tcW w:w="1060" w:type="dxa"/>
            <w:shd w:val="clear" w:color="auto" w:fill="auto"/>
            <w:vAlign w:val="bottom"/>
            <w:hideMark/>
          </w:tcPr>
          <w:p w14:paraId="1AA66B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w:t>
            </w:r>
          </w:p>
        </w:tc>
        <w:tc>
          <w:tcPr>
            <w:tcW w:w="3960" w:type="dxa"/>
            <w:shd w:val="clear" w:color="auto" w:fill="auto"/>
            <w:vAlign w:val="bottom"/>
            <w:hideMark/>
          </w:tcPr>
          <w:p w14:paraId="7D85E56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San José</w:t>
            </w:r>
          </w:p>
        </w:tc>
        <w:tc>
          <w:tcPr>
            <w:tcW w:w="1360" w:type="dxa"/>
            <w:shd w:val="clear" w:color="auto" w:fill="auto"/>
            <w:vAlign w:val="bottom"/>
            <w:hideMark/>
          </w:tcPr>
          <w:p w14:paraId="14BE05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92.74 %</w:t>
            </w:r>
          </w:p>
        </w:tc>
        <w:tc>
          <w:tcPr>
            <w:tcW w:w="1600" w:type="dxa"/>
            <w:shd w:val="clear" w:color="auto" w:fill="auto"/>
            <w:vAlign w:val="bottom"/>
            <w:hideMark/>
          </w:tcPr>
          <w:p w14:paraId="58F210B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358</w:t>
            </w:r>
          </w:p>
        </w:tc>
        <w:tc>
          <w:tcPr>
            <w:tcW w:w="1480" w:type="dxa"/>
            <w:shd w:val="clear" w:color="auto" w:fill="auto"/>
            <w:vAlign w:val="bottom"/>
            <w:hideMark/>
          </w:tcPr>
          <w:p w14:paraId="59775A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354</w:t>
            </w:r>
          </w:p>
        </w:tc>
      </w:tr>
      <w:tr w:rsidR="00D106C9" w:rsidRPr="00D106C9" w14:paraId="782AE1E9" w14:textId="77777777" w:rsidTr="006D7BCD">
        <w:trPr>
          <w:trHeight w:val="290"/>
          <w:jc w:val="center"/>
        </w:trPr>
        <w:tc>
          <w:tcPr>
            <w:tcW w:w="1060" w:type="dxa"/>
            <w:shd w:val="clear" w:color="auto" w:fill="auto"/>
            <w:vAlign w:val="bottom"/>
            <w:hideMark/>
          </w:tcPr>
          <w:p w14:paraId="1337A15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w:t>
            </w:r>
          </w:p>
        </w:tc>
        <w:tc>
          <w:tcPr>
            <w:tcW w:w="3960" w:type="dxa"/>
            <w:shd w:val="clear" w:color="auto" w:fill="auto"/>
            <w:vAlign w:val="bottom"/>
            <w:hideMark/>
          </w:tcPr>
          <w:p w14:paraId="58364ED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Zona Atlántica</w:t>
            </w:r>
          </w:p>
        </w:tc>
        <w:tc>
          <w:tcPr>
            <w:tcW w:w="1360" w:type="dxa"/>
            <w:shd w:val="clear" w:color="auto" w:fill="auto"/>
            <w:vAlign w:val="bottom"/>
            <w:hideMark/>
          </w:tcPr>
          <w:p w14:paraId="367C6B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92.36 %</w:t>
            </w:r>
          </w:p>
        </w:tc>
        <w:tc>
          <w:tcPr>
            <w:tcW w:w="1600" w:type="dxa"/>
            <w:shd w:val="clear" w:color="auto" w:fill="auto"/>
            <w:vAlign w:val="bottom"/>
            <w:hideMark/>
          </w:tcPr>
          <w:p w14:paraId="5E37A0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159</w:t>
            </w:r>
          </w:p>
        </w:tc>
        <w:tc>
          <w:tcPr>
            <w:tcW w:w="1480" w:type="dxa"/>
            <w:shd w:val="clear" w:color="auto" w:fill="auto"/>
            <w:vAlign w:val="bottom"/>
            <w:hideMark/>
          </w:tcPr>
          <w:p w14:paraId="171413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157</w:t>
            </w:r>
          </w:p>
        </w:tc>
      </w:tr>
      <w:tr w:rsidR="00D106C9" w:rsidRPr="00D106C9" w14:paraId="138D34EC" w14:textId="77777777" w:rsidTr="006D7BCD">
        <w:trPr>
          <w:trHeight w:val="290"/>
          <w:jc w:val="center"/>
        </w:trPr>
        <w:tc>
          <w:tcPr>
            <w:tcW w:w="1060" w:type="dxa"/>
            <w:shd w:val="clear" w:color="auto" w:fill="auto"/>
            <w:vAlign w:val="bottom"/>
            <w:hideMark/>
          </w:tcPr>
          <w:p w14:paraId="202996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w:t>
            </w:r>
          </w:p>
        </w:tc>
        <w:tc>
          <w:tcPr>
            <w:tcW w:w="3960" w:type="dxa"/>
            <w:shd w:val="clear" w:color="auto" w:fill="auto"/>
            <w:vAlign w:val="bottom"/>
            <w:hideMark/>
          </w:tcPr>
          <w:p w14:paraId="768C7ED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Alajuela</w:t>
            </w:r>
          </w:p>
        </w:tc>
        <w:tc>
          <w:tcPr>
            <w:tcW w:w="1360" w:type="dxa"/>
            <w:shd w:val="clear" w:color="auto" w:fill="auto"/>
            <w:vAlign w:val="bottom"/>
            <w:hideMark/>
          </w:tcPr>
          <w:p w14:paraId="06EBA61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92.34 %</w:t>
            </w:r>
          </w:p>
        </w:tc>
        <w:tc>
          <w:tcPr>
            <w:tcW w:w="1600" w:type="dxa"/>
            <w:shd w:val="clear" w:color="auto" w:fill="auto"/>
            <w:vAlign w:val="bottom"/>
            <w:hideMark/>
          </w:tcPr>
          <w:p w14:paraId="194EEC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200</w:t>
            </w:r>
          </w:p>
        </w:tc>
        <w:tc>
          <w:tcPr>
            <w:tcW w:w="1480" w:type="dxa"/>
            <w:shd w:val="clear" w:color="auto" w:fill="auto"/>
            <w:vAlign w:val="bottom"/>
            <w:hideMark/>
          </w:tcPr>
          <w:p w14:paraId="03E56C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197</w:t>
            </w:r>
          </w:p>
        </w:tc>
      </w:tr>
      <w:tr w:rsidR="00D106C9" w:rsidRPr="00D106C9" w14:paraId="259B914B" w14:textId="77777777" w:rsidTr="006D7BCD">
        <w:trPr>
          <w:trHeight w:val="290"/>
          <w:jc w:val="center"/>
        </w:trPr>
        <w:tc>
          <w:tcPr>
            <w:tcW w:w="1060" w:type="dxa"/>
            <w:shd w:val="clear" w:color="auto" w:fill="auto"/>
            <w:vAlign w:val="bottom"/>
            <w:hideMark/>
          </w:tcPr>
          <w:p w14:paraId="2B33F9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w:t>
            </w:r>
          </w:p>
        </w:tc>
        <w:tc>
          <w:tcPr>
            <w:tcW w:w="3960" w:type="dxa"/>
            <w:shd w:val="clear" w:color="auto" w:fill="auto"/>
            <w:vAlign w:val="bottom"/>
            <w:hideMark/>
          </w:tcPr>
          <w:p w14:paraId="0402426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Circuito Judicial Heredia</w:t>
            </w:r>
          </w:p>
        </w:tc>
        <w:tc>
          <w:tcPr>
            <w:tcW w:w="1360" w:type="dxa"/>
            <w:shd w:val="clear" w:color="auto" w:fill="auto"/>
            <w:vAlign w:val="bottom"/>
            <w:hideMark/>
          </w:tcPr>
          <w:p w14:paraId="65BA2D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92.30 %</w:t>
            </w:r>
          </w:p>
        </w:tc>
        <w:tc>
          <w:tcPr>
            <w:tcW w:w="1600" w:type="dxa"/>
            <w:shd w:val="clear" w:color="auto" w:fill="auto"/>
            <w:vAlign w:val="bottom"/>
            <w:hideMark/>
          </w:tcPr>
          <w:p w14:paraId="3274520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131</w:t>
            </w:r>
          </w:p>
        </w:tc>
        <w:tc>
          <w:tcPr>
            <w:tcW w:w="1480" w:type="dxa"/>
            <w:shd w:val="clear" w:color="auto" w:fill="auto"/>
            <w:vAlign w:val="bottom"/>
            <w:hideMark/>
          </w:tcPr>
          <w:p w14:paraId="337B8B4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131</w:t>
            </w:r>
          </w:p>
        </w:tc>
      </w:tr>
      <w:tr w:rsidR="00D106C9" w:rsidRPr="00D106C9" w14:paraId="7E348681" w14:textId="77777777" w:rsidTr="006D7BCD">
        <w:trPr>
          <w:trHeight w:val="290"/>
          <w:jc w:val="center"/>
        </w:trPr>
        <w:tc>
          <w:tcPr>
            <w:tcW w:w="1060" w:type="dxa"/>
            <w:shd w:val="clear" w:color="auto" w:fill="auto"/>
            <w:vAlign w:val="bottom"/>
            <w:hideMark/>
          </w:tcPr>
          <w:p w14:paraId="5C21A3F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w:t>
            </w:r>
          </w:p>
        </w:tc>
        <w:tc>
          <w:tcPr>
            <w:tcW w:w="3960" w:type="dxa"/>
            <w:shd w:val="clear" w:color="auto" w:fill="auto"/>
            <w:vAlign w:val="bottom"/>
            <w:hideMark/>
          </w:tcPr>
          <w:p w14:paraId="119B292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Guanacaste</w:t>
            </w:r>
          </w:p>
        </w:tc>
        <w:tc>
          <w:tcPr>
            <w:tcW w:w="1360" w:type="dxa"/>
            <w:shd w:val="clear" w:color="auto" w:fill="auto"/>
            <w:vAlign w:val="bottom"/>
            <w:hideMark/>
          </w:tcPr>
          <w:p w14:paraId="08864D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92.24 %</w:t>
            </w:r>
          </w:p>
        </w:tc>
        <w:tc>
          <w:tcPr>
            <w:tcW w:w="1600" w:type="dxa"/>
            <w:shd w:val="clear" w:color="auto" w:fill="auto"/>
            <w:vAlign w:val="bottom"/>
            <w:hideMark/>
          </w:tcPr>
          <w:p w14:paraId="2346D9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138</w:t>
            </w:r>
          </w:p>
        </w:tc>
        <w:tc>
          <w:tcPr>
            <w:tcW w:w="1480" w:type="dxa"/>
            <w:shd w:val="clear" w:color="auto" w:fill="auto"/>
            <w:vAlign w:val="bottom"/>
            <w:hideMark/>
          </w:tcPr>
          <w:p w14:paraId="700155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136</w:t>
            </w:r>
          </w:p>
        </w:tc>
      </w:tr>
      <w:tr w:rsidR="00D106C9" w:rsidRPr="00D106C9" w14:paraId="00AF01DA" w14:textId="77777777" w:rsidTr="006D7BCD">
        <w:trPr>
          <w:trHeight w:val="290"/>
          <w:jc w:val="center"/>
        </w:trPr>
        <w:tc>
          <w:tcPr>
            <w:tcW w:w="1060" w:type="dxa"/>
            <w:shd w:val="clear" w:color="auto" w:fill="auto"/>
            <w:vAlign w:val="bottom"/>
            <w:hideMark/>
          </w:tcPr>
          <w:p w14:paraId="40190C3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w:t>
            </w:r>
          </w:p>
        </w:tc>
        <w:tc>
          <w:tcPr>
            <w:tcW w:w="3960" w:type="dxa"/>
            <w:shd w:val="clear" w:color="auto" w:fill="auto"/>
            <w:vAlign w:val="bottom"/>
            <w:hideMark/>
          </w:tcPr>
          <w:p w14:paraId="1BF6252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Alajuela</w:t>
            </w:r>
          </w:p>
        </w:tc>
        <w:tc>
          <w:tcPr>
            <w:tcW w:w="1360" w:type="dxa"/>
            <w:shd w:val="clear" w:color="auto" w:fill="auto"/>
            <w:vAlign w:val="bottom"/>
            <w:hideMark/>
          </w:tcPr>
          <w:p w14:paraId="4CFBD8C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92.16 %</w:t>
            </w:r>
          </w:p>
        </w:tc>
        <w:tc>
          <w:tcPr>
            <w:tcW w:w="1600" w:type="dxa"/>
            <w:shd w:val="clear" w:color="auto" w:fill="auto"/>
            <w:vAlign w:val="bottom"/>
            <w:hideMark/>
          </w:tcPr>
          <w:p w14:paraId="74B7358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135</w:t>
            </w:r>
          </w:p>
        </w:tc>
        <w:tc>
          <w:tcPr>
            <w:tcW w:w="1480" w:type="dxa"/>
            <w:shd w:val="clear" w:color="auto" w:fill="auto"/>
            <w:vAlign w:val="bottom"/>
            <w:hideMark/>
          </w:tcPr>
          <w:p w14:paraId="338E99C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135</w:t>
            </w:r>
          </w:p>
        </w:tc>
      </w:tr>
      <w:tr w:rsidR="00D106C9" w:rsidRPr="00D106C9" w14:paraId="4D8380DA" w14:textId="77777777" w:rsidTr="006D7BCD">
        <w:trPr>
          <w:trHeight w:val="290"/>
          <w:jc w:val="center"/>
        </w:trPr>
        <w:tc>
          <w:tcPr>
            <w:tcW w:w="1060" w:type="dxa"/>
            <w:shd w:val="clear" w:color="auto" w:fill="auto"/>
            <w:vAlign w:val="bottom"/>
            <w:hideMark/>
          </w:tcPr>
          <w:p w14:paraId="54E6BA6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w:t>
            </w:r>
          </w:p>
        </w:tc>
        <w:tc>
          <w:tcPr>
            <w:tcW w:w="3960" w:type="dxa"/>
            <w:shd w:val="clear" w:color="auto" w:fill="auto"/>
            <w:vAlign w:val="bottom"/>
            <w:hideMark/>
          </w:tcPr>
          <w:p w14:paraId="3289A95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San José</w:t>
            </w:r>
          </w:p>
        </w:tc>
        <w:tc>
          <w:tcPr>
            <w:tcW w:w="1360" w:type="dxa"/>
            <w:shd w:val="clear" w:color="auto" w:fill="auto"/>
            <w:vAlign w:val="bottom"/>
            <w:hideMark/>
          </w:tcPr>
          <w:p w14:paraId="6632E6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92.05 %</w:t>
            </w:r>
          </w:p>
        </w:tc>
        <w:tc>
          <w:tcPr>
            <w:tcW w:w="1600" w:type="dxa"/>
            <w:shd w:val="clear" w:color="auto" w:fill="auto"/>
            <w:vAlign w:val="bottom"/>
            <w:hideMark/>
          </w:tcPr>
          <w:p w14:paraId="49B7BE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162</w:t>
            </w:r>
          </w:p>
        </w:tc>
        <w:tc>
          <w:tcPr>
            <w:tcW w:w="1480" w:type="dxa"/>
            <w:shd w:val="clear" w:color="auto" w:fill="auto"/>
            <w:vAlign w:val="bottom"/>
            <w:hideMark/>
          </w:tcPr>
          <w:p w14:paraId="291CB61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159</w:t>
            </w:r>
          </w:p>
        </w:tc>
      </w:tr>
      <w:tr w:rsidR="00D106C9" w:rsidRPr="00D106C9" w14:paraId="4245858E" w14:textId="77777777" w:rsidTr="006D7BCD">
        <w:trPr>
          <w:trHeight w:val="290"/>
          <w:jc w:val="center"/>
        </w:trPr>
        <w:tc>
          <w:tcPr>
            <w:tcW w:w="1060" w:type="dxa"/>
            <w:shd w:val="clear" w:color="auto" w:fill="auto"/>
            <w:vAlign w:val="bottom"/>
            <w:hideMark/>
          </w:tcPr>
          <w:p w14:paraId="48F310D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17</w:t>
            </w:r>
          </w:p>
        </w:tc>
        <w:tc>
          <w:tcPr>
            <w:tcW w:w="3960" w:type="dxa"/>
            <w:shd w:val="clear" w:color="auto" w:fill="auto"/>
            <w:vAlign w:val="bottom"/>
            <w:hideMark/>
          </w:tcPr>
          <w:p w14:paraId="2FDB278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Santa Cruz</w:t>
            </w:r>
          </w:p>
        </w:tc>
        <w:tc>
          <w:tcPr>
            <w:tcW w:w="1360" w:type="dxa"/>
            <w:shd w:val="clear" w:color="auto" w:fill="auto"/>
            <w:vAlign w:val="bottom"/>
            <w:hideMark/>
          </w:tcPr>
          <w:p w14:paraId="058780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91.75 %</w:t>
            </w:r>
          </w:p>
        </w:tc>
        <w:tc>
          <w:tcPr>
            <w:tcW w:w="1600" w:type="dxa"/>
            <w:shd w:val="clear" w:color="auto" w:fill="auto"/>
            <w:vAlign w:val="bottom"/>
            <w:hideMark/>
          </w:tcPr>
          <w:p w14:paraId="3A5FDCD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76</w:t>
            </w:r>
          </w:p>
        </w:tc>
        <w:tc>
          <w:tcPr>
            <w:tcW w:w="1480" w:type="dxa"/>
            <w:shd w:val="clear" w:color="auto" w:fill="auto"/>
            <w:vAlign w:val="bottom"/>
            <w:hideMark/>
          </w:tcPr>
          <w:p w14:paraId="0AA6F6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75</w:t>
            </w:r>
          </w:p>
        </w:tc>
      </w:tr>
      <w:tr w:rsidR="00D106C9" w:rsidRPr="00D106C9" w14:paraId="7F7AC3C9" w14:textId="77777777" w:rsidTr="006D7BCD">
        <w:trPr>
          <w:trHeight w:val="290"/>
          <w:jc w:val="center"/>
        </w:trPr>
        <w:tc>
          <w:tcPr>
            <w:tcW w:w="1060" w:type="dxa"/>
            <w:shd w:val="clear" w:color="auto" w:fill="auto"/>
            <w:vAlign w:val="bottom"/>
            <w:hideMark/>
          </w:tcPr>
          <w:p w14:paraId="00216E8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w:t>
            </w:r>
          </w:p>
        </w:tc>
        <w:tc>
          <w:tcPr>
            <w:tcW w:w="3960" w:type="dxa"/>
            <w:shd w:val="clear" w:color="auto" w:fill="auto"/>
            <w:vAlign w:val="bottom"/>
            <w:hideMark/>
          </w:tcPr>
          <w:p w14:paraId="1D9A17F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Golfito</w:t>
            </w:r>
          </w:p>
        </w:tc>
        <w:tc>
          <w:tcPr>
            <w:tcW w:w="1360" w:type="dxa"/>
            <w:shd w:val="clear" w:color="auto" w:fill="auto"/>
            <w:vAlign w:val="bottom"/>
            <w:hideMark/>
          </w:tcPr>
          <w:p w14:paraId="3B975B2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90.58 %</w:t>
            </w:r>
          </w:p>
        </w:tc>
        <w:tc>
          <w:tcPr>
            <w:tcW w:w="1600" w:type="dxa"/>
            <w:shd w:val="clear" w:color="auto" w:fill="auto"/>
            <w:vAlign w:val="bottom"/>
            <w:hideMark/>
          </w:tcPr>
          <w:p w14:paraId="389063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73</w:t>
            </w:r>
          </w:p>
        </w:tc>
        <w:tc>
          <w:tcPr>
            <w:tcW w:w="1480" w:type="dxa"/>
            <w:shd w:val="clear" w:color="auto" w:fill="auto"/>
            <w:vAlign w:val="bottom"/>
            <w:hideMark/>
          </w:tcPr>
          <w:p w14:paraId="1648BCA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71</w:t>
            </w:r>
          </w:p>
        </w:tc>
      </w:tr>
      <w:tr w:rsidR="00D106C9" w:rsidRPr="00D106C9" w14:paraId="55BD5028" w14:textId="77777777" w:rsidTr="006D7BCD">
        <w:trPr>
          <w:trHeight w:val="290"/>
          <w:jc w:val="center"/>
        </w:trPr>
        <w:tc>
          <w:tcPr>
            <w:tcW w:w="1060" w:type="dxa"/>
            <w:shd w:val="clear" w:color="auto" w:fill="auto"/>
            <w:vAlign w:val="bottom"/>
            <w:hideMark/>
          </w:tcPr>
          <w:p w14:paraId="23B5E3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11</w:t>
            </w:r>
          </w:p>
        </w:tc>
        <w:tc>
          <w:tcPr>
            <w:tcW w:w="3960" w:type="dxa"/>
            <w:shd w:val="clear" w:color="auto" w:fill="auto"/>
            <w:vAlign w:val="bottom"/>
            <w:hideMark/>
          </w:tcPr>
          <w:p w14:paraId="13F09A4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Zona Sur</w:t>
            </w:r>
          </w:p>
        </w:tc>
        <w:tc>
          <w:tcPr>
            <w:tcW w:w="1360" w:type="dxa"/>
            <w:shd w:val="clear" w:color="auto" w:fill="auto"/>
            <w:vAlign w:val="bottom"/>
            <w:hideMark/>
          </w:tcPr>
          <w:p w14:paraId="105B136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90.12 %</w:t>
            </w:r>
          </w:p>
        </w:tc>
        <w:tc>
          <w:tcPr>
            <w:tcW w:w="1600" w:type="dxa"/>
            <w:shd w:val="clear" w:color="auto" w:fill="auto"/>
            <w:vAlign w:val="bottom"/>
            <w:hideMark/>
          </w:tcPr>
          <w:p w14:paraId="1103EA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w:t>
            </w:r>
          </w:p>
        </w:tc>
        <w:tc>
          <w:tcPr>
            <w:tcW w:w="1480" w:type="dxa"/>
            <w:shd w:val="clear" w:color="auto" w:fill="auto"/>
            <w:vAlign w:val="bottom"/>
            <w:hideMark/>
          </w:tcPr>
          <w:p w14:paraId="5E509DA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91</w:t>
            </w:r>
          </w:p>
        </w:tc>
      </w:tr>
      <w:tr w:rsidR="00D106C9" w:rsidRPr="00D106C9" w14:paraId="1E95C98D" w14:textId="77777777" w:rsidTr="006D7BCD">
        <w:trPr>
          <w:trHeight w:val="290"/>
          <w:jc w:val="center"/>
        </w:trPr>
        <w:tc>
          <w:tcPr>
            <w:tcW w:w="1060" w:type="dxa"/>
            <w:shd w:val="clear" w:color="auto" w:fill="auto"/>
            <w:vAlign w:val="bottom"/>
            <w:hideMark/>
          </w:tcPr>
          <w:p w14:paraId="5AB900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w:t>
            </w:r>
          </w:p>
        </w:tc>
        <w:tc>
          <w:tcPr>
            <w:tcW w:w="3960" w:type="dxa"/>
            <w:shd w:val="clear" w:color="auto" w:fill="auto"/>
            <w:vAlign w:val="bottom"/>
            <w:hideMark/>
          </w:tcPr>
          <w:p w14:paraId="065D8C28"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Zona Sur</w:t>
            </w:r>
          </w:p>
        </w:tc>
        <w:tc>
          <w:tcPr>
            <w:tcW w:w="1360" w:type="dxa"/>
            <w:shd w:val="clear" w:color="auto" w:fill="auto"/>
            <w:vAlign w:val="bottom"/>
            <w:hideMark/>
          </w:tcPr>
          <w:p w14:paraId="4DD690E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89.10 %</w:t>
            </w:r>
          </w:p>
        </w:tc>
        <w:tc>
          <w:tcPr>
            <w:tcW w:w="1600" w:type="dxa"/>
            <w:shd w:val="clear" w:color="auto" w:fill="auto"/>
            <w:vAlign w:val="bottom"/>
            <w:hideMark/>
          </w:tcPr>
          <w:p w14:paraId="3B82CF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154</w:t>
            </w:r>
          </w:p>
        </w:tc>
        <w:tc>
          <w:tcPr>
            <w:tcW w:w="1480" w:type="dxa"/>
            <w:shd w:val="clear" w:color="auto" w:fill="auto"/>
            <w:vAlign w:val="bottom"/>
            <w:hideMark/>
          </w:tcPr>
          <w:p w14:paraId="2459A8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144</w:t>
            </w:r>
          </w:p>
        </w:tc>
      </w:tr>
      <w:tr w:rsidR="00D106C9" w:rsidRPr="00D106C9" w14:paraId="1B915266" w14:textId="77777777" w:rsidTr="006D7BCD">
        <w:trPr>
          <w:trHeight w:val="290"/>
          <w:jc w:val="center"/>
        </w:trPr>
        <w:tc>
          <w:tcPr>
            <w:tcW w:w="1060" w:type="dxa"/>
            <w:shd w:val="clear" w:color="auto" w:fill="auto"/>
            <w:vAlign w:val="bottom"/>
            <w:hideMark/>
          </w:tcPr>
          <w:p w14:paraId="7361DB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76</w:t>
            </w:r>
          </w:p>
        </w:tc>
        <w:tc>
          <w:tcPr>
            <w:tcW w:w="3960" w:type="dxa"/>
            <w:shd w:val="clear" w:color="auto" w:fill="auto"/>
            <w:vAlign w:val="bottom"/>
            <w:hideMark/>
          </w:tcPr>
          <w:p w14:paraId="0C37163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Osa</w:t>
            </w:r>
          </w:p>
        </w:tc>
        <w:tc>
          <w:tcPr>
            <w:tcW w:w="1360" w:type="dxa"/>
            <w:shd w:val="clear" w:color="auto" w:fill="auto"/>
            <w:vAlign w:val="bottom"/>
            <w:hideMark/>
          </w:tcPr>
          <w:p w14:paraId="385BCC8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86.76 %</w:t>
            </w:r>
          </w:p>
        </w:tc>
        <w:tc>
          <w:tcPr>
            <w:tcW w:w="1600" w:type="dxa"/>
            <w:shd w:val="clear" w:color="auto" w:fill="auto"/>
            <w:vAlign w:val="bottom"/>
            <w:hideMark/>
          </w:tcPr>
          <w:p w14:paraId="34C2A97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58</w:t>
            </w:r>
          </w:p>
        </w:tc>
        <w:tc>
          <w:tcPr>
            <w:tcW w:w="1480" w:type="dxa"/>
            <w:shd w:val="clear" w:color="auto" w:fill="auto"/>
            <w:vAlign w:val="bottom"/>
            <w:hideMark/>
          </w:tcPr>
          <w:p w14:paraId="2AEB2F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54</w:t>
            </w:r>
          </w:p>
        </w:tc>
      </w:tr>
      <w:tr w:rsidR="00D106C9" w:rsidRPr="00D106C9" w14:paraId="71E24301" w14:textId="77777777" w:rsidTr="006D7BCD">
        <w:trPr>
          <w:trHeight w:val="290"/>
          <w:jc w:val="center"/>
        </w:trPr>
        <w:tc>
          <w:tcPr>
            <w:tcW w:w="1060" w:type="dxa"/>
            <w:shd w:val="clear" w:color="auto" w:fill="auto"/>
            <w:vAlign w:val="bottom"/>
            <w:hideMark/>
          </w:tcPr>
          <w:p w14:paraId="3112D64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47</w:t>
            </w:r>
          </w:p>
        </w:tc>
        <w:tc>
          <w:tcPr>
            <w:tcW w:w="3960" w:type="dxa"/>
            <w:shd w:val="clear" w:color="auto" w:fill="auto"/>
            <w:vAlign w:val="bottom"/>
            <w:hideMark/>
          </w:tcPr>
          <w:p w14:paraId="3AB2C5E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Turrialba</w:t>
            </w:r>
          </w:p>
        </w:tc>
        <w:tc>
          <w:tcPr>
            <w:tcW w:w="1360" w:type="dxa"/>
            <w:shd w:val="clear" w:color="auto" w:fill="auto"/>
            <w:vAlign w:val="bottom"/>
            <w:hideMark/>
          </w:tcPr>
          <w:p w14:paraId="775FB2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83.50 %</w:t>
            </w:r>
          </w:p>
        </w:tc>
        <w:tc>
          <w:tcPr>
            <w:tcW w:w="1600" w:type="dxa"/>
            <w:shd w:val="clear" w:color="auto" w:fill="auto"/>
            <w:vAlign w:val="bottom"/>
            <w:hideMark/>
          </w:tcPr>
          <w:p w14:paraId="2D5726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75</w:t>
            </w:r>
          </w:p>
        </w:tc>
        <w:tc>
          <w:tcPr>
            <w:tcW w:w="1480" w:type="dxa"/>
            <w:shd w:val="clear" w:color="auto" w:fill="auto"/>
            <w:vAlign w:val="bottom"/>
            <w:hideMark/>
          </w:tcPr>
          <w:p w14:paraId="0379C75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74</w:t>
            </w:r>
          </w:p>
        </w:tc>
      </w:tr>
      <w:tr w:rsidR="00D106C9" w:rsidRPr="00D106C9" w14:paraId="0A1EA46C" w14:textId="77777777" w:rsidTr="006D7BCD">
        <w:trPr>
          <w:trHeight w:val="290"/>
          <w:jc w:val="center"/>
        </w:trPr>
        <w:tc>
          <w:tcPr>
            <w:tcW w:w="5020" w:type="dxa"/>
            <w:gridSpan w:val="2"/>
            <w:shd w:val="clear" w:color="auto" w:fill="auto"/>
            <w:vAlign w:val="bottom"/>
            <w:hideMark/>
          </w:tcPr>
          <w:p w14:paraId="10315FBF"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TOTAL</w:t>
            </w:r>
          </w:p>
        </w:tc>
        <w:tc>
          <w:tcPr>
            <w:tcW w:w="1360" w:type="dxa"/>
            <w:shd w:val="clear" w:color="auto" w:fill="auto"/>
            <w:vAlign w:val="bottom"/>
            <w:hideMark/>
          </w:tcPr>
          <w:p w14:paraId="5132E8E5"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96,40%</w:t>
            </w:r>
          </w:p>
        </w:tc>
        <w:tc>
          <w:tcPr>
            <w:tcW w:w="1600" w:type="dxa"/>
            <w:shd w:val="clear" w:color="auto" w:fill="auto"/>
            <w:vAlign w:val="bottom"/>
            <w:hideMark/>
          </w:tcPr>
          <w:p w14:paraId="291D701C"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6738</w:t>
            </w:r>
          </w:p>
        </w:tc>
        <w:tc>
          <w:tcPr>
            <w:tcW w:w="1480" w:type="dxa"/>
            <w:shd w:val="clear" w:color="auto" w:fill="auto"/>
            <w:vAlign w:val="bottom"/>
            <w:hideMark/>
          </w:tcPr>
          <w:p w14:paraId="6962B09F"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6686</w:t>
            </w:r>
          </w:p>
        </w:tc>
      </w:tr>
    </w:tbl>
    <w:p w14:paraId="549682D9" w14:textId="77777777" w:rsidR="00D106C9" w:rsidRPr="00D106C9" w:rsidRDefault="00D106C9" w:rsidP="00D106C9">
      <w:pPr>
        <w:widowControl w:val="0"/>
        <w:suppressAutoHyphens w:val="0"/>
        <w:autoSpaceDE w:val="0"/>
        <w:autoSpaceDN w:val="0"/>
        <w:adjustRightInd w:val="0"/>
        <w:rPr>
          <w:lang w:eastAsia="es-ES"/>
        </w:rPr>
      </w:pPr>
      <w:r w:rsidRPr="00D106C9">
        <w:rPr>
          <w:b/>
          <w:bCs/>
          <w:lang w:eastAsia="es-ES"/>
        </w:rPr>
        <w:t xml:space="preserve"> Fuente:</w:t>
      </w:r>
      <w:r w:rsidRPr="00D106C9">
        <w:rPr>
          <w:lang w:eastAsia="es-ES"/>
        </w:rPr>
        <w:t xml:space="preserve"> Sistema PAO con corte al 19 de enero del 2022.</w:t>
      </w:r>
    </w:p>
    <w:p w14:paraId="2D26A0D7" w14:textId="77777777" w:rsidR="00D106C9" w:rsidRPr="00D106C9" w:rsidRDefault="00D106C9" w:rsidP="00D106C9">
      <w:pPr>
        <w:widowControl w:val="0"/>
        <w:suppressAutoHyphens w:val="0"/>
        <w:autoSpaceDE w:val="0"/>
        <w:autoSpaceDN w:val="0"/>
        <w:adjustRightInd w:val="0"/>
        <w:rPr>
          <w:b/>
          <w:bCs/>
          <w:lang w:eastAsia="es-ES"/>
        </w:rPr>
      </w:pPr>
    </w:p>
    <w:p w14:paraId="3DF5220F" w14:textId="77777777" w:rsidR="00D106C9" w:rsidRPr="00D106C9" w:rsidRDefault="00D106C9" w:rsidP="00D106C9">
      <w:pPr>
        <w:widowControl w:val="0"/>
        <w:suppressAutoHyphens w:val="0"/>
        <w:autoSpaceDE w:val="0"/>
        <w:autoSpaceDN w:val="0"/>
        <w:adjustRightInd w:val="0"/>
        <w:rPr>
          <w:b/>
          <w:bCs/>
          <w:lang w:eastAsia="es-ES"/>
        </w:rPr>
      </w:pPr>
    </w:p>
    <w:p w14:paraId="00287E02" w14:textId="77777777" w:rsidR="00D106C9" w:rsidRPr="00D106C9" w:rsidRDefault="00D106C9" w:rsidP="00D106C9">
      <w:pPr>
        <w:widowControl w:val="0"/>
        <w:suppressAutoHyphens w:val="0"/>
        <w:autoSpaceDE w:val="0"/>
        <w:autoSpaceDN w:val="0"/>
        <w:adjustRightInd w:val="0"/>
        <w:rPr>
          <w:b/>
          <w:bCs/>
          <w:lang w:eastAsia="es-ES"/>
        </w:rPr>
      </w:pPr>
    </w:p>
    <w:p w14:paraId="2C76BD10"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De los 56 Centros de Responsabilidad que compone la estructura institucional, se procede a distribuirlos según cumplimiento de cada meta operativa, según se estableció en el apartado número 8 </w:t>
      </w:r>
      <w:r w:rsidRPr="00D106C9">
        <w:rPr>
          <w:b/>
          <w:bCs/>
          <w:i/>
          <w:iCs/>
          <w:lang w:eastAsia="es-ES"/>
        </w:rPr>
        <w:t>Cuadro 2 Parámetro de cumplimento para las metas operativas PAO</w:t>
      </w:r>
      <w:r w:rsidRPr="00D106C9">
        <w:rPr>
          <w:b/>
          <w:bCs/>
          <w:lang w:eastAsia="es-ES"/>
        </w:rPr>
        <w:t>, por lo anterior se puede indicar lo siguiente:</w:t>
      </w:r>
    </w:p>
    <w:p w14:paraId="623FDA5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6A8276D" w14:textId="77777777" w:rsidR="00D106C9" w:rsidRPr="00D106C9" w:rsidRDefault="00D106C9" w:rsidP="003B2E9B">
      <w:pPr>
        <w:widowControl w:val="0"/>
        <w:numPr>
          <w:ilvl w:val="0"/>
          <w:numId w:val="59"/>
        </w:numPr>
        <w:tabs>
          <w:tab w:val="left" w:pos="993"/>
          <w:tab w:val="left" w:pos="1560"/>
        </w:tabs>
        <w:suppressAutoHyphens w:val="0"/>
        <w:autoSpaceDE w:val="0"/>
        <w:autoSpaceDN w:val="0"/>
        <w:adjustRightInd w:val="0"/>
        <w:ind w:left="851" w:right="851" w:firstLine="709"/>
        <w:contextualSpacing/>
        <w:jc w:val="both"/>
        <w:rPr>
          <w:lang w:eastAsia="es-ES"/>
        </w:rPr>
      </w:pPr>
      <w:r w:rsidRPr="00D106C9">
        <w:rPr>
          <w:lang w:eastAsia="es-ES"/>
        </w:rPr>
        <w:t>Se tiene un primer bloque de 53 Centros (equivalente a un 95% del total) con porcentajes de cumplimiento alto mayor o igual a un 90%, lo cual evidencia una atención y actualización oportuna para lograr alcanzar las metas programadas, así como una buena gestión como Centro de Responsabilidad en coadyuvar y supervisar a las oficinas que los integran para realizar el registro óptimo de avances y cumplimiento de las metas.</w:t>
      </w:r>
    </w:p>
    <w:p w14:paraId="3BFD690C" w14:textId="77777777" w:rsidR="00D106C9" w:rsidRPr="00D106C9" w:rsidRDefault="00D106C9" w:rsidP="00D106C9">
      <w:pPr>
        <w:tabs>
          <w:tab w:val="left" w:pos="993"/>
          <w:tab w:val="left" w:pos="1560"/>
        </w:tabs>
        <w:suppressAutoHyphens w:val="0"/>
        <w:ind w:left="851" w:right="851" w:firstLine="709"/>
        <w:jc w:val="both"/>
        <w:rPr>
          <w:lang w:eastAsia="es-ES"/>
        </w:rPr>
      </w:pPr>
    </w:p>
    <w:p w14:paraId="03B3D325" w14:textId="77777777" w:rsidR="00D106C9" w:rsidRPr="00D106C9" w:rsidRDefault="00D106C9" w:rsidP="003B2E9B">
      <w:pPr>
        <w:widowControl w:val="0"/>
        <w:numPr>
          <w:ilvl w:val="0"/>
          <w:numId w:val="59"/>
        </w:numPr>
        <w:tabs>
          <w:tab w:val="left" w:pos="993"/>
          <w:tab w:val="left" w:pos="1560"/>
        </w:tabs>
        <w:suppressAutoHyphens w:val="0"/>
        <w:autoSpaceDE w:val="0"/>
        <w:autoSpaceDN w:val="0"/>
        <w:adjustRightInd w:val="0"/>
        <w:ind w:left="851" w:right="851" w:firstLine="709"/>
        <w:contextualSpacing/>
        <w:jc w:val="both"/>
        <w:rPr>
          <w:lang w:eastAsia="es-ES"/>
        </w:rPr>
      </w:pPr>
      <w:r w:rsidRPr="00D106C9">
        <w:rPr>
          <w:lang w:eastAsia="es-ES"/>
        </w:rPr>
        <w:t xml:space="preserve">Por su parte, hay un bloque de cumplimiento medio compuesto por 3 Centros de Responsabilidad (que equivale a un 5% del total de Centros) que tienen un rango de cumplimiento menor o igual a 89,99% o igual a 50,00%, es decir, fueron pocos los Centro de Responsabilidad que no reportaron un cumplimento alto. </w:t>
      </w:r>
    </w:p>
    <w:p w14:paraId="24B7E77E" w14:textId="77777777" w:rsidR="00D106C9" w:rsidRPr="00D106C9" w:rsidRDefault="00D106C9" w:rsidP="00D106C9">
      <w:pPr>
        <w:suppressAutoHyphens w:val="0"/>
        <w:ind w:left="851" w:right="851" w:firstLine="709"/>
        <w:rPr>
          <w:lang w:eastAsia="es-ES"/>
        </w:rPr>
      </w:pPr>
    </w:p>
    <w:p w14:paraId="3E389754" w14:textId="77777777" w:rsidR="00D106C9" w:rsidRPr="00D106C9" w:rsidRDefault="00D106C9" w:rsidP="003B2E9B">
      <w:pPr>
        <w:widowControl w:val="0"/>
        <w:numPr>
          <w:ilvl w:val="0"/>
          <w:numId w:val="59"/>
        </w:numPr>
        <w:tabs>
          <w:tab w:val="left" w:pos="993"/>
          <w:tab w:val="left" w:pos="1560"/>
        </w:tabs>
        <w:suppressAutoHyphens w:val="0"/>
        <w:autoSpaceDE w:val="0"/>
        <w:autoSpaceDN w:val="0"/>
        <w:adjustRightInd w:val="0"/>
        <w:ind w:left="851" w:right="851" w:firstLine="709"/>
        <w:contextualSpacing/>
        <w:jc w:val="both"/>
        <w:rPr>
          <w:lang w:eastAsia="es-ES"/>
        </w:rPr>
      </w:pPr>
      <w:r w:rsidRPr="00D106C9">
        <w:rPr>
          <w:lang w:eastAsia="es-ES"/>
        </w:rPr>
        <w:t>Para el bloque de cumplimento bajo no se registraron Centros de Responsabilidad con un cumplimiento menor o igual a un 49,99%. Sin embargo, si es importante que los Centros revisen las metas formuladas y las metas con avance porque al encontrarse una diferencia representaría que existieron metas que no se les realizaron ningún registro de avance y quedaron como no iniciadas.</w:t>
      </w:r>
    </w:p>
    <w:p w14:paraId="1C12411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0357E574" w14:textId="77777777" w:rsidR="00D106C9" w:rsidRPr="00D106C9" w:rsidRDefault="00D106C9" w:rsidP="00D106C9">
      <w:pPr>
        <w:widowControl w:val="0"/>
        <w:suppressAutoHyphens w:val="0"/>
        <w:autoSpaceDE w:val="0"/>
        <w:autoSpaceDN w:val="0"/>
        <w:adjustRightInd w:val="0"/>
        <w:ind w:left="851" w:right="851" w:firstLine="709"/>
        <w:jc w:val="both"/>
        <w:rPr>
          <w:u w:val="single"/>
          <w:lang w:eastAsia="es-ES"/>
        </w:rPr>
      </w:pPr>
      <w:r w:rsidRPr="00D106C9">
        <w:rPr>
          <w:shd w:val="clear" w:color="auto" w:fill="FFFFFF"/>
          <w:lang w:eastAsia="es-ES"/>
        </w:rPr>
        <w:t>Resulta relevante señalar que hay Centros de Responsabilidad</w:t>
      </w:r>
      <w:r w:rsidRPr="00D106C9">
        <w:rPr>
          <w:lang w:eastAsia="es-ES"/>
        </w:rPr>
        <w:t xml:space="preserve"> que no poseen una coordinación o persona responsable directa o que responda por todo el Centro, sino que son agrupaciones de oficinas relacionadas entre sí y que, por lo tanto, no hay un responsable general del estado de todas las oficinas que </w:t>
      </w:r>
      <w:r w:rsidRPr="00D106C9">
        <w:rPr>
          <w:lang w:eastAsia="es-ES"/>
        </w:rPr>
        <w:lastRenderedPageBreak/>
        <w:t>integran ese Centro, como es el caso de las Comisiones Institucionales y las Salas.</w:t>
      </w:r>
    </w:p>
    <w:p w14:paraId="5E0A3B4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991E09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Ahora bien, se presenta otra situación que es cuando un Centro de Responsabilidad está integrado únicamente por una oficina, como es el caso del Centro Electrónico de Información Jurisprudencial, Centro de Gestión de la Calidad, Secretaría de la Corte, entre otros. </w:t>
      </w:r>
    </w:p>
    <w:p w14:paraId="7C622F6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DC2BE1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3027F0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Por ejemplo, el Departamento de Trabajo Social tiene 25 oficinas adscritas como Centro de Responsabilidad, mientras que el Centro de Gestión de la Calidad solamente tiene una oficina, por lo que el cumplimiento en un Centro con mayor cantidad de oficinas queda distribuido, a diferencia de un Centro único.  </w:t>
      </w:r>
    </w:p>
    <w:p w14:paraId="61D0C64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2153603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A raíz de la necesidad de realizar mejores y más constantes seguimientos por parte de los Centros de Responsabilidad, se desarrolló una mejora en el Sistema PAO para que los encargados de Centros de Responsabilidad pueden revisar los documentos y la evidencias que las oficinas suben como justificación del avance de las metas PAO. Esos perfiles pueden ver los documentos solo de las oficinas que pertenecen a su propio Centro de Responsabilidad. </w:t>
      </w:r>
    </w:p>
    <w:p w14:paraId="16A00B2F"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14D9C9B1"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6</w:t>
      </w:r>
      <w:r w:rsidRPr="00D106C9">
        <w:rPr>
          <w:b/>
          <w:bCs/>
          <w:lang w:eastAsia="es-ES"/>
        </w:rPr>
        <w:fldChar w:fldCharType="end"/>
      </w:r>
    </w:p>
    <w:p w14:paraId="021B46F3"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Comparación de porcentaje de avances al Plan Anual Operativo por Centro de Responsabilidad</w:t>
      </w:r>
    </w:p>
    <w:p w14:paraId="6B7D7BDE" w14:textId="77777777" w:rsidR="00D106C9" w:rsidRPr="00D106C9" w:rsidRDefault="00D106C9" w:rsidP="00D106C9">
      <w:pPr>
        <w:widowControl w:val="0"/>
        <w:suppressAutoHyphens w:val="0"/>
        <w:autoSpaceDE w:val="0"/>
        <w:autoSpaceDN w:val="0"/>
        <w:adjustRightInd w:val="0"/>
        <w:jc w:val="center"/>
        <w:rPr>
          <w:lang w:eastAsia="es-ES"/>
        </w:rPr>
      </w:pPr>
      <w:r w:rsidRPr="00D106C9">
        <w:rPr>
          <w:b/>
          <w:lang w:eastAsia="es-ES"/>
        </w:rPr>
        <w:t>Evaluación del 2020 y Evaluación del 2021</w:t>
      </w:r>
    </w:p>
    <w:p w14:paraId="4805D834" w14:textId="77777777" w:rsidR="00D106C9" w:rsidRPr="00D106C9" w:rsidRDefault="00D106C9" w:rsidP="00D106C9">
      <w:pPr>
        <w:widowControl w:val="0"/>
        <w:suppressAutoHyphens w:val="0"/>
        <w:autoSpaceDE w:val="0"/>
        <w:autoSpaceDN w:val="0"/>
        <w:adjustRightInd w:val="0"/>
        <w:rPr>
          <w:lang w:eastAsia="es-ES"/>
        </w:rPr>
      </w:pPr>
    </w:p>
    <w:tbl>
      <w:tblPr>
        <w:tblW w:w="9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00"/>
        <w:gridCol w:w="3260"/>
        <w:gridCol w:w="1660"/>
        <w:gridCol w:w="1700"/>
        <w:gridCol w:w="1680"/>
      </w:tblGrid>
      <w:tr w:rsidR="00D106C9" w:rsidRPr="00D106C9" w14:paraId="24EA7EBA" w14:textId="77777777" w:rsidTr="006D7BCD">
        <w:trPr>
          <w:trHeight w:val="790"/>
        </w:trPr>
        <w:tc>
          <w:tcPr>
            <w:tcW w:w="1200" w:type="dxa"/>
            <w:shd w:val="clear" w:color="D3D3D3" w:fill="4F81BD"/>
            <w:vAlign w:val="center"/>
            <w:hideMark/>
          </w:tcPr>
          <w:p w14:paraId="23442AAB"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Código</w:t>
            </w:r>
          </w:p>
        </w:tc>
        <w:tc>
          <w:tcPr>
            <w:tcW w:w="3260" w:type="dxa"/>
            <w:shd w:val="clear" w:color="D3D3D3" w:fill="4F81BD"/>
            <w:vAlign w:val="center"/>
            <w:hideMark/>
          </w:tcPr>
          <w:p w14:paraId="0925AB8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Descripción</w:t>
            </w:r>
          </w:p>
        </w:tc>
        <w:tc>
          <w:tcPr>
            <w:tcW w:w="1660" w:type="dxa"/>
            <w:shd w:val="clear" w:color="D3D3D3" w:fill="4F81BD"/>
            <w:vAlign w:val="center"/>
            <w:hideMark/>
          </w:tcPr>
          <w:p w14:paraId="05331A5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 de cumplimiento 2020</w:t>
            </w:r>
          </w:p>
        </w:tc>
        <w:tc>
          <w:tcPr>
            <w:tcW w:w="1700" w:type="dxa"/>
            <w:shd w:val="clear" w:color="D3D3D3" w:fill="4F81BD"/>
            <w:vAlign w:val="center"/>
            <w:hideMark/>
          </w:tcPr>
          <w:p w14:paraId="148728F8"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 de cumplimiento 2021</w:t>
            </w:r>
          </w:p>
        </w:tc>
        <w:tc>
          <w:tcPr>
            <w:tcW w:w="1680" w:type="dxa"/>
            <w:shd w:val="clear" w:color="D3D3D3" w:fill="4F81BD"/>
            <w:vAlign w:val="center"/>
            <w:hideMark/>
          </w:tcPr>
          <w:p w14:paraId="203B7B00"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 de variación</w:t>
            </w:r>
          </w:p>
        </w:tc>
      </w:tr>
      <w:tr w:rsidR="00D106C9" w:rsidRPr="00D106C9" w14:paraId="59AAC064" w14:textId="77777777" w:rsidTr="006D7BCD">
        <w:trPr>
          <w:trHeight w:val="290"/>
        </w:trPr>
        <w:tc>
          <w:tcPr>
            <w:tcW w:w="1200" w:type="dxa"/>
            <w:shd w:val="clear" w:color="auto" w:fill="auto"/>
            <w:vAlign w:val="bottom"/>
            <w:hideMark/>
          </w:tcPr>
          <w:p w14:paraId="530C633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17</w:t>
            </w:r>
          </w:p>
        </w:tc>
        <w:tc>
          <w:tcPr>
            <w:tcW w:w="3260" w:type="dxa"/>
            <w:shd w:val="clear" w:color="auto" w:fill="auto"/>
            <w:vAlign w:val="bottom"/>
            <w:hideMark/>
          </w:tcPr>
          <w:p w14:paraId="1D47E17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Santa Cruz</w:t>
            </w:r>
          </w:p>
        </w:tc>
        <w:tc>
          <w:tcPr>
            <w:tcW w:w="1660" w:type="dxa"/>
            <w:shd w:val="clear" w:color="auto" w:fill="auto"/>
            <w:vAlign w:val="bottom"/>
            <w:hideMark/>
          </w:tcPr>
          <w:p w14:paraId="69A094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69,43%</w:t>
            </w:r>
          </w:p>
        </w:tc>
        <w:tc>
          <w:tcPr>
            <w:tcW w:w="1700" w:type="dxa"/>
            <w:shd w:val="clear" w:color="auto" w:fill="auto"/>
            <w:vAlign w:val="bottom"/>
            <w:hideMark/>
          </w:tcPr>
          <w:p w14:paraId="506AF4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91,75%</w:t>
            </w:r>
          </w:p>
        </w:tc>
        <w:tc>
          <w:tcPr>
            <w:tcW w:w="1680" w:type="dxa"/>
            <w:shd w:val="clear" w:color="auto" w:fill="auto"/>
            <w:vAlign w:val="bottom"/>
            <w:hideMark/>
          </w:tcPr>
          <w:p w14:paraId="322F3FA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22,32%</w:t>
            </w:r>
          </w:p>
        </w:tc>
      </w:tr>
      <w:tr w:rsidR="00D106C9" w:rsidRPr="00D106C9" w14:paraId="2D61C8FA" w14:textId="77777777" w:rsidTr="006D7BCD">
        <w:trPr>
          <w:trHeight w:val="290"/>
        </w:trPr>
        <w:tc>
          <w:tcPr>
            <w:tcW w:w="1200" w:type="dxa"/>
            <w:shd w:val="clear" w:color="auto" w:fill="auto"/>
            <w:vAlign w:val="bottom"/>
            <w:hideMark/>
          </w:tcPr>
          <w:p w14:paraId="06A38F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71</w:t>
            </w:r>
          </w:p>
        </w:tc>
        <w:tc>
          <w:tcPr>
            <w:tcW w:w="3260" w:type="dxa"/>
            <w:shd w:val="clear" w:color="auto" w:fill="auto"/>
            <w:vAlign w:val="bottom"/>
            <w:hideMark/>
          </w:tcPr>
          <w:p w14:paraId="4BC20CE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Unidad de Adiestramiento</w:t>
            </w:r>
          </w:p>
        </w:tc>
        <w:tc>
          <w:tcPr>
            <w:tcW w:w="1660" w:type="dxa"/>
            <w:shd w:val="clear" w:color="auto" w:fill="auto"/>
            <w:vAlign w:val="bottom"/>
            <w:hideMark/>
          </w:tcPr>
          <w:p w14:paraId="6E76F9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84,00%</w:t>
            </w:r>
          </w:p>
        </w:tc>
        <w:tc>
          <w:tcPr>
            <w:tcW w:w="1700" w:type="dxa"/>
            <w:shd w:val="clear" w:color="auto" w:fill="auto"/>
            <w:vAlign w:val="bottom"/>
            <w:hideMark/>
          </w:tcPr>
          <w:p w14:paraId="654D903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6BA17DB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16,00%</w:t>
            </w:r>
          </w:p>
        </w:tc>
      </w:tr>
      <w:tr w:rsidR="00D106C9" w:rsidRPr="00D106C9" w14:paraId="5B153B8F" w14:textId="77777777" w:rsidTr="006D7BCD">
        <w:trPr>
          <w:trHeight w:val="580"/>
        </w:trPr>
        <w:tc>
          <w:tcPr>
            <w:tcW w:w="1200" w:type="dxa"/>
            <w:shd w:val="clear" w:color="auto" w:fill="auto"/>
            <w:vAlign w:val="bottom"/>
            <w:hideMark/>
          </w:tcPr>
          <w:p w14:paraId="1B67E87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20</w:t>
            </w:r>
          </w:p>
        </w:tc>
        <w:tc>
          <w:tcPr>
            <w:tcW w:w="3260" w:type="dxa"/>
            <w:shd w:val="clear" w:color="auto" w:fill="auto"/>
            <w:vAlign w:val="bottom"/>
            <w:hideMark/>
          </w:tcPr>
          <w:p w14:paraId="7C4E58F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Comisión Nacional Mejoramiento de Justicia</w:t>
            </w:r>
          </w:p>
        </w:tc>
        <w:tc>
          <w:tcPr>
            <w:tcW w:w="1660" w:type="dxa"/>
            <w:shd w:val="clear" w:color="auto" w:fill="auto"/>
            <w:vAlign w:val="bottom"/>
            <w:hideMark/>
          </w:tcPr>
          <w:p w14:paraId="64B9362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92,37%</w:t>
            </w:r>
          </w:p>
        </w:tc>
        <w:tc>
          <w:tcPr>
            <w:tcW w:w="1700" w:type="dxa"/>
            <w:shd w:val="clear" w:color="auto" w:fill="auto"/>
            <w:vAlign w:val="bottom"/>
            <w:hideMark/>
          </w:tcPr>
          <w:p w14:paraId="3060732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7F2F77D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7,63%</w:t>
            </w:r>
          </w:p>
        </w:tc>
      </w:tr>
      <w:tr w:rsidR="00D106C9" w:rsidRPr="00D106C9" w14:paraId="6EBE4AF3" w14:textId="77777777" w:rsidTr="006D7BCD">
        <w:trPr>
          <w:trHeight w:val="290"/>
        </w:trPr>
        <w:tc>
          <w:tcPr>
            <w:tcW w:w="1200" w:type="dxa"/>
            <w:shd w:val="clear" w:color="auto" w:fill="auto"/>
            <w:vAlign w:val="bottom"/>
            <w:hideMark/>
          </w:tcPr>
          <w:p w14:paraId="589ACFA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52</w:t>
            </w:r>
          </w:p>
        </w:tc>
        <w:tc>
          <w:tcPr>
            <w:tcW w:w="3260" w:type="dxa"/>
            <w:shd w:val="clear" w:color="auto" w:fill="auto"/>
            <w:vAlign w:val="bottom"/>
            <w:hideMark/>
          </w:tcPr>
          <w:p w14:paraId="461D8A1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Quepos</w:t>
            </w:r>
          </w:p>
        </w:tc>
        <w:tc>
          <w:tcPr>
            <w:tcW w:w="1660" w:type="dxa"/>
            <w:shd w:val="clear" w:color="auto" w:fill="auto"/>
            <w:vAlign w:val="bottom"/>
            <w:hideMark/>
          </w:tcPr>
          <w:p w14:paraId="764887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87,70%</w:t>
            </w:r>
          </w:p>
        </w:tc>
        <w:tc>
          <w:tcPr>
            <w:tcW w:w="1700" w:type="dxa"/>
            <w:shd w:val="clear" w:color="auto" w:fill="auto"/>
            <w:vAlign w:val="bottom"/>
            <w:hideMark/>
          </w:tcPr>
          <w:p w14:paraId="5776A0D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95,22%</w:t>
            </w:r>
          </w:p>
        </w:tc>
        <w:tc>
          <w:tcPr>
            <w:tcW w:w="1680" w:type="dxa"/>
            <w:shd w:val="clear" w:color="auto" w:fill="auto"/>
            <w:vAlign w:val="bottom"/>
            <w:hideMark/>
          </w:tcPr>
          <w:p w14:paraId="7D061E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7,52%</w:t>
            </w:r>
          </w:p>
        </w:tc>
      </w:tr>
      <w:tr w:rsidR="00D106C9" w:rsidRPr="00D106C9" w14:paraId="15C242D8" w14:textId="77777777" w:rsidTr="006D7BCD">
        <w:trPr>
          <w:trHeight w:val="290"/>
        </w:trPr>
        <w:tc>
          <w:tcPr>
            <w:tcW w:w="1200" w:type="dxa"/>
            <w:shd w:val="clear" w:color="auto" w:fill="auto"/>
            <w:vAlign w:val="bottom"/>
            <w:hideMark/>
          </w:tcPr>
          <w:p w14:paraId="154E35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w:t>
            </w:r>
          </w:p>
        </w:tc>
        <w:tc>
          <w:tcPr>
            <w:tcW w:w="3260" w:type="dxa"/>
            <w:shd w:val="clear" w:color="auto" w:fill="auto"/>
            <w:vAlign w:val="bottom"/>
            <w:hideMark/>
          </w:tcPr>
          <w:p w14:paraId="7463844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Circuito Judicial Puntarenas</w:t>
            </w:r>
          </w:p>
        </w:tc>
        <w:tc>
          <w:tcPr>
            <w:tcW w:w="1660" w:type="dxa"/>
            <w:shd w:val="clear" w:color="auto" w:fill="auto"/>
            <w:vAlign w:val="bottom"/>
            <w:hideMark/>
          </w:tcPr>
          <w:p w14:paraId="28D5E1F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88,93%</w:t>
            </w:r>
          </w:p>
        </w:tc>
        <w:tc>
          <w:tcPr>
            <w:tcW w:w="1700" w:type="dxa"/>
            <w:shd w:val="clear" w:color="auto" w:fill="auto"/>
            <w:vAlign w:val="bottom"/>
            <w:hideMark/>
          </w:tcPr>
          <w:p w14:paraId="304BBD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94,11%</w:t>
            </w:r>
          </w:p>
        </w:tc>
        <w:tc>
          <w:tcPr>
            <w:tcW w:w="1680" w:type="dxa"/>
            <w:shd w:val="clear" w:color="auto" w:fill="auto"/>
            <w:vAlign w:val="bottom"/>
            <w:hideMark/>
          </w:tcPr>
          <w:p w14:paraId="64B52E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5,18%</w:t>
            </w:r>
          </w:p>
        </w:tc>
      </w:tr>
      <w:tr w:rsidR="00D106C9" w:rsidRPr="00D106C9" w14:paraId="282154AA" w14:textId="77777777" w:rsidTr="006D7BCD">
        <w:trPr>
          <w:trHeight w:val="580"/>
        </w:trPr>
        <w:tc>
          <w:tcPr>
            <w:tcW w:w="1200" w:type="dxa"/>
            <w:shd w:val="clear" w:color="auto" w:fill="auto"/>
            <w:vAlign w:val="bottom"/>
            <w:hideMark/>
          </w:tcPr>
          <w:p w14:paraId="588B23F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37</w:t>
            </w:r>
          </w:p>
        </w:tc>
        <w:tc>
          <w:tcPr>
            <w:tcW w:w="3260" w:type="dxa"/>
            <w:shd w:val="clear" w:color="auto" w:fill="auto"/>
            <w:vAlign w:val="bottom"/>
            <w:hideMark/>
          </w:tcPr>
          <w:p w14:paraId="6CF0CB1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de Conciliación del Poder Judicial</w:t>
            </w:r>
          </w:p>
        </w:tc>
        <w:tc>
          <w:tcPr>
            <w:tcW w:w="1660" w:type="dxa"/>
            <w:shd w:val="clear" w:color="auto" w:fill="auto"/>
            <w:vAlign w:val="bottom"/>
            <w:hideMark/>
          </w:tcPr>
          <w:p w14:paraId="6CAB5E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88,95%</w:t>
            </w:r>
          </w:p>
        </w:tc>
        <w:tc>
          <w:tcPr>
            <w:tcW w:w="1700" w:type="dxa"/>
            <w:shd w:val="clear" w:color="auto" w:fill="auto"/>
            <w:vAlign w:val="bottom"/>
            <w:hideMark/>
          </w:tcPr>
          <w:p w14:paraId="056018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94,00%</w:t>
            </w:r>
          </w:p>
        </w:tc>
        <w:tc>
          <w:tcPr>
            <w:tcW w:w="1680" w:type="dxa"/>
            <w:shd w:val="clear" w:color="auto" w:fill="auto"/>
            <w:vAlign w:val="bottom"/>
            <w:hideMark/>
          </w:tcPr>
          <w:p w14:paraId="529B3A8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5,05%</w:t>
            </w:r>
          </w:p>
        </w:tc>
      </w:tr>
      <w:tr w:rsidR="00D106C9" w:rsidRPr="00D106C9" w14:paraId="02DE7C95" w14:textId="77777777" w:rsidTr="006D7BCD">
        <w:trPr>
          <w:trHeight w:val="290"/>
        </w:trPr>
        <w:tc>
          <w:tcPr>
            <w:tcW w:w="1200" w:type="dxa"/>
            <w:shd w:val="clear" w:color="auto" w:fill="auto"/>
            <w:vAlign w:val="bottom"/>
            <w:hideMark/>
          </w:tcPr>
          <w:p w14:paraId="21B9CEC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22</w:t>
            </w:r>
          </w:p>
        </w:tc>
        <w:tc>
          <w:tcPr>
            <w:tcW w:w="3260" w:type="dxa"/>
            <w:shd w:val="clear" w:color="auto" w:fill="auto"/>
            <w:vAlign w:val="bottom"/>
            <w:hideMark/>
          </w:tcPr>
          <w:p w14:paraId="703DA98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Escuela Judicial</w:t>
            </w:r>
          </w:p>
        </w:tc>
        <w:tc>
          <w:tcPr>
            <w:tcW w:w="1660" w:type="dxa"/>
            <w:shd w:val="clear" w:color="auto" w:fill="auto"/>
            <w:vAlign w:val="bottom"/>
            <w:hideMark/>
          </w:tcPr>
          <w:p w14:paraId="089CF9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95,50%</w:t>
            </w:r>
          </w:p>
        </w:tc>
        <w:tc>
          <w:tcPr>
            <w:tcW w:w="1700" w:type="dxa"/>
            <w:shd w:val="clear" w:color="auto" w:fill="auto"/>
            <w:vAlign w:val="bottom"/>
            <w:hideMark/>
          </w:tcPr>
          <w:p w14:paraId="092C01B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784B7BE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4,50%</w:t>
            </w:r>
          </w:p>
        </w:tc>
      </w:tr>
      <w:tr w:rsidR="00D106C9" w:rsidRPr="00D106C9" w14:paraId="726622FA" w14:textId="77777777" w:rsidTr="006D7BCD">
        <w:trPr>
          <w:trHeight w:val="580"/>
        </w:trPr>
        <w:tc>
          <w:tcPr>
            <w:tcW w:w="1200" w:type="dxa"/>
            <w:shd w:val="clear" w:color="auto" w:fill="auto"/>
            <w:vAlign w:val="bottom"/>
            <w:hideMark/>
          </w:tcPr>
          <w:p w14:paraId="2C5E24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63</w:t>
            </w:r>
          </w:p>
        </w:tc>
        <w:tc>
          <w:tcPr>
            <w:tcW w:w="3260" w:type="dxa"/>
            <w:shd w:val="clear" w:color="auto" w:fill="auto"/>
            <w:vAlign w:val="bottom"/>
            <w:hideMark/>
          </w:tcPr>
          <w:p w14:paraId="32A1164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Departamento de Prensa y Comunicación Organizacional</w:t>
            </w:r>
          </w:p>
        </w:tc>
        <w:tc>
          <w:tcPr>
            <w:tcW w:w="1660" w:type="dxa"/>
            <w:shd w:val="clear" w:color="auto" w:fill="auto"/>
            <w:vAlign w:val="bottom"/>
            <w:hideMark/>
          </w:tcPr>
          <w:p w14:paraId="68E04B4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94,17%</w:t>
            </w:r>
          </w:p>
        </w:tc>
        <w:tc>
          <w:tcPr>
            <w:tcW w:w="1700" w:type="dxa"/>
            <w:shd w:val="clear" w:color="auto" w:fill="auto"/>
            <w:vAlign w:val="bottom"/>
            <w:hideMark/>
          </w:tcPr>
          <w:p w14:paraId="7FB5BAE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98,61%</w:t>
            </w:r>
          </w:p>
        </w:tc>
        <w:tc>
          <w:tcPr>
            <w:tcW w:w="1680" w:type="dxa"/>
            <w:shd w:val="clear" w:color="auto" w:fill="auto"/>
            <w:vAlign w:val="bottom"/>
            <w:hideMark/>
          </w:tcPr>
          <w:p w14:paraId="79D16D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4,44%</w:t>
            </w:r>
          </w:p>
        </w:tc>
      </w:tr>
      <w:tr w:rsidR="00D106C9" w:rsidRPr="00D106C9" w14:paraId="3ED8AE49" w14:textId="77777777" w:rsidTr="006D7BCD">
        <w:trPr>
          <w:trHeight w:val="580"/>
        </w:trPr>
        <w:tc>
          <w:tcPr>
            <w:tcW w:w="1200" w:type="dxa"/>
            <w:shd w:val="clear" w:color="auto" w:fill="auto"/>
            <w:vAlign w:val="bottom"/>
            <w:hideMark/>
          </w:tcPr>
          <w:p w14:paraId="5358CB0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54</w:t>
            </w:r>
          </w:p>
        </w:tc>
        <w:tc>
          <w:tcPr>
            <w:tcW w:w="3260" w:type="dxa"/>
            <w:shd w:val="clear" w:color="auto" w:fill="auto"/>
            <w:vAlign w:val="bottom"/>
            <w:hideMark/>
          </w:tcPr>
          <w:p w14:paraId="1071AF4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Departamento de Trabajo Social y Psicología</w:t>
            </w:r>
          </w:p>
        </w:tc>
        <w:tc>
          <w:tcPr>
            <w:tcW w:w="1660" w:type="dxa"/>
            <w:shd w:val="clear" w:color="auto" w:fill="auto"/>
            <w:vAlign w:val="bottom"/>
            <w:hideMark/>
          </w:tcPr>
          <w:p w14:paraId="745DE1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95,95%</w:t>
            </w:r>
          </w:p>
        </w:tc>
        <w:tc>
          <w:tcPr>
            <w:tcW w:w="1700" w:type="dxa"/>
            <w:shd w:val="clear" w:color="auto" w:fill="auto"/>
            <w:vAlign w:val="bottom"/>
            <w:hideMark/>
          </w:tcPr>
          <w:p w14:paraId="50955A6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99,06%</w:t>
            </w:r>
          </w:p>
        </w:tc>
        <w:tc>
          <w:tcPr>
            <w:tcW w:w="1680" w:type="dxa"/>
            <w:shd w:val="clear" w:color="auto" w:fill="auto"/>
            <w:vAlign w:val="bottom"/>
            <w:hideMark/>
          </w:tcPr>
          <w:p w14:paraId="0CB961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3,11%</w:t>
            </w:r>
          </w:p>
        </w:tc>
      </w:tr>
      <w:tr w:rsidR="00D106C9" w:rsidRPr="00D106C9" w14:paraId="3CF5B7C4" w14:textId="77777777" w:rsidTr="006D7BCD">
        <w:trPr>
          <w:trHeight w:val="290"/>
        </w:trPr>
        <w:tc>
          <w:tcPr>
            <w:tcW w:w="1200" w:type="dxa"/>
            <w:shd w:val="clear" w:color="auto" w:fill="auto"/>
            <w:vAlign w:val="bottom"/>
            <w:hideMark/>
          </w:tcPr>
          <w:p w14:paraId="19A2F2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53</w:t>
            </w:r>
          </w:p>
        </w:tc>
        <w:tc>
          <w:tcPr>
            <w:tcW w:w="3260" w:type="dxa"/>
            <w:shd w:val="clear" w:color="auto" w:fill="auto"/>
            <w:vAlign w:val="bottom"/>
            <w:hideMark/>
          </w:tcPr>
          <w:p w14:paraId="1B353369"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Comisiones Institucionales</w:t>
            </w:r>
          </w:p>
        </w:tc>
        <w:tc>
          <w:tcPr>
            <w:tcW w:w="1660" w:type="dxa"/>
            <w:shd w:val="clear" w:color="auto" w:fill="auto"/>
            <w:vAlign w:val="bottom"/>
            <w:hideMark/>
          </w:tcPr>
          <w:p w14:paraId="6301FDA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93,21%</w:t>
            </w:r>
          </w:p>
        </w:tc>
        <w:tc>
          <w:tcPr>
            <w:tcW w:w="1700" w:type="dxa"/>
            <w:shd w:val="clear" w:color="auto" w:fill="auto"/>
            <w:vAlign w:val="bottom"/>
            <w:hideMark/>
          </w:tcPr>
          <w:p w14:paraId="5E6D374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95,71%</w:t>
            </w:r>
          </w:p>
        </w:tc>
        <w:tc>
          <w:tcPr>
            <w:tcW w:w="1680" w:type="dxa"/>
            <w:shd w:val="clear" w:color="auto" w:fill="auto"/>
            <w:vAlign w:val="bottom"/>
            <w:hideMark/>
          </w:tcPr>
          <w:p w14:paraId="1EEE747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2,50%</w:t>
            </w:r>
          </w:p>
        </w:tc>
      </w:tr>
      <w:tr w:rsidR="00D106C9" w:rsidRPr="00D106C9" w14:paraId="5251FCBE" w14:textId="77777777" w:rsidTr="006D7BCD">
        <w:trPr>
          <w:trHeight w:val="290"/>
        </w:trPr>
        <w:tc>
          <w:tcPr>
            <w:tcW w:w="1200" w:type="dxa"/>
            <w:shd w:val="clear" w:color="auto" w:fill="auto"/>
            <w:vAlign w:val="bottom"/>
            <w:hideMark/>
          </w:tcPr>
          <w:p w14:paraId="3997B4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24</w:t>
            </w:r>
          </w:p>
        </w:tc>
        <w:tc>
          <w:tcPr>
            <w:tcW w:w="3260" w:type="dxa"/>
            <w:shd w:val="clear" w:color="auto" w:fill="auto"/>
            <w:vAlign w:val="bottom"/>
            <w:hideMark/>
          </w:tcPr>
          <w:p w14:paraId="0BE89B6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Ministerio Público</w:t>
            </w:r>
          </w:p>
        </w:tc>
        <w:tc>
          <w:tcPr>
            <w:tcW w:w="1660" w:type="dxa"/>
            <w:shd w:val="clear" w:color="auto" w:fill="auto"/>
            <w:vAlign w:val="bottom"/>
            <w:hideMark/>
          </w:tcPr>
          <w:p w14:paraId="759EDC4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95,95%</w:t>
            </w:r>
          </w:p>
        </w:tc>
        <w:tc>
          <w:tcPr>
            <w:tcW w:w="1700" w:type="dxa"/>
            <w:shd w:val="clear" w:color="auto" w:fill="auto"/>
            <w:vAlign w:val="bottom"/>
            <w:hideMark/>
          </w:tcPr>
          <w:p w14:paraId="6A75F83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98,33%</w:t>
            </w:r>
          </w:p>
        </w:tc>
        <w:tc>
          <w:tcPr>
            <w:tcW w:w="1680" w:type="dxa"/>
            <w:shd w:val="clear" w:color="auto" w:fill="auto"/>
            <w:vAlign w:val="bottom"/>
            <w:hideMark/>
          </w:tcPr>
          <w:p w14:paraId="4AC0679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2,38%</w:t>
            </w:r>
          </w:p>
        </w:tc>
      </w:tr>
      <w:tr w:rsidR="00D106C9" w:rsidRPr="00D106C9" w14:paraId="7B04767E" w14:textId="77777777" w:rsidTr="006D7BCD">
        <w:trPr>
          <w:trHeight w:val="580"/>
        </w:trPr>
        <w:tc>
          <w:tcPr>
            <w:tcW w:w="1200" w:type="dxa"/>
            <w:shd w:val="clear" w:color="auto" w:fill="auto"/>
            <w:vAlign w:val="bottom"/>
            <w:hideMark/>
          </w:tcPr>
          <w:p w14:paraId="2E59E1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w:t>
            </w:r>
          </w:p>
        </w:tc>
        <w:tc>
          <w:tcPr>
            <w:tcW w:w="3260" w:type="dxa"/>
            <w:shd w:val="clear" w:color="auto" w:fill="auto"/>
            <w:vAlign w:val="bottom"/>
            <w:hideMark/>
          </w:tcPr>
          <w:p w14:paraId="4929518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Guanacaste</w:t>
            </w:r>
          </w:p>
        </w:tc>
        <w:tc>
          <w:tcPr>
            <w:tcW w:w="1660" w:type="dxa"/>
            <w:shd w:val="clear" w:color="auto" w:fill="auto"/>
            <w:vAlign w:val="bottom"/>
            <w:hideMark/>
          </w:tcPr>
          <w:p w14:paraId="512AC1A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92,98%</w:t>
            </w:r>
          </w:p>
        </w:tc>
        <w:tc>
          <w:tcPr>
            <w:tcW w:w="1700" w:type="dxa"/>
            <w:shd w:val="clear" w:color="auto" w:fill="auto"/>
            <w:vAlign w:val="bottom"/>
            <w:hideMark/>
          </w:tcPr>
          <w:p w14:paraId="7054E4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95,05%</w:t>
            </w:r>
          </w:p>
        </w:tc>
        <w:tc>
          <w:tcPr>
            <w:tcW w:w="1680" w:type="dxa"/>
            <w:shd w:val="clear" w:color="auto" w:fill="auto"/>
            <w:vAlign w:val="bottom"/>
            <w:hideMark/>
          </w:tcPr>
          <w:p w14:paraId="03DAC6A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2,07%</w:t>
            </w:r>
          </w:p>
        </w:tc>
      </w:tr>
      <w:tr w:rsidR="00D106C9" w:rsidRPr="00D106C9" w14:paraId="178CFD70" w14:textId="77777777" w:rsidTr="006D7BCD">
        <w:trPr>
          <w:trHeight w:val="580"/>
        </w:trPr>
        <w:tc>
          <w:tcPr>
            <w:tcW w:w="1200" w:type="dxa"/>
            <w:shd w:val="clear" w:color="auto" w:fill="auto"/>
            <w:vAlign w:val="bottom"/>
            <w:hideMark/>
          </w:tcPr>
          <w:p w14:paraId="7542C0F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w:t>
            </w:r>
          </w:p>
        </w:tc>
        <w:tc>
          <w:tcPr>
            <w:tcW w:w="3260" w:type="dxa"/>
            <w:shd w:val="clear" w:color="auto" w:fill="auto"/>
            <w:vAlign w:val="bottom"/>
            <w:hideMark/>
          </w:tcPr>
          <w:p w14:paraId="1CF109D0"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Zona Atlántica</w:t>
            </w:r>
          </w:p>
        </w:tc>
        <w:tc>
          <w:tcPr>
            <w:tcW w:w="1660" w:type="dxa"/>
            <w:shd w:val="clear" w:color="auto" w:fill="auto"/>
            <w:vAlign w:val="bottom"/>
            <w:hideMark/>
          </w:tcPr>
          <w:p w14:paraId="66123AD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91,09%</w:t>
            </w:r>
          </w:p>
        </w:tc>
        <w:tc>
          <w:tcPr>
            <w:tcW w:w="1700" w:type="dxa"/>
            <w:shd w:val="clear" w:color="auto" w:fill="auto"/>
            <w:vAlign w:val="bottom"/>
            <w:hideMark/>
          </w:tcPr>
          <w:p w14:paraId="64673D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92,36%</w:t>
            </w:r>
          </w:p>
        </w:tc>
        <w:tc>
          <w:tcPr>
            <w:tcW w:w="1680" w:type="dxa"/>
            <w:shd w:val="clear" w:color="auto" w:fill="auto"/>
            <w:vAlign w:val="bottom"/>
            <w:hideMark/>
          </w:tcPr>
          <w:p w14:paraId="67C1F9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1,27%</w:t>
            </w:r>
          </w:p>
        </w:tc>
      </w:tr>
      <w:tr w:rsidR="00D106C9" w:rsidRPr="00D106C9" w14:paraId="2D50AE16" w14:textId="77777777" w:rsidTr="006D7BCD">
        <w:trPr>
          <w:trHeight w:val="580"/>
        </w:trPr>
        <w:tc>
          <w:tcPr>
            <w:tcW w:w="1200" w:type="dxa"/>
            <w:shd w:val="clear" w:color="auto" w:fill="auto"/>
            <w:vAlign w:val="bottom"/>
            <w:hideMark/>
          </w:tcPr>
          <w:p w14:paraId="16E381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16</w:t>
            </w:r>
          </w:p>
        </w:tc>
        <w:tc>
          <w:tcPr>
            <w:tcW w:w="3260" w:type="dxa"/>
            <w:shd w:val="clear" w:color="auto" w:fill="auto"/>
            <w:vAlign w:val="bottom"/>
            <w:hideMark/>
          </w:tcPr>
          <w:p w14:paraId="30DA1DD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Guanacaste</w:t>
            </w:r>
          </w:p>
        </w:tc>
        <w:tc>
          <w:tcPr>
            <w:tcW w:w="1660" w:type="dxa"/>
            <w:shd w:val="clear" w:color="auto" w:fill="auto"/>
            <w:vAlign w:val="bottom"/>
            <w:hideMark/>
          </w:tcPr>
          <w:p w14:paraId="3AB6DC2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91,21%</w:t>
            </w:r>
          </w:p>
        </w:tc>
        <w:tc>
          <w:tcPr>
            <w:tcW w:w="1700" w:type="dxa"/>
            <w:shd w:val="clear" w:color="auto" w:fill="auto"/>
            <w:vAlign w:val="bottom"/>
            <w:hideMark/>
          </w:tcPr>
          <w:p w14:paraId="142990D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92,24%</w:t>
            </w:r>
          </w:p>
        </w:tc>
        <w:tc>
          <w:tcPr>
            <w:tcW w:w="1680" w:type="dxa"/>
            <w:shd w:val="clear" w:color="auto" w:fill="auto"/>
            <w:vAlign w:val="bottom"/>
            <w:hideMark/>
          </w:tcPr>
          <w:p w14:paraId="19A6C1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1,03%</w:t>
            </w:r>
          </w:p>
        </w:tc>
      </w:tr>
      <w:tr w:rsidR="00D106C9" w:rsidRPr="00D106C9" w14:paraId="7DB31A71" w14:textId="77777777" w:rsidTr="006D7BCD">
        <w:trPr>
          <w:trHeight w:val="580"/>
        </w:trPr>
        <w:tc>
          <w:tcPr>
            <w:tcW w:w="1200" w:type="dxa"/>
            <w:shd w:val="clear" w:color="auto" w:fill="auto"/>
            <w:vAlign w:val="bottom"/>
            <w:hideMark/>
          </w:tcPr>
          <w:p w14:paraId="0B3342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13</w:t>
            </w:r>
          </w:p>
        </w:tc>
        <w:tc>
          <w:tcPr>
            <w:tcW w:w="3260" w:type="dxa"/>
            <w:shd w:val="clear" w:color="auto" w:fill="auto"/>
            <w:vAlign w:val="bottom"/>
            <w:hideMark/>
          </w:tcPr>
          <w:p w14:paraId="4896B73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Alajuela</w:t>
            </w:r>
          </w:p>
        </w:tc>
        <w:tc>
          <w:tcPr>
            <w:tcW w:w="1660" w:type="dxa"/>
            <w:shd w:val="clear" w:color="auto" w:fill="auto"/>
            <w:vAlign w:val="bottom"/>
            <w:hideMark/>
          </w:tcPr>
          <w:p w14:paraId="5900C0A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91,67%</w:t>
            </w:r>
          </w:p>
        </w:tc>
        <w:tc>
          <w:tcPr>
            <w:tcW w:w="1700" w:type="dxa"/>
            <w:shd w:val="clear" w:color="auto" w:fill="auto"/>
            <w:vAlign w:val="bottom"/>
            <w:hideMark/>
          </w:tcPr>
          <w:p w14:paraId="0CEACB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92,34%</w:t>
            </w:r>
          </w:p>
        </w:tc>
        <w:tc>
          <w:tcPr>
            <w:tcW w:w="1680" w:type="dxa"/>
            <w:shd w:val="clear" w:color="auto" w:fill="auto"/>
            <w:vAlign w:val="bottom"/>
            <w:hideMark/>
          </w:tcPr>
          <w:p w14:paraId="267BFD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0,67%</w:t>
            </w:r>
          </w:p>
        </w:tc>
      </w:tr>
      <w:tr w:rsidR="00D106C9" w:rsidRPr="00D106C9" w14:paraId="4DA1D789" w14:textId="77777777" w:rsidTr="006D7BCD">
        <w:trPr>
          <w:trHeight w:val="580"/>
        </w:trPr>
        <w:tc>
          <w:tcPr>
            <w:tcW w:w="1200" w:type="dxa"/>
            <w:shd w:val="clear" w:color="auto" w:fill="auto"/>
            <w:vAlign w:val="bottom"/>
            <w:hideMark/>
          </w:tcPr>
          <w:p w14:paraId="5B0A5C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w:t>
            </w:r>
          </w:p>
        </w:tc>
        <w:tc>
          <w:tcPr>
            <w:tcW w:w="3260" w:type="dxa"/>
            <w:shd w:val="clear" w:color="auto" w:fill="auto"/>
            <w:vAlign w:val="bottom"/>
            <w:hideMark/>
          </w:tcPr>
          <w:p w14:paraId="3789D4A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San José</w:t>
            </w:r>
          </w:p>
        </w:tc>
        <w:tc>
          <w:tcPr>
            <w:tcW w:w="1660" w:type="dxa"/>
            <w:shd w:val="clear" w:color="auto" w:fill="auto"/>
            <w:vAlign w:val="bottom"/>
            <w:hideMark/>
          </w:tcPr>
          <w:p w14:paraId="3DAF4CC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91,44%</w:t>
            </w:r>
          </w:p>
        </w:tc>
        <w:tc>
          <w:tcPr>
            <w:tcW w:w="1700" w:type="dxa"/>
            <w:shd w:val="clear" w:color="auto" w:fill="auto"/>
            <w:vAlign w:val="bottom"/>
            <w:hideMark/>
          </w:tcPr>
          <w:p w14:paraId="092146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92,05%</w:t>
            </w:r>
          </w:p>
        </w:tc>
        <w:tc>
          <w:tcPr>
            <w:tcW w:w="1680" w:type="dxa"/>
            <w:shd w:val="clear" w:color="auto" w:fill="auto"/>
            <w:vAlign w:val="bottom"/>
            <w:hideMark/>
          </w:tcPr>
          <w:p w14:paraId="5CA554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0,61%</w:t>
            </w:r>
          </w:p>
        </w:tc>
      </w:tr>
      <w:tr w:rsidR="00D106C9" w:rsidRPr="00D106C9" w14:paraId="3C1FA972" w14:textId="77777777" w:rsidTr="006D7BCD">
        <w:trPr>
          <w:trHeight w:val="290"/>
        </w:trPr>
        <w:tc>
          <w:tcPr>
            <w:tcW w:w="1200" w:type="dxa"/>
            <w:shd w:val="clear" w:color="auto" w:fill="auto"/>
            <w:vAlign w:val="bottom"/>
            <w:hideMark/>
          </w:tcPr>
          <w:p w14:paraId="54D690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36</w:t>
            </w:r>
          </w:p>
        </w:tc>
        <w:tc>
          <w:tcPr>
            <w:tcW w:w="3260" w:type="dxa"/>
            <w:shd w:val="clear" w:color="auto" w:fill="auto"/>
            <w:vAlign w:val="bottom"/>
            <w:hideMark/>
          </w:tcPr>
          <w:p w14:paraId="4676BBD0"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Tercer Circuito Judicial San José</w:t>
            </w:r>
          </w:p>
        </w:tc>
        <w:tc>
          <w:tcPr>
            <w:tcW w:w="1660" w:type="dxa"/>
            <w:shd w:val="clear" w:color="auto" w:fill="auto"/>
            <w:vAlign w:val="bottom"/>
            <w:hideMark/>
          </w:tcPr>
          <w:p w14:paraId="5410002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93,82%</w:t>
            </w:r>
          </w:p>
        </w:tc>
        <w:tc>
          <w:tcPr>
            <w:tcW w:w="1700" w:type="dxa"/>
            <w:shd w:val="clear" w:color="auto" w:fill="auto"/>
            <w:vAlign w:val="bottom"/>
            <w:hideMark/>
          </w:tcPr>
          <w:p w14:paraId="04E330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94,42%</w:t>
            </w:r>
          </w:p>
        </w:tc>
        <w:tc>
          <w:tcPr>
            <w:tcW w:w="1680" w:type="dxa"/>
            <w:shd w:val="clear" w:color="auto" w:fill="auto"/>
            <w:vAlign w:val="bottom"/>
            <w:hideMark/>
          </w:tcPr>
          <w:p w14:paraId="1AD36D9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0,60%</w:t>
            </w:r>
          </w:p>
        </w:tc>
      </w:tr>
      <w:tr w:rsidR="00D106C9" w:rsidRPr="00D106C9" w14:paraId="6D7F399B" w14:textId="77777777" w:rsidTr="006D7BCD">
        <w:trPr>
          <w:trHeight w:val="290"/>
        </w:trPr>
        <w:tc>
          <w:tcPr>
            <w:tcW w:w="1200" w:type="dxa"/>
            <w:shd w:val="clear" w:color="auto" w:fill="auto"/>
            <w:vAlign w:val="bottom"/>
            <w:hideMark/>
          </w:tcPr>
          <w:p w14:paraId="25B45C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74</w:t>
            </w:r>
          </w:p>
        </w:tc>
        <w:tc>
          <w:tcPr>
            <w:tcW w:w="3260" w:type="dxa"/>
            <w:shd w:val="clear" w:color="auto" w:fill="auto"/>
            <w:vAlign w:val="bottom"/>
            <w:hideMark/>
          </w:tcPr>
          <w:p w14:paraId="1355E4A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Justicia Restaurativa</w:t>
            </w:r>
          </w:p>
        </w:tc>
        <w:tc>
          <w:tcPr>
            <w:tcW w:w="1660" w:type="dxa"/>
            <w:shd w:val="clear" w:color="auto" w:fill="auto"/>
            <w:vAlign w:val="bottom"/>
            <w:hideMark/>
          </w:tcPr>
          <w:p w14:paraId="61326E8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99,47%</w:t>
            </w:r>
          </w:p>
        </w:tc>
        <w:tc>
          <w:tcPr>
            <w:tcW w:w="1700" w:type="dxa"/>
            <w:shd w:val="clear" w:color="auto" w:fill="auto"/>
            <w:vAlign w:val="bottom"/>
            <w:hideMark/>
          </w:tcPr>
          <w:p w14:paraId="66C80F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24124F7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0,53%</w:t>
            </w:r>
          </w:p>
        </w:tc>
      </w:tr>
      <w:tr w:rsidR="00D106C9" w:rsidRPr="00D106C9" w14:paraId="15C89756" w14:textId="77777777" w:rsidTr="006D7BCD">
        <w:trPr>
          <w:trHeight w:val="290"/>
        </w:trPr>
        <w:tc>
          <w:tcPr>
            <w:tcW w:w="1200" w:type="dxa"/>
            <w:shd w:val="clear" w:color="auto" w:fill="auto"/>
            <w:vAlign w:val="bottom"/>
            <w:hideMark/>
          </w:tcPr>
          <w:p w14:paraId="44D1E4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67</w:t>
            </w:r>
          </w:p>
        </w:tc>
        <w:tc>
          <w:tcPr>
            <w:tcW w:w="3260" w:type="dxa"/>
            <w:shd w:val="clear" w:color="auto" w:fill="auto"/>
            <w:vAlign w:val="bottom"/>
            <w:hideMark/>
          </w:tcPr>
          <w:p w14:paraId="43267A3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de Gestión Humana</w:t>
            </w:r>
          </w:p>
        </w:tc>
        <w:tc>
          <w:tcPr>
            <w:tcW w:w="1660" w:type="dxa"/>
            <w:shd w:val="clear" w:color="auto" w:fill="auto"/>
            <w:vAlign w:val="bottom"/>
            <w:hideMark/>
          </w:tcPr>
          <w:p w14:paraId="362AC8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99,67%</w:t>
            </w:r>
          </w:p>
        </w:tc>
        <w:tc>
          <w:tcPr>
            <w:tcW w:w="1700" w:type="dxa"/>
            <w:shd w:val="clear" w:color="auto" w:fill="auto"/>
            <w:vAlign w:val="bottom"/>
            <w:hideMark/>
          </w:tcPr>
          <w:p w14:paraId="224F25E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99,97%</w:t>
            </w:r>
          </w:p>
        </w:tc>
        <w:tc>
          <w:tcPr>
            <w:tcW w:w="1680" w:type="dxa"/>
            <w:shd w:val="clear" w:color="auto" w:fill="auto"/>
            <w:vAlign w:val="bottom"/>
            <w:hideMark/>
          </w:tcPr>
          <w:p w14:paraId="516E76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0,30%</w:t>
            </w:r>
          </w:p>
        </w:tc>
      </w:tr>
      <w:tr w:rsidR="00D106C9" w:rsidRPr="00D106C9" w14:paraId="70B1E123" w14:textId="77777777" w:rsidTr="006D7BCD">
        <w:trPr>
          <w:trHeight w:val="290"/>
        </w:trPr>
        <w:tc>
          <w:tcPr>
            <w:tcW w:w="1200" w:type="dxa"/>
            <w:shd w:val="clear" w:color="auto" w:fill="auto"/>
            <w:vAlign w:val="bottom"/>
            <w:hideMark/>
          </w:tcPr>
          <w:p w14:paraId="4B628A3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25</w:t>
            </w:r>
          </w:p>
        </w:tc>
        <w:tc>
          <w:tcPr>
            <w:tcW w:w="3260" w:type="dxa"/>
            <w:shd w:val="clear" w:color="auto" w:fill="auto"/>
            <w:vAlign w:val="bottom"/>
            <w:hideMark/>
          </w:tcPr>
          <w:p w14:paraId="1E5D673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Defensa Pública </w:t>
            </w:r>
          </w:p>
        </w:tc>
        <w:tc>
          <w:tcPr>
            <w:tcW w:w="1660" w:type="dxa"/>
            <w:shd w:val="clear" w:color="auto" w:fill="auto"/>
            <w:vAlign w:val="bottom"/>
            <w:hideMark/>
          </w:tcPr>
          <w:p w14:paraId="004DF0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99,99%</w:t>
            </w:r>
          </w:p>
        </w:tc>
        <w:tc>
          <w:tcPr>
            <w:tcW w:w="1700" w:type="dxa"/>
            <w:shd w:val="clear" w:color="auto" w:fill="auto"/>
            <w:vAlign w:val="bottom"/>
            <w:hideMark/>
          </w:tcPr>
          <w:p w14:paraId="4913A68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11E7479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0,01%</w:t>
            </w:r>
          </w:p>
        </w:tc>
      </w:tr>
      <w:tr w:rsidR="00D106C9" w:rsidRPr="00D106C9" w14:paraId="5FDB778C" w14:textId="77777777" w:rsidTr="006D7BCD">
        <w:trPr>
          <w:trHeight w:val="290"/>
        </w:trPr>
        <w:tc>
          <w:tcPr>
            <w:tcW w:w="1200" w:type="dxa"/>
            <w:shd w:val="clear" w:color="auto" w:fill="auto"/>
            <w:vAlign w:val="bottom"/>
            <w:hideMark/>
          </w:tcPr>
          <w:p w14:paraId="7316FCE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19</w:t>
            </w:r>
          </w:p>
        </w:tc>
        <w:tc>
          <w:tcPr>
            <w:tcW w:w="3260" w:type="dxa"/>
            <w:shd w:val="clear" w:color="auto" w:fill="auto"/>
            <w:vAlign w:val="bottom"/>
            <w:hideMark/>
          </w:tcPr>
          <w:p w14:paraId="53F0965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Auditoría</w:t>
            </w:r>
          </w:p>
        </w:tc>
        <w:tc>
          <w:tcPr>
            <w:tcW w:w="1660" w:type="dxa"/>
            <w:shd w:val="clear" w:color="auto" w:fill="auto"/>
            <w:vAlign w:val="bottom"/>
            <w:hideMark/>
          </w:tcPr>
          <w:p w14:paraId="4FC538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5C03B1B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14C4E0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2C7D1912" w14:textId="77777777" w:rsidTr="006D7BCD">
        <w:trPr>
          <w:trHeight w:val="290"/>
        </w:trPr>
        <w:tc>
          <w:tcPr>
            <w:tcW w:w="1200" w:type="dxa"/>
            <w:shd w:val="clear" w:color="auto" w:fill="auto"/>
            <w:vAlign w:val="bottom"/>
            <w:hideMark/>
          </w:tcPr>
          <w:p w14:paraId="01862B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21</w:t>
            </w:r>
          </w:p>
        </w:tc>
        <w:tc>
          <w:tcPr>
            <w:tcW w:w="3260" w:type="dxa"/>
            <w:shd w:val="clear" w:color="auto" w:fill="auto"/>
            <w:vAlign w:val="bottom"/>
            <w:hideMark/>
          </w:tcPr>
          <w:p w14:paraId="13426798"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Contraloría de Servicios</w:t>
            </w:r>
          </w:p>
        </w:tc>
        <w:tc>
          <w:tcPr>
            <w:tcW w:w="1660" w:type="dxa"/>
            <w:shd w:val="clear" w:color="auto" w:fill="auto"/>
            <w:vAlign w:val="bottom"/>
            <w:hideMark/>
          </w:tcPr>
          <w:p w14:paraId="758CE6B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397CF90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0A6A564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79B8BB69" w14:textId="77777777" w:rsidTr="006D7BCD">
        <w:trPr>
          <w:trHeight w:val="580"/>
        </w:trPr>
        <w:tc>
          <w:tcPr>
            <w:tcW w:w="1200" w:type="dxa"/>
            <w:shd w:val="clear" w:color="auto" w:fill="auto"/>
            <w:vAlign w:val="bottom"/>
            <w:hideMark/>
          </w:tcPr>
          <w:p w14:paraId="5637864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w:t>
            </w:r>
          </w:p>
        </w:tc>
        <w:tc>
          <w:tcPr>
            <w:tcW w:w="3260" w:type="dxa"/>
            <w:shd w:val="clear" w:color="auto" w:fill="auto"/>
            <w:vAlign w:val="bottom"/>
            <w:hideMark/>
          </w:tcPr>
          <w:p w14:paraId="2B2646B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Judicial de Intervención de las Comunicaciones (CJIC)</w:t>
            </w:r>
          </w:p>
        </w:tc>
        <w:tc>
          <w:tcPr>
            <w:tcW w:w="1660" w:type="dxa"/>
            <w:shd w:val="clear" w:color="auto" w:fill="auto"/>
            <w:vAlign w:val="bottom"/>
            <w:hideMark/>
          </w:tcPr>
          <w:p w14:paraId="767422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6060C1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7ADC8A7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5418838C" w14:textId="77777777" w:rsidTr="006D7BCD">
        <w:trPr>
          <w:trHeight w:val="290"/>
        </w:trPr>
        <w:tc>
          <w:tcPr>
            <w:tcW w:w="1200" w:type="dxa"/>
            <w:shd w:val="clear" w:color="auto" w:fill="auto"/>
            <w:vAlign w:val="bottom"/>
            <w:hideMark/>
          </w:tcPr>
          <w:p w14:paraId="3EFAB6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50</w:t>
            </w:r>
          </w:p>
        </w:tc>
        <w:tc>
          <w:tcPr>
            <w:tcW w:w="3260" w:type="dxa"/>
            <w:shd w:val="clear" w:color="auto" w:fill="auto"/>
            <w:vAlign w:val="bottom"/>
            <w:hideMark/>
          </w:tcPr>
          <w:p w14:paraId="3341336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de Gestión de la Calidad</w:t>
            </w:r>
          </w:p>
        </w:tc>
        <w:tc>
          <w:tcPr>
            <w:tcW w:w="1660" w:type="dxa"/>
            <w:shd w:val="clear" w:color="auto" w:fill="auto"/>
            <w:vAlign w:val="bottom"/>
            <w:hideMark/>
          </w:tcPr>
          <w:p w14:paraId="675E8A0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30E125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485731A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6E5B4371" w14:textId="77777777" w:rsidTr="006D7BCD">
        <w:trPr>
          <w:trHeight w:val="290"/>
        </w:trPr>
        <w:tc>
          <w:tcPr>
            <w:tcW w:w="1200" w:type="dxa"/>
            <w:shd w:val="clear" w:color="auto" w:fill="auto"/>
            <w:vAlign w:val="bottom"/>
            <w:hideMark/>
          </w:tcPr>
          <w:p w14:paraId="4B7B6E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56</w:t>
            </w:r>
          </w:p>
        </w:tc>
        <w:tc>
          <w:tcPr>
            <w:tcW w:w="3260" w:type="dxa"/>
            <w:shd w:val="clear" w:color="auto" w:fill="auto"/>
            <w:vAlign w:val="bottom"/>
            <w:hideMark/>
          </w:tcPr>
          <w:p w14:paraId="59441F2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Despacho de la Presidencia</w:t>
            </w:r>
          </w:p>
        </w:tc>
        <w:tc>
          <w:tcPr>
            <w:tcW w:w="1660" w:type="dxa"/>
            <w:shd w:val="clear" w:color="auto" w:fill="auto"/>
            <w:vAlign w:val="bottom"/>
            <w:hideMark/>
          </w:tcPr>
          <w:p w14:paraId="256CBD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57B225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6849B2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41583B46" w14:textId="77777777" w:rsidTr="006D7BCD">
        <w:trPr>
          <w:trHeight w:val="290"/>
        </w:trPr>
        <w:tc>
          <w:tcPr>
            <w:tcW w:w="1200" w:type="dxa"/>
            <w:shd w:val="clear" w:color="auto" w:fill="auto"/>
            <w:vAlign w:val="bottom"/>
            <w:hideMark/>
          </w:tcPr>
          <w:p w14:paraId="3E37422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57</w:t>
            </w:r>
          </w:p>
        </w:tc>
        <w:tc>
          <w:tcPr>
            <w:tcW w:w="3260" w:type="dxa"/>
            <w:shd w:val="clear" w:color="auto" w:fill="auto"/>
            <w:vAlign w:val="bottom"/>
            <w:hideMark/>
          </w:tcPr>
          <w:p w14:paraId="68F0E46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Presidencia de la Corte</w:t>
            </w:r>
          </w:p>
        </w:tc>
        <w:tc>
          <w:tcPr>
            <w:tcW w:w="1660" w:type="dxa"/>
            <w:shd w:val="clear" w:color="auto" w:fill="auto"/>
            <w:vAlign w:val="bottom"/>
            <w:hideMark/>
          </w:tcPr>
          <w:p w14:paraId="7C76F2E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7A5227B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3CCA8B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38534294" w14:textId="77777777" w:rsidTr="006D7BCD">
        <w:trPr>
          <w:trHeight w:val="290"/>
        </w:trPr>
        <w:tc>
          <w:tcPr>
            <w:tcW w:w="1200" w:type="dxa"/>
            <w:shd w:val="clear" w:color="auto" w:fill="auto"/>
            <w:vAlign w:val="bottom"/>
            <w:hideMark/>
          </w:tcPr>
          <w:p w14:paraId="70E6B5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59</w:t>
            </w:r>
          </w:p>
        </w:tc>
        <w:tc>
          <w:tcPr>
            <w:tcW w:w="3260" w:type="dxa"/>
            <w:shd w:val="clear" w:color="auto" w:fill="auto"/>
            <w:vAlign w:val="bottom"/>
            <w:hideMark/>
          </w:tcPr>
          <w:p w14:paraId="5DDB930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Secretaría de la Corte</w:t>
            </w:r>
          </w:p>
        </w:tc>
        <w:tc>
          <w:tcPr>
            <w:tcW w:w="1660" w:type="dxa"/>
            <w:shd w:val="clear" w:color="auto" w:fill="auto"/>
            <w:vAlign w:val="bottom"/>
            <w:hideMark/>
          </w:tcPr>
          <w:p w14:paraId="4BA5941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2A2E46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4C501C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180B66BA" w14:textId="77777777" w:rsidTr="006D7BCD">
        <w:trPr>
          <w:trHeight w:val="290"/>
        </w:trPr>
        <w:tc>
          <w:tcPr>
            <w:tcW w:w="1200" w:type="dxa"/>
            <w:shd w:val="clear" w:color="auto" w:fill="auto"/>
            <w:vAlign w:val="bottom"/>
            <w:hideMark/>
          </w:tcPr>
          <w:p w14:paraId="6D2DEA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60</w:t>
            </w:r>
          </w:p>
        </w:tc>
        <w:tc>
          <w:tcPr>
            <w:tcW w:w="3260" w:type="dxa"/>
            <w:shd w:val="clear" w:color="auto" w:fill="auto"/>
            <w:vAlign w:val="bottom"/>
            <w:hideMark/>
          </w:tcPr>
          <w:p w14:paraId="158B10D1"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Consejo Superior</w:t>
            </w:r>
          </w:p>
        </w:tc>
        <w:tc>
          <w:tcPr>
            <w:tcW w:w="1660" w:type="dxa"/>
            <w:shd w:val="clear" w:color="auto" w:fill="auto"/>
            <w:vAlign w:val="bottom"/>
            <w:hideMark/>
          </w:tcPr>
          <w:p w14:paraId="1310D86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084A9CE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3172B15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3E10A2FC" w14:textId="77777777" w:rsidTr="006D7BCD">
        <w:trPr>
          <w:trHeight w:val="290"/>
        </w:trPr>
        <w:tc>
          <w:tcPr>
            <w:tcW w:w="1200" w:type="dxa"/>
            <w:shd w:val="clear" w:color="auto" w:fill="auto"/>
            <w:vAlign w:val="bottom"/>
            <w:hideMark/>
          </w:tcPr>
          <w:p w14:paraId="08709F8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61</w:t>
            </w:r>
          </w:p>
        </w:tc>
        <w:tc>
          <w:tcPr>
            <w:tcW w:w="3260" w:type="dxa"/>
            <w:shd w:val="clear" w:color="auto" w:fill="auto"/>
            <w:vAlign w:val="bottom"/>
            <w:hideMark/>
          </w:tcPr>
          <w:p w14:paraId="63A59D9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Oficina de Control Interno</w:t>
            </w:r>
          </w:p>
        </w:tc>
        <w:tc>
          <w:tcPr>
            <w:tcW w:w="1660" w:type="dxa"/>
            <w:shd w:val="clear" w:color="auto" w:fill="auto"/>
            <w:vAlign w:val="bottom"/>
            <w:hideMark/>
          </w:tcPr>
          <w:p w14:paraId="639C957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091F7C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1802CA1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0AADE3BE" w14:textId="77777777" w:rsidTr="006D7BCD">
        <w:trPr>
          <w:trHeight w:val="290"/>
        </w:trPr>
        <w:tc>
          <w:tcPr>
            <w:tcW w:w="1200" w:type="dxa"/>
            <w:shd w:val="clear" w:color="auto" w:fill="auto"/>
            <w:vAlign w:val="bottom"/>
            <w:hideMark/>
          </w:tcPr>
          <w:p w14:paraId="1F497F5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62</w:t>
            </w:r>
          </w:p>
        </w:tc>
        <w:tc>
          <w:tcPr>
            <w:tcW w:w="3260" w:type="dxa"/>
            <w:shd w:val="clear" w:color="auto" w:fill="auto"/>
            <w:vAlign w:val="bottom"/>
            <w:hideMark/>
          </w:tcPr>
          <w:p w14:paraId="61A694E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Jurídica</w:t>
            </w:r>
          </w:p>
        </w:tc>
        <w:tc>
          <w:tcPr>
            <w:tcW w:w="1660" w:type="dxa"/>
            <w:shd w:val="clear" w:color="auto" w:fill="auto"/>
            <w:vAlign w:val="bottom"/>
            <w:hideMark/>
          </w:tcPr>
          <w:p w14:paraId="4EAC390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40141E0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5ED0C8A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4A13694A" w14:textId="77777777" w:rsidTr="006D7BCD">
        <w:trPr>
          <w:trHeight w:val="580"/>
        </w:trPr>
        <w:tc>
          <w:tcPr>
            <w:tcW w:w="1200" w:type="dxa"/>
            <w:shd w:val="clear" w:color="auto" w:fill="auto"/>
            <w:vAlign w:val="bottom"/>
            <w:hideMark/>
          </w:tcPr>
          <w:p w14:paraId="4C06B14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64</w:t>
            </w:r>
          </w:p>
        </w:tc>
        <w:tc>
          <w:tcPr>
            <w:tcW w:w="3260" w:type="dxa"/>
            <w:shd w:val="clear" w:color="auto" w:fill="auto"/>
            <w:vAlign w:val="bottom"/>
            <w:hideMark/>
          </w:tcPr>
          <w:p w14:paraId="37CC1F60"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Electrónico de Información Jurisprudencial</w:t>
            </w:r>
          </w:p>
        </w:tc>
        <w:tc>
          <w:tcPr>
            <w:tcW w:w="1660" w:type="dxa"/>
            <w:shd w:val="clear" w:color="auto" w:fill="auto"/>
            <w:vAlign w:val="bottom"/>
            <w:hideMark/>
          </w:tcPr>
          <w:p w14:paraId="2CDC88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236412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512316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7E9B6739" w14:textId="77777777" w:rsidTr="006D7BCD">
        <w:trPr>
          <w:trHeight w:val="290"/>
        </w:trPr>
        <w:tc>
          <w:tcPr>
            <w:tcW w:w="1200" w:type="dxa"/>
            <w:shd w:val="clear" w:color="auto" w:fill="auto"/>
            <w:vAlign w:val="bottom"/>
            <w:hideMark/>
          </w:tcPr>
          <w:p w14:paraId="65BB1C2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65</w:t>
            </w:r>
          </w:p>
        </w:tc>
        <w:tc>
          <w:tcPr>
            <w:tcW w:w="3260" w:type="dxa"/>
            <w:shd w:val="clear" w:color="auto" w:fill="auto"/>
            <w:vAlign w:val="bottom"/>
            <w:hideMark/>
          </w:tcPr>
          <w:p w14:paraId="563460C1"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de Planificación</w:t>
            </w:r>
          </w:p>
        </w:tc>
        <w:tc>
          <w:tcPr>
            <w:tcW w:w="1660" w:type="dxa"/>
            <w:shd w:val="clear" w:color="auto" w:fill="auto"/>
            <w:vAlign w:val="bottom"/>
            <w:hideMark/>
          </w:tcPr>
          <w:p w14:paraId="3270C2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2AEB21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1976D3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6E77CABE" w14:textId="77777777" w:rsidTr="006D7BCD">
        <w:trPr>
          <w:trHeight w:val="290"/>
        </w:trPr>
        <w:tc>
          <w:tcPr>
            <w:tcW w:w="1200" w:type="dxa"/>
            <w:shd w:val="clear" w:color="auto" w:fill="auto"/>
            <w:vAlign w:val="bottom"/>
            <w:hideMark/>
          </w:tcPr>
          <w:p w14:paraId="2AD404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68</w:t>
            </w:r>
          </w:p>
        </w:tc>
        <w:tc>
          <w:tcPr>
            <w:tcW w:w="3260" w:type="dxa"/>
            <w:shd w:val="clear" w:color="auto" w:fill="auto"/>
            <w:vAlign w:val="bottom"/>
            <w:hideMark/>
          </w:tcPr>
          <w:p w14:paraId="22C1240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Inspección Judicial</w:t>
            </w:r>
          </w:p>
        </w:tc>
        <w:tc>
          <w:tcPr>
            <w:tcW w:w="1660" w:type="dxa"/>
            <w:shd w:val="clear" w:color="auto" w:fill="auto"/>
            <w:vAlign w:val="bottom"/>
            <w:hideMark/>
          </w:tcPr>
          <w:p w14:paraId="6690984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542DE2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7F62057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6A6BA246" w14:textId="77777777" w:rsidTr="006D7BCD">
        <w:trPr>
          <w:trHeight w:val="580"/>
        </w:trPr>
        <w:tc>
          <w:tcPr>
            <w:tcW w:w="1200" w:type="dxa"/>
            <w:shd w:val="clear" w:color="auto" w:fill="auto"/>
            <w:vAlign w:val="bottom"/>
            <w:hideMark/>
          </w:tcPr>
          <w:p w14:paraId="04A9BD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69</w:t>
            </w:r>
          </w:p>
        </w:tc>
        <w:tc>
          <w:tcPr>
            <w:tcW w:w="3260" w:type="dxa"/>
            <w:shd w:val="clear" w:color="auto" w:fill="auto"/>
            <w:vAlign w:val="bottom"/>
            <w:hideMark/>
          </w:tcPr>
          <w:p w14:paraId="7ECE458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Secretaría Técnica de Ética y Valores</w:t>
            </w:r>
          </w:p>
        </w:tc>
        <w:tc>
          <w:tcPr>
            <w:tcW w:w="1660" w:type="dxa"/>
            <w:shd w:val="clear" w:color="auto" w:fill="auto"/>
            <w:vAlign w:val="bottom"/>
            <w:hideMark/>
          </w:tcPr>
          <w:p w14:paraId="4A4EEB0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509AEC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62762B6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71A7466D" w14:textId="77777777" w:rsidTr="006D7BCD">
        <w:trPr>
          <w:trHeight w:val="580"/>
        </w:trPr>
        <w:tc>
          <w:tcPr>
            <w:tcW w:w="1200" w:type="dxa"/>
            <w:shd w:val="clear" w:color="auto" w:fill="auto"/>
            <w:vAlign w:val="bottom"/>
            <w:hideMark/>
          </w:tcPr>
          <w:p w14:paraId="3E3D367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70</w:t>
            </w:r>
          </w:p>
        </w:tc>
        <w:tc>
          <w:tcPr>
            <w:tcW w:w="3260" w:type="dxa"/>
            <w:shd w:val="clear" w:color="auto" w:fill="auto"/>
            <w:vAlign w:val="bottom"/>
            <w:hideMark/>
          </w:tcPr>
          <w:p w14:paraId="4D5E4CD0"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Secretaría Técnica de Género y Acceso a la Justicia</w:t>
            </w:r>
          </w:p>
        </w:tc>
        <w:tc>
          <w:tcPr>
            <w:tcW w:w="1660" w:type="dxa"/>
            <w:shd w:val="clear" w:color="auto" w:fill="auto"/>
            <w:vAlign w:val="bottom"/>
            <w:hideMark/>
          </w:tcPr>
          <w:p w14:paraId="35B5B78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174DB7F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1B9657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0ADA9AF5" w14:textId="77777777" w:rsidTr="006D7BCD">
        <w:trPr>
          <w:trHeight w:val="290"/>
        </w:trPr>
        <w:tc>
          <w:tcPr>
            <w:tcW w:w="1200" w:type="dxa"/>
            <w:shd w:val="clear" w:color="auto" w:fill="auto"/>
            <w:vAlign w:val="bottom"/>
            <w:hideMark/>
          </w:tcPr>
          <w:p w14:paraId="3945B2A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75</w:t>
            </w:r>
          </w:p>
        </w:tc>
        <w:tc>
          <w:tcPr>
            <w:tcW w:w="3260" w:type="dxa"/>
            <w:shd w:val="clear" w:color="auto" w:fill="auto"/>
            <w:vAlign w:val="bottom"/>
            <w:hideMark/>
          </w:tcPr>
          <w:p w14:paraId="41E31EE9"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Oficina de Cumplimiento</w:t>
            </w:r>
          </w:p>
        </w:tc>
        <w:tc>
          <w:tcPr>
            <w:tcW w:w="1660" w:type="dxa"/>
            <w:shd w:val="clear" w:color="auto" w:fill="auto"/>
            <w:vAlign w:val="bottom"/>
            <w:hideMark/>
          </w:tcPr>
          <w:p w14:paraId="4125A8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5CC24BF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680" w:type="dxa"/>
            <w:shd w:val="clear" w:color="auto" w:fill="auto"/>
            <w:vAlign w:val="bottom"/>
            <w:hideMark/>
          </w:tcPr>
          <w:p w14:paraId="24E89CF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29E5970B" w14:textId="77777777" w:rsidTr="006D7BCD">
        <w:trPr>
          <w:trHeight w:val="580"/>
        </w:trPr>
        <w:tc>
          <w:tcPr>
            <w:tcW w:w="1200" w:type="dxa"/>
            <w:shd w:val="clear" w:color="auto" w:fill="auto"/>
            <w:vAlign w:val="bottom"/>
            <w:hideMark/>
          </w:tcPr>
          <w:p w14:paraId="7F7759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23</w:t>
            </w:r>
          </w:p>
        </w:tc>
        <w:tc>
          <w:tcPr>
            <w:tcW w:w="3260" w:type="dxa"/>
            <w:shd w:val="clear" w:color="auto" w:fill="auto"/>
            <w:vAlign w:val="bottom"/>
            <w:hideMark/>
          </w:tcPr>
          <w:p w14:paraId="20B9512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Organismo de Investigación Judicial</w:t>
            </w:r>
          </w:p>
        </w:tc>
        <w:tc>
          <w:tcPr>
            <w:tcW w:w="1660" w:type="dxa"/>
            <w:shd w:val="clear" w:color="auto" w:fill="auto"/>
            <w:vAlign w:val="bottom"/>
            <w:hideMark/>
          </w:tcPr>
          <w:p w14:paraId="006AAA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99,81%</w:t>
            </w:r>
          </w:p>
        </w:tc>
        <w:tc>
          <w:tcPr>
            <w:tcW w:w="1700" w:type="dxa"/>
            <w:shd w:val="clear" w:color="auto" w:fill="auto"/>
            <w:vAlign w:val="bottom"/>
            <w:hideMark/>
          </w:tcPr>
          <w:p w14:paraId="171E6A6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99,77%</w:t>
            </w:r>
          </w:p>
        </w:tc>
        <w:tc>
          <w:tcPr>
            <w:tcW w:w="1680" w:type="dxa"/>
            <w:shd w:val="clear" w:color="auto" w:fill="auto"/>
            <w:vAlign w:val="bottom"/>
            <w:hideMark/>
          </w:tcPr>
          <w:p w14:paraId="04E395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-0,04%</w:t>
            </w:r>
          </w:p>
        </w:tc>
      </w:tr>
      <w:tr w:rsidR="00D106C9" w:rsidRPr="00D106C9" w14:paraId="64777D78" w14:textId="77777777" w:rsidTr="006D7BCD">
        <w:trPr>
          <w:trHeight w:val="290"/>
        </w:trPr>
        <w:tc>
          <w:tcPr>
            <w:tcW w:w="1200" w:type="dxa"/>
            <w:shd w:val="clear" w:color="auto" w:fill="auto"/>
            <w:vAlign w:val="bottom"/>
            <w:hideMark/>
          </w:tcPr>
          <w:p w14:paraId="67E04E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31</w:t>
            </w:r>
          </w:p>
        </w:tc>
        <w:tc>
          <w:tcPr>
            <w:tcW w:w="3260" w:type="dxa"/>
            <w:shd w:val="clear" w:color="auto" w:fill="auto"/>
            <w:vAlign w:val="bottom"/>
            <w:hideMark/>
          </w:tcPr>
          <w:p w14:paraId="231F7B77"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Ejecutiva</w:t>
            </w:r>
          </w:p>
        </w:tc>
        <w:tc>
          <w:tcPr>
            <w:tcW w:w="1660" w:type="dxa"/>
            <w:shd w:val="clear" w:color="auto" w:fill="auto"/>
            <w:vAlign w:val="bottom"/>
            <w:hideMark/>
          </w:tcPr>
          <w:p w14:paraId="09D0568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96,63%</w:t>
            </w:r>
          </w:p>
        </w:tc>
        <w:tc>
          <w:tcPr>
            <w:tcW w:w="1700" w:type="dxa"/>
            <w:shd w:val="clear" w:color="auto" w:fill="auto"/>
            <w:vAlign w:val="bottom"/>
            <w:hideMark/>
          </w:tcPr>
          <w:p w14:paraId="1893574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96,38%</w:t>
            </w:r>
          </w:p>
        </w:tc>
        <w:tc>
          <w:tcPr>
            <w:tcW w:w="1680" w:type="dxa"/>
            <w:shd w:val="clear" w:color="auto" w:fill="auto"/>
            <w:vAlign w:val="bottom"/>
            <w:hideMark/>
          </w:tcPr>
          <w:p w14:paraId="6787EC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-0,25%</w:t>
            </w:r>
          </w:p>
        </w:tc>
      </w:tr>
      <w:tr w:rsidR="00D106C9" w:rsidRPr="00D106C9" w14:paraId="25454773" w14:textId="77777777" w:rsidTr="006D7BCD">
        <w:trPr>
          <w:trHeight w:val="870"/>
        </w:trPr>
        <w:tc>
          <w:tcPr>
            <w:tcW w:w="1200" w:type="dxa"/>
            <w:shd w:val="clear" w:color="auto" w:fill="auto"/>
            <w:vAlign w:val="bottom"/>
            <w:hideMark/>
          </w:tcPr>
          <w:p w14:paraId="5715612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58</w:t>
            </w:r>
          </w:p>
        </w:tc>
        <w:tc>
          <w:tcPr>
            <w:tcW w:w="3260" w:type="dxa"/>
            <w:shd w:val="clear" w:color="auto" w:fill="auto"/>
            <w:vAlign w:val="bottom"/>
            <w:hideMark/>
          </w:tcPr>
          <w:p w14:paraId="6A3BDE1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Centro de Apoyo, Coordinación y Mejoramiento Función Jurisdiccional</w:t>
            </w:r>
          </w:p>
        </w:tc>
        <w:tc>
          <w:tcPr>
            <w:tcW w:w="1660" w:type="dxa"/>
            <w:shd w:val="clear" w:color="auto" w:fill="auto"/>
            <w:vAlign w:val="bottom"/>
            <w:hideMark/>
          </w:tcPr>
          <w:p w14:paraId="15C508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42E039A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99,43%</w:t>
            </w:r>
          </w:p>
        </w:tc>
        <w:tc>
          <w:tcPr>
            <w:tcW w:w="1680" w:type="dxa"/>
            <w:shd w:val="clear" w:color="auto" w:fill="auto"/>
            <w:vAlign w:val="bottom"/>
            <w:hideMark/>
          </w:tcPr>
          <w:p w14:paraId="2F10742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-0,57%</w:t>
            </w:r>
          </w:p>
        </w:tc>
      </w:tr>
      <w:tr w:rsidR="00D106C9" w:rsidRPr="00D106C9" w14:paraId="707C487D" w14:textId="77777777" w:rsidTr="006D7BCD">
        <w:trPr>
          <w:trHeight w:val="580"/>
        </w:trPr>
        <w:tc>
          <w:tcPr>
            <w:tcW w:w="1200" w:type="dxa"/>
            <w:shd w:val="clear" w:color="auto" w:fill="auto"/>
            <w:vAlign w:val="bottom"/>
            <w:hideMark/>
          </w:tcPr>
          <w:p w14:paraId="6DD2D8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66</w:t>
            </w:r>
          </w:p>
        </w:tc>
        <w:tc>
          <w:tcPr>
            <w:tcW w:w="3260" w:type="dxa"/>
            <w:shd w:val="clear" w:color="auto" w:fill="auto"/>
            <w:vAlign w:val="bottom"/>
            <w:hideMark/>
          </w:tcPr>
          <w:p w14:paraId="4CCC4CE8"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Dirección de Tecnología de Información y Comunicaciones</w:t>
            </w:r>
          </w:p>
        </w:tc>
        <w:tc>
          <w:tcPr>
            <w:tcW w:w="1660" w:type="dxa"/>
            <w:shd w:val="clear" w:color="auto" w:fill="auto"/>
            <w:vAlign w:val="bottom"/>
            <w:hideMark/>
          </w:tcPr>
          <w:p w14:paraId="54AF4C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641E68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99,42%</w:t>
            </w:r>
          </w:p>
        </w:tc>
        <w:tc>
          <w:tcPr>
            <w:tcW w:w="1680" w:type="dxa"/>
            <w:shd w:val="clear" w:color="auto" w:fill="auto"/>
            <w:vAlign w:val="bottom"/>
            <w:hideMark/>
          </w:tcPr>
          <w:p w14:paraId="7DA9A7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-0,58%</w:t>
            </w:r>
          </w:p>
        </w:tc>
      </w:tr>
      <w:tr w:rsidR="00D106C9" w:rsidRPr="00D106C9" w14:paraId="44E9A50C" w14:textId="77777777" w:rsidTr="006D7BCD">
        <w:trPr>
          <w:trHeight w:val="290"/>
        </w:trPr>
        <w:tc>
          <w:tcPr>
            <w:tcW w:w="1200" w:type="dxa"/>
            <w:shd w:val="clear" w:color="auto" w:fill="auto"/>
            <w:vAlign w:val="bottom"/>
            <w:hideMark/>
          </w:tcPr>
          <w:p w14:paraId="6AF5DE8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29</w:t>
            </w:r>
          </w:p>
        </w:tc>
        <w:tc>
          <w:tcPr>
            <w:tcW w:w="3260" w:type="dxa"/>
            <w:shd w:val="clear" w:color="auto" w:fill="auto"/>
            <w:vAlign w:val="bottom"/>
            <w:hideMark/>
          </w:tcPr>
          <w:p w14:paraId="7566589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Salas</w:t>
            </w:r>
          </w:p>
        </w:tc>
        <w:tc>
          <w:tcPr>
            <w:tcW w:w="1660" w:type="dxa"/>
            <w:shd w:val="clear" w:color="auto" w:fill="auto"/>
            <w:vAlign w:val="bottom"/>
            <w:hideMark/>
          </w:tcPr>
          <w:p w14:paraId="7260EB8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96,13%</w:t>
            </w:r>
          </w:p>
        </w:tc>
        <w:tc>
          <w:tcPr>
            <w:tcW w:w="1700" w:type="dxa"/>
            <w:shd w:val="clear" w:color="auto" w:fill="auto"/>
            <w:vAlign w:val="bottom"/>
            <w:hideMark/>
          </w:tcPr>
          <w:p w14:paraId="0B3851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95,53%</w:t>
            </w:r>
          </w:p>
        </w:tc>
        <w:tc>
          <w:tcPr>
            <w:tcW w:w="1680" w:type="dxa"/>
            <w:shd w:val="clear" w:color="auto" w:fill="auto"/>
            <w:vAlign w:val="bottom"/>
            <w:hideMark/>
          </w:tcPr>
          <w:p w14:paraId="0AA3B1D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-0,60%</w:t>
            </w:r>
          </w:p>
        </w:tc>
      </w:tr>
      <w:tr w:rsidR="00D106C9" w:rsidRPr="00D106C9" w14:paraId="2B806E7D" w14:textId="77777777" w:rsidTr="006D7BCD">
        <w:trPr>
          <w:trHeight w:val="870"/>
        </w:trPr>
        <w:tc>
          <w:tcPr>
            <w:tcW w:w="1200" w:type="dxa"/>
            <w:shd w:val="clear" w:color="auto" w:fill="auto"/>
            <w:vAlign w:val="bottom"/>
            <w:hideMark/>
          </w:tcPr>
          <w:p w14:paraId="526D9C7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51</w:t>
            </w:r>
          </w:p>
        </w:tc>
        <w:tc>
          <w:tcPr>
            <w:tcW w:w="3260" w:type="dxa"/>
            <w:shd w:val="clear" w:color="auto" w:fill="auto"/>
            <w:vAlign w:val="bottom"/>
            <w:hideMark/>
          </w:tcPr>
          <w:p w14:paraId="5217882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Servicio de Atención y Protección de Víctimas y Testigos</w:t>
            </w:r>
          </w:p>
        </w:tc>
        <w:tc>
          <w:tcPr>
            <w:tcW w:w="1660" w:type="dxa"/>
            <w:shd w:val="clear" w:color="auto" w:fill="auto"/>
            <w:vAlign w:val="bottom"/>
            <w:hideMark/>
          </w:tcPr>
          <w:p w14:paraId="6BCEDF4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98,66%</w:t>
            </w:r>
          </w:p>
        </w:tc>
        <w:tc>
          <w:tcPr>
            <w:tcW w:w="1700" w:type="dxa"/>
            <w:shd w:val="clear" w:color="auto" w:fill="auto"/>
            <w:vAlign w:val="bottom"/>
            <w:hideMark/>
          </w:tcPr>
          <w:p w14:paraId="7A57F5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97,88%</w:t>
            </w:r>
          </w:p>
        </w:tc>
        <w:tc>
          <w:tcPr>
            <w:tcW w:w="1680" w:type="dxa"/>
            <w:shd w:val="clear" w:color="auto" w:fill="auto"/>
            <w:vAlign w:val="bottom"/>
            <w:hideMark/>
          </w:tcPr>
          <w:p w14:paraId="1B7D28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-0,78%</w:t>
            </w:r>
          </w:p>
        </w:tc>
      </w:tr>
      <w:tr w:rsidR="00D106C9" w:rsidRPr="00D106C9" w14:paraId="1EA36D23" w14:textId="77777777" w:rsidTr="006D7BCD">
        <w:trPr>
          <w:trHeight w:val="580"/>
        </w:trPr>
        <w:tc>
          <w:tcPr>
            <w:tcW w:w="1200" w:type="dxa"/>
            <w:shd w:val="clear" w:color="auto" w:fill="auto"/>
            <w:vAlign w:val="bottom"/>
            <w:hideMark/>
          </w:tcPr>
          <w:p w14:paraId="791B7AB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w:t>
            </w:r>
          </w:p>
        </w:tc>
        <w:tc>
          <w:tcPr>
            <w:tcW w:w="3260" w:type="dxa"/>
            <w:shd w:val="clear" w:color="auto" w:fill="auto"/>
            <w:vAlign w:val="bottom"/>
            <w:hideMark/>
          </w:tcPr>
          <w:p w14:paraId="2E3EA481"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San José</w:t>
            </w:r>
          </w:p>
        </w:tc>
        <w:tc>
          <w:tcPr>
            <w:tcW w:w="1660" w:type="dxa"/>
            <w:shd w:val="clear" w:color="auto" w:fill="auto"/>
            <w:vAlign w:val="bottom"/>
            <w:hideMark/>
          </w:tcPr>
          <w:p w14:paraId="3439B85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94,51%</w:t>
            </w:r>
          </w:p>
        </w:tc>
        <w:tc>
          <w:tcPr>
            <w:tcW w:w="1700" w:type="dxa"/>
            <w:shd w:val="clear" w:color="auto" w:fill="auto"/>
            <w:vAlign w:val="bottom"/>
            <w:hideMark/>
          </w:tcPr>
          <w:p w14:paraId="256296E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92,74%</w:t>
            </w:r>
          </w:p>
        </w:tc>
        <w:tc>
          <w:tcPr>
            <w:tcW w:w="1680" w:type="dxa"/>
            <w:shd w:val="clear" w:color="auto" w:fill="auto"/>
            <w:vAlign w:val="bottom"/>
            <w:hideMark/>
          </w:tcPr>
          <w:p w14:paraId="52443B4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-1,77%</w:t>
            </w:r>
          </w:p>
        </w:tc>
      </w:tr>
      <w:tr w:rsidR="00D106C9" w:rsidRPr="00D106C9" w14:paraId="1E32CCB4" w14:textId="77777777" w:rsidTr="006D7BCD">
        <w:trPr>
          <w:trHeight w:val="290"/>
        </w:trPr>
        <w:tc>
          <w:tcPr>
            <w:tcW w:w="1200" w:type="dxa"/>
            <w:shd w:val="clear" w:color="auto" w:fill="auto"/>
            <w:vAlign w:val="bottom"/>
            <w:hideMark/>
          </w:tcPr>
          <w:p w14:paraId="7E9E96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w:t>
            </w:r>
          </w:p>
        </w:tc>
        <w:tc>
          <w:tcPr>
            <w:tcW w:w="3260" w:type="dxa"/>
            <w:shd w:val="clear" w:color="auto" w:fill="auto"/>
            <w:vAlign w:val="bottom"/>
            <w:hideMark/>
          </w:tcPr>
          <w:p w14:paraId="2509548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Circuito Judicial Cartago</w:t>
            </w:r>
          </w:p>
        </w:tc>
        <w:tc>
          <w:tcPr>
            <w:tcW w:w="1660" w:type="dxa"/>
            <w:shd w:val="clear" w:color="auto" w:fill="auto"/>
            <w:vAlign w:val="bottom"/>
            <w:hideMark/>
          </w:tcPr>
          <w:p w14:paraId="71FDB68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96,36%</w:t>
            </w:r>
          </w:p>
        </w:tc>
        <w:tc>
          <w:tcPr>
            <w:tcW w:w="1700" w:type="dxa"/>
            <w:shd w:val="clear" w:color="auto" w:fill="auto"/>
            <w:vAlign w:val="bottom"/>
            <w:hideMark/>
          </w:tcPr>
          <w:p w14:paraId="2D4F7A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94,30%</w:t>
            </w:r>
          </w:p>
        </w:tc>
        <w:tc>
          <w:tcPr>
            <w:tcW w:w="1680" w:type="dxa"/>
            <w:shd w:val="clear" w:color="auto" w:fill="auto"/>
            <w:vAlign w:val="bottom"/>
            <w:hideMark/>
          </w:tcPr>
          <w:p w14:paraId="5D2637A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-2,06%</w:t>
            </w:r>
          </w:p>
        </w:tc>
      </w:tr>
      <w:tr w:rsidR="00D106C9" w:rsidRPr="00D106C9" w14:paraId="69814923" w14:textId="77777777" w:rsidTr="006D7BCD">
        <w:trPr>
          <w:trHeight w:val="580"/>
        </w:trPr>
        <w:tc>
          <w:tcPr>
            <w:tcW w:w="1200" w:type="dxa"/>
            <w:shd w:val="clear" w:color="auto" w:fill="auto"/>
            <w:vAlign w:val="bottom"/>
            <w:hideMark/>
          </w:tcPr>
          <w:p w14:paraId="1DE3DB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w:t>
            </w:r>
          </w:p>
        </w:tc>
        <w:tc>
          <w:tcPr>
            <w:tcW w:w="3260" w:type="dxa"/>
            <w:shd w:val="clear" w:color="auto" w:fill="auto"/>
            <w:vAlign w:val="bottom"/>
            <w:hideMark/>
          </w:tcPr>
          <w:p w14:paraId="496C5DF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Ciudad Judicial San Joaquín de Flores</w:t>
            </w:r>
          </w:p>
        </w:tc>
        <w:tc>
          <w:tcPr>
            <w:tcW w:w="1660" w:type="dxa"/>
            <w:shd w:val="clear" w:color="auto" w:fill="auto"/>
            <w:vAlign w:val="bottom"/>
            <w:hideMark/>
          </w:tcPr>
          <w:p w14:paraId="5D5E91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100,00%</w:t>
            </w:r>
          </w:p>
        </w:tc>
        <w:tc>
          <w:tcPr>
            <w:tcW w:w="1700" w:type="dxa"/>
            <w:shd w:val="clear" w:color="auto" w:fill="auto"/>
            <w:vAlign w:val="bottom"/>
            <w:hideMark/>
          </w:tcPr>
          <w:p w14:paraId="100DEAA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97,80%</w:t>
            </w:r>
          </w:p>
        </w:tc>
        <w:tc>
          <w:tcPr>
            <w:tcW w:w="1680" w:type="dxa"/>
            <w:shd w:val="clear" w:color="auto" w:fill="auto"/>
            <w:vAlign w:val="bottom"/>
            <w:hideMark/>
          </w:tcPr>
          <w:p w14:paraId="00EEF0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-2,20%</w:t>
            </w:r>
          </w:p>
        </w:tc>
      </w:tr>
      <w:tr w:rsidR="00D106C9" w:rsidRPr="00D106C9" w14:paraId="41A0F615" w14:textId="77777777" w:rsidTr="006D7BCD">
        <w:trPr>
          <w:trHeight w:val="290"/>
        </w:trPr>
        <w:tc>
          <w:tcPr>
            <w:tcW w:w="1200" w:type="dxa"/>
            <w:shd w:val="clear" w:color="auto" w:fill="auto"/>
            <w:vAlign w:val="bottom"/>
            <w:hideMark/>
          </w:tcPr>
          <w:p w14:paraId="1FDFAC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w:t>
            </w:r>
          </w:p>
        </w:tc>
        <w:tc>
          <w:tcPr>
            <w:tcW w:w="3260" w:type="dxa"/>
            <w:shd w:val="clear" w:color="auto" w:fill="auto"/>
            <w:vAlign w:val="bottom"/>
            <w:hideMark/>
          </w:tcPr>
          <w:p w14:paraId="62EB13D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Circuito Judicial Heredia</w:t>
            </w:r>
          </w:p>
        </w:tc>
        <w:tc>
          <w:tcPr>
            <w:tcW w:w="1660" w:type="dxa"/>
            <w:shd w:val="clear" w:color="auto" w:fill="auto"/>
            <w:vAlign w:val="bottom"/>
            <w:hideMark/>
          </w:tcPr>
          <w:p w14:paraId="6F659D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94,61%</w:t>
            </w:r>
          </w:p>
        </w:tc>
        <w:tc>
          <w:tcPr>
            <w:tcW w:w="1700" w:type="dxa"/>
            <w:shd w:val="clear" w:color="auto" w:fill="auto"/>
            <w:vAlign w:val="bottom"/>
            <w:hideMark/>
          </w:tcPr>
          <w:p w14:paraId="286031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92,30%</w:t>
            </w:r>
          </w:p>
        </w:tc>
        <w:tc>
          <w:tcPr>
            <w:tcW w:w="1680" w:type="dxa"/>
            <w:shd w:val="clear" w:color="auto" w:fill="auto"/>
            <w:vAlign w:val="bottom"/>
            <w:hideMark/>
          </w:tcPr>
          <w:p w14:paraId="0D4C428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-2,31%</w:t>
            </w:r>
          </w:p>
        </w:tc>
      </w:tr>
      <w:tr w:rsidR="00D106C9" w:rsidRPr="00D106C9" w14:paraId="203AA945" w14:textId="77777777" w:rsidTr="006D7BCD">
        <w:trPr>
          <w:trHeight w:val="290"/>
        </w:trPr>
        <w:tc>
          <w:tcPr>
            <w:tcW w:w="1200" w:type="dxa"/>
            <w:shd w:val="clear" w:color="auto" w:fill="auto"/>
            <w:vAlign w:val="bottom"/>
            <w:hideMark/>
          </w:tcPr>
          <w:p w14:paraId="570D509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48</w:t>
            </w:r>
          </w:p>
        </w:tc>
        <w:tc>
          <w:tcPr>
            <w:tcW w:w="3260" w:type="dxa"/>
            <w:shd w:val="clear" w:color="auto" w:fill="auto"/>
            <w:vAlign w:val="bottom"/>
            <w:hideMark/>
          </w:tcPr>
          <w:p w14:paraId="34D92C8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Grecia</w:t>
            </w:r>
          </w:p>
        </w:tc>
        <w:tc>
          <w:tcPr>
            <w:tcW w:w="1660" w:type="dxa"/>
            <w:shd w:val="clear" w:color="auto" w:fill="auto"/>
            <w:vAlign w:val="bottom"/>
            <w:hideMark/>
          </w:tcPr>
          <w:p w14:paraId="0A8D62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97,46%</w:t>
            </w:r>
          </w:p>
        </w:tc>
        <w:tc>
          <w:tcPr>
            <w:tcW w:w="1700" w:type="dxa"/>
            <w:shd w:val="clear" w:color="auto" w:fill="auto"/>
            <w:vAlign w:val="bottom"/>
            <w:hideMark/>
          </w:tcPr>
          <w:p w14:paraId="6D17EC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94,86%</w:t>
            </w:r>
          </w:p>
        </w:tc>
        <w:tc>
          <w:tcPr>
            <w:tcW w:w="1680" w:type="dxa"/>
            <w:shd w:val="clear" w:color="auto" w:fill="auto"/>
            <w:vAlign w:val="bottom"/>
            <w:hideMark/>
          </w:tcPr>
          <w:p w14:paraId="49C832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-2,60%</w:t>
            </w:r>
          </w:p>
        </w:tc>
      </w:tr>
      <w:tr w:rsidR="00D106C9" w:rsidRPr="00D106C9" w14:paraId="2028DB48" w14:textId="77777777" w:rsidTr="006D7BCD">
        <w:trPr>
          <w:trHeight w:val="580"/>
        </w:trPr>
        <w:tc>
          <w:tcPr>
            <w:tcW w:w="1200" w:type="dxa"/>
            <w:shd w:val="clear" w:color="auto" w:fill="auto"/>
            <w:vAlign w:val="bottom"/>
            <w:hideMark/>
          </w:tcPr>
          <w:p w14:paraId="057C6E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18</w:t>
            </w:r>
          </w:p>
        </w:tc>
        <w:tc>
          <w:tcPr>
            <w:tcW w:w="3260" w:type="dxa"/>
            <w:shd w:val="clear" w:color="auto" w:fill="auto"/>
            <w:vAlign w:val="bottom"/>
            <w:hideMark/>
          </w:tcPr>
          <w:p w14:paraId="119F1B5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Zona Atlántica</w:t>
            </w:r>
          </w:p>
        </w:tc>
        <w:tc>
          <w:tcPr>
            <w:tcW w:w="1660" w:type="dxa"/>
            <w:shd w:val="clear" w:color="auto" w:fill="auto"/>
            <w:vAlign w:val="bottom"/>
            <w:hideMark/>
          </w:tcPr>
          <w:p w14:paraId="1FE9B7D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97,15%</w:t>
            </w:r>
          </w:p>
        </w:tc>
        <w:tc>
          <w:tcPr>
            <w:tcW w:w="1700" w:type="dxa"/>
            <w:shd w:val="clear" w:color="auto" w:fill="auto"/>
            <w:vAlign w:val="bottom"/>
            <w:hideMark/>
          </w:tcPr>
          <w:p w14:paraId="643FAD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93,99%</w:t>
            </w:r>
          </w:p>
        </w:tc>
        <w:tc>
          <w:tcPr>
            <w:tcW w:w="1680" w:type="dxa"/>
            <w:shd w:val="clear" w:color="auto" w:fill="auto"/>
            <w:vAlign w:val="bottom"/>
            <w:hideMark/>
          </w:tcPr>
          <w:p w14:paraId="79FDFE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-3,16%</w:t>
            </w:r>
          </w:p>
        </w:tc>
      </w:tr>
      <w:tr w:rsidR="00D106C9" w:rsidRPr="00D106C9" w14:paraId="4E1B2FF4" w14:textId="77777777" w:rsidTr="006D7BCD">
        <w:trPr>
          <w:trHeight w:val="290"/>
        </w:trPr>
        <w:tc>
          <w:tcPr>
            <w:tcW w:w="1200" w:type="dxa"/>
            <w:shd w:val="clear" w:color="auto" w:fill="auto"/>
            <w:vAlign w:val="bottom"/>
            <w:hideMark/>
          </w:tcPr>
          <w:p w14:paraId="5A711A4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14</w:t>
            </w:r>
          </w:p>
        </w:tc>
        <w:tc>
          <w:tcPr>
            <w:tcW w:w="3260" w:type="dxa"/>
            <w:shd w:val="clear" w:color="auto" w:fill="auto"/>
            <w:vAlign w:val="bottom"/>
            <w:hideMark/>
          </w:tcPr>
          <w:p w14:paraId="40099CF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Tercer Circuito Judicial Alajuela</w:t>
            </w:r>
          </w:p>
        </w:tc>
        <w:tc>
          <w:tcPr>
            <w:tcW w:w="1660" w:type="dxa"/>
            <w:shd w:val="clear" w:color="auto" w:fill="auto"/>
            <w:vAlign w:val="bottom"/>
            <w:hideMark/>
          </w:tcPr>
          <w:p w14:paraId="4BD85A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96,33%</w:t>
            </w:r>
          </w:p>
        </w:tc>
        <w:tc>
          <w:tcPr>
            <w:tcW w:w="1700" w:type="dxa"/>
            <w:shd w:val="clear" w:color="auto" w:fill="auto"/>
            <w:vAlign w:val="bottom"/>
            <w:hideMark/>
          </w:tcPr>
          <w:p w14:paraId="46080F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92,92%</w:t>
            </w:r>
          </w:p>
        </w:tc>
        <w:tc>
          <w:tcPr>
            <w:tcW w:w="1680" w:type="dxa"/>
            <w:shd w:val="clear" w:color="auto" w:fill="auto"/>
            <w:vAlign w:val="bottom"/>
            <w:hideMark/>
          </w:tcPr>
          <w:p w14:paraId="3E4DEA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-3,41%</w:t>
            </w:r>
          </w:p>
        </w:tc>
      </w:tr>
      <w:tr w:rsidR="00D106C9" w:rsidRPr="00D106C9" w14:paraId="3F20DC82" w14:textId="77777777" w:rsidTr="006D7BCD">
        <w:trPr>
          <w:trHeight w:val="580"/>
        </w:trPr>
        <w:tc>
          <w:tcPr>
            <w:tcW w:w="1200" w:type="dxa"/>
            <w:shd w:val="clear" w:color="auto" w:fill="auto"/>
            <w:vAlign w:val="bottom"/>
            <w:hideMark/>
          </w:tcPr>
          <w:p w14:paraId="040B802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11</w:t>
            </w:r>
          </w:p>
        </w:tc>
        <w:tc>
          <w:tcPr>
            <w:tcW w:w="3260" w:type="dxa"/>
            <w:shd w:val="clear" w:color="auto" w:fill="auto"/>
            <w:vAlign w:val="bottom"/>
            <w:hideMark/>
          </w:tcPr>
          <w:p w14:paraId="484124B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Segundo Circuito Judicial Zona Sur</w:t>
            </w:r>
          </w:p>
        </w:tc>
        <w:tc>
          <w:tcPr>
            <w:tcW w:w="1660" w:type="dxa"/>
            <w:shd w:val="clear" w:color="auto" w:fill="auto"/>
            <w:vAlign w:val="bottom"/>
            <w:hideMark/>
          </w:tcPr>
          <w:p w14:paraId="0629C58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93,96%</w:t>
            </w:r>
          </w:p>
        </w:tc>
        <w:tc>
          <w:tcPr>
            <w:tcW w:w="1700" w:type="dxa"/>
            <w:shd w:val="clear" w:color="auto" w:fill="auto"/>
            <w:vAlign w:val="bottom"/>
            <w:hideMark/>
          </w:tcPr>
          <w:p w14:paraId="0B8B0E4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90,12%</w:t>
            </w:r>
          </w:p>
        </w:tc>
        <w:tc>
          <w:tcPr>
            <w:tcW w:w="1680" w:type="dxa"/>
            <w:shd w:val="clear" w:color="auto" w:fill="auto"/>
            <w:vAlign w:val="bottom"/>
            <w:hideMark/>
          </w:tcPr>
          <w:p w14:paraId="70B0866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-3,84%</w:t>
            </w:r>
          </w:p>
        </w:tc>
      </w:tr>
      <w:tr w:rsidR="00D106C9" w:rsidRPr="00D106C9" w14:paraId="19175C71" w14:textId="77777777" w:rsidTr="006D7BCD">
        <w:trPr>
          <w:trHeight w:val="580"/>
        </w:trPr>
        <w:tc>
          <w:tcPr>
            <w:tcW w:w="1200" w:type="dxa"/>
            <w:shd w:val="clear" w:color="auto" w:fill="auto"/>
            <w:vAlign w:val="bottom"/>
            <w:hideMark/>
          </w:tcPr>
          <w:p w14:paraId="6AB83E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w:t>
            </w:r>
          </w:p>
        </w:tc>
        <w:tc>
          <w:tcPr>
            <w:tcW w:w="3260" w:type="dxa"/>
            <w:shd w:val="clear" w:color="auto" w:fill="auto"/>
            <w:vAlign w:val="bottom"/>
            <w:hideMark/>
          </w:tcPr>
          <w:p w14:paraId="39547E78"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Zona Sur</w:t>
            </w:r>
          </w:p>
        </w:tc>
        <w:tc>
          <w:tcPr>
            <w:tcW w:w="1660" w:type="dxa"/>
            <w:shd w:val="clear" w:color="auto" w:fill="auto"/>
            <w:vAlign w:val="bottom"/>
            <w:hideMark/>
          </w:tcPr>
          <w:p w14:paraId="79849B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94,08%</w:t>
            </w:r>
          </w:p>
        </w:tc>
        <w:tc>
          <w:tcPr>
            <w:tcW w:w="1700" w:type="dxa"/>
            <w:shd w:val="clear" w:color="auto" w:fill="auto"/>
            <w:vAlign w:val="bottom"/>
            <w:hideMark/>
          </w:tcPr>
          <w:p w14:paraId="6F46034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89,10%</w:t>
            </w:r>
          </w:p>
        </w:tc>
        <w:tc>
          <w:tcPr>
            <w:tcW w:w="1680" w:type="dxa"/>
            <w:shd w:val="clear" w:color="auto" w:fill="auto"/>
            <w:vAlign w:val="bottom"/>
            <w:hideMark/>
          </w:tcPr>
          <w:p w14:paraId="6BF7B6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-4,98%</w:t>
            </w:r>
          </w:p>
        </w:tc>
      </w:tr>
      <w:tr w:rsidR="00D106C9" w:rsidRPr="00D106C9" w14:paraId="2239D5C0" w14:textId="77777777" w:rsidTr="006D7BCD">
        <w:trPr>
          <w:trHeight w:val="290"/>
        </w:trPr>
        <w:tc>
          <w:tcPr>
            <w:tcW w:w="1200" w:type="dxa"/>
            <w:shd w:val="clear" w:color="auto" w:fill="auto"/>
            <w:vAlign w:val="bottom"/>
            <w:hideMark/>
          </w:tcPr>
          <w:p w14:paraId="30420E8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73</w:t>
            </w:r>
          </w:p>
        </w:tc>
        <w:tc>
          <w:tcPr>
            <w:tcW w:w="3260" w:type="dxa"/>
            <w:shd w:val="clear" w:color="auto" w:fill="auto"/>
            <w:vAlign w:val="bottom"/>
            <w:hideMark/>
          </w:tcPr>
          <w:p w14:paraId="713422B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Sarapiquí</w:t>
            </w:r>
          </w:p>
        </w:tc>
        <w:tc>
          <w:tcPr>
            <w:tcW w:w="1660" w:type="dxa"/>
            <w:shd w:val="clear" w:color="auto" w:fill="auto"/>
            <w:vAlign w:val="bottom"/>
            <w:hideMark/>
          </w:tcPr>
          <w:p w14:paraId="78249F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98,21%</w:t>
            </w:r>
          </w:p>
        </w:tc>
        <w:tc>
          <w:tcPr>
            <w:tcW w:w="1700" w:type="dxa"/>
            <w:shd w:val="clear" w:color="auto" w:fill="auto"/>
            <w:vAlign w:val="bottom"/>
            <w:hideMark/>
          </w:tcPr>
          <w:p w14:paraId="3015FC5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93,06%</w:t>
            </w:r>
          </w:p>
        </w:tc>
        <w:tc>
          <w:tcPr>
            <w:tcW w:w="1680" w:type="dxa"/>
            <w:shd w:val="clear" w:color="auto" w:fill="auto"/>
            <w:vAlign w:val="bottom"/>
            <w:hideMark/>
          </w:tcPr>
          <w:p w14:paraId="567D5B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-5,15%</w:t>
            </w:r>
          </w:p>
        </w:tc>
      </w:tr>
      <w:tr w:rsidR="00D106C9" w:rsidRPr="00D106C9" w14:paraId="067D1496" w14:textId="77777777" w:rsidTr="006D7BCD">
        <w:trPr>
          <w:trHeight w:val="580"/>
        </w:trPr>
        <w:tc>
          <w:tcPr>
            <w:tcW w:w="1200" w:type="dxa"/>
            <w:shd w:val="clear" w:color="auto" w:fill="auto"/>
            <w:vAlign w:val="bottom"/>
            <w:hideMark/>
          </w:tcPr>
          <w:p w14:paraId="1FC9DD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w:t>
            </w:r>
          </w:p>
        </w:tc>
        <w:tc>
          <w:tcPr>
            <w:tcW w:w="3260" w:type="dxa"/>
            <w:shd w:val="clear" w:color="auto" w:fill="auto"/>
            <w:vAlign w:val="bottom"/>
            <w:hideMark/>
          </w:tcPr>
          <w:p w14:paraId="1E442F0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Alajuela</w:t>
            </w:r>
          </w:p>
        </w:tc>
        <w:tc>
          <w:tcPr>
            <w:tcW w:w="1660" w:type="dxa"/>
            <w:shd w:val="clear" w:color="auto" w:fill="auto"/>
            <w:vAlign w:val="bottom"/>
            <w:hideMark/>
          </w:tcPr>
          <w:p w14:paraId="38CDE9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98,76%</w:t>
            </w:r>
          </w:p>
        </w:tc>
        <w:tc>
          <w:tcPr>
            <w:tcW w:w="1700" w:type="dxa"/>
            <w:shd w:val="clear" w:color="auto" w:fill="auto"/>
            <w:vAlign w:val="bottom"/>
            <w:hideMark/>
          </w:tcPr>
          <w:p w14:paraId="4E8797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92,16%</w:t>
            </w:r>
          </w:p>
        </w:tc>
        <w:tc>
          <w:tcPr>
            <w:tcW w:w="1680" w:type="dxa"/>
            <w:shd w:val="clear" w:color="auto" w:fill="auto"/>
            <w:vAlign w:val="bottom"/>
            <w:hideMark/>
          </w:tcPr>
          <w:p w14:paraId="42D1D24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-6,60%</w:t>
            </w:r>
          </w:p>
        </w:tc>
      </w:tr>
      <w:tr w:rsidR="00D106C9" w:rsidRPr="00D106C9" w14:paraId="439F05B2" w14:textId="77777777" w:rsidTr="006D7BCD">
        <w:trPr>
          <w:trHeight w:val="290"/>
        </w:trPr>
        <w:tc>
          <w:tcPr>
            <w:tcW w:w="1200" w:type="dxa"/>
            <w:shd w:val="clear" w:color="auto" w:fill="auto"/>
            <w:vAlign w:val="bottom"/>
            <w:hideMark/>
          </w:tcPr>
          <w:p w14:paraId="078B7E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12</w:t>
            </w:r>
          </w:p>
        </w:tc>
        <w:tc>
          <w:tcPr>
            <w:tcW w:w="3260" w:type="dxa"/>
            <w:shd w:val="clear" w:color="auto" w:fill="auto"/>
            <w:vAlign w:val="bottom"/>
            <w:hideMark/>
          </w:tcPr>
          <w:p w14:paraId="0D88B2C9"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Golfito</w:t>
            </w:r>
          </w:p>
        </w:tc>
        <w:tc>
          <w:tcPr>
            <w:tcW w:w="1660" w:type="dxa"/>
            <w:shd w:val="clear" w:color="auto" w:fill="auto"/>
            <w:vAlign w:val="bottom"/>
            <w:hideMark/>
          </w:tcPr>
          <w:p w14:paraId="503F720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98,33%</w:t>
            </w:r>
          </w:p>
        </w:tc>
        <w:tc>
          <w:tcPr>
            <w:tcW w:w="1700" w:type="dxa"/>
            <w:shd w:val="clear" w:color="auto" w:fill="auto"/>
            <w:vAlign w:val="bottom"/>
            <w:hideMark/>
          </w:tcPr>
          <w:p w14:paraId="2D0577E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90,58%</w:t>
            </w:r>
          </w:p>
        </w:tc>
        <w:tc>
          <w:tcPr>
            <w:tcW w:w="1680" w:type="dxa"/>
            <w:shd w:val="clear" w:color="auto" w:fill="auto"/>
            <w:vAlign w:val="bottom"/>
            <w:hideMark/>
          </w:tcPr>
          <w:p w14:paraId="45D626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-7,75%</w:t>
            </w:r>
          </w:p>
        </w:tc>
      </w:tr>
      <w:tr w:rsidR="00D106C9" w:rsidRPr="00D106C9" w14:paraId="728AB421" w14:textId="77777777" w:rsidTr="006D7BCD">
        <w:trPr>
          <w:trHeight w:val="290"/>
        </w:trPr>
        <w:tc>
          <w:tcPr>
            <w:tcW w:w="1200" w:type="dxa"/>
            <w:shd w:val="clear" w:color="auto" w:fill="auto"/>
            <w:vAlign w:val="bottom"/>
            <w:hideMark/>
          </w:tcPr>
          <w:p w14:paraId="46AA43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47</w:t>
            </w:r>
          </w:p>
        </w:tc>
        <w:tc>
          <w:tcPr>
            <w:tcW w:w="3260" w:type="dxa"/>
            <w:shd w:val="clear" w:color="auto" w:fill="auto"/>
            <w:vAlign w:val="bottom"/>
            <w:hideMark/>
          </w:tcPr>
          <w:p w14:paraId="0CF4E3AE"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Turrialba</w:t>
            </w:r>
          </w:p>
        </w:tc>
        <w:tc>
          <w:tcPr>
            <w:tcW w:w="1660" w:type="dxa"/>
            <w:shd w:val="clear" w:color="auto" w:fill="auto"/>
            <w:vAlign w:val="bottom"/>
            <w:hideMark/>
          </w:tcPr>
          <w:p w14:paraId="29CF4B0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95,31%</w:t>
            </w:r>
          </w:p>
        </w:tc>
        <w:tc>
          <w:tcPr>
            <w:tcW w:w="1700" w:type="dxa"/>
            <w:shd w:val="clear" w:color="auto" w:fill="auto"/>
            <w:vAlign w:val="bottom"/>
            <w:hideMark/>
          </w:tcPr>
          <w:p w14:paraId="107E03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83,50%</w:t>
            </w:r>
          </w:p>
        </w:tc>
        <w:tc>
          <w:tcPr>
            <w:tcW w:w="1680" w:type="dxa"/>
            <w:shd w:val="clear" w:color="auto" w:fill="auto"/>
            <w:vAlign w:val="bottom"/>
            <w:hideMark/>
          </w:tcPr>
          <w:p w14:paraId="4D5C8C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-11,81%</w:t>
            </w:r>
          </w:p>
        </w:tc>
      </w:tr>
      <w:tr w:rsidR="00D106C9" w:rsidRPr="00D106C9" w14:paraId="34F4F79B" w14:textId="77777777" w:rsidTr="006D7BCD">
        <w:trPr>
          <w:trHeight w:val="290"/>
        </w:trPr>
        <w:tc>
          <w:tcPr>
            <w:tcW w:w="1200" w:type="dxa"/>
            <w:shd w:val="clear" w:color="auto" w:fill="auto"/>
            <w:vAlign w:val="bottom"/>
            <w:hideMark/>
          </w:tcPr>
          <w:p w14:paraId="4E2D3B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76</w:t>
            </w:r>
          </w:p>
        </w:tc>
        <w:tc>
          <w:tcPr>
            <w:tcW w:w="3260" w:type="dxa"/>
            <w:shd w:val="clear" w:color="auto" w:fill="auto"/>
            <w:vAlign w:val="bottom"/>
            <w:hideMark/>
          </w:tcPr>
          <w:p w14:paraId="383FD65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Osa</w:t>
            </w:r>
          </w:p>
        </w:tc>
        <w:tc>
          <w:tcPr>
            <w:tcW w:w="1660" w:type="dxa"/>
            <w:shd w:val="clear" w:color="auto" w:fill="auto"/>
            <w:vAlign w:val="bottom"/>
            <w:hideMark/>
          </w:tcPr>
          <w:p w14:paraId="040F89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w:t>
            </w:r>
          </w:p>
        </w:tc>
        <w:tc>
          <w:tcPr>
            <w:tcW w:w="1700" w:type="dxa"/>
            <w:shd w:val="clear" w:color="auto" w:fill="auto"/>
            <w:vAlign w:val="bottom"/>
            <w:hideMark/>
          </w:tcPr>
          <w:p w14:paraId="6326330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86,76%</w:t>
            </w:r>
          </w:p>
        </w:tc>
        <w:tc>
          <w:tcPr>
            <w:tcW w:w="1680" w:type="dxa"/>
            <w:shd w:val="clear" w:color="auto" w:fill="auto"/>
            <w:vAlign w:val="bottom"/>
            <w:hideMark/>
          </w:tcPr>
          <w:p w14:paraId="4B8128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w:t>
            </w:r>
          </w:p>
        </w:tc>
      </w:tr>
    </w:tbl>
    <w:p w14:paraId="34CBCE06" w14:textId="77777777" w:rsidR="00D106C9" w:rsidRPr="00D106C9" w:rsidRDefault="00D106C9" w:rsidP="00D106C9">
      <w:pPr>
        <w:widowControl w:val="0"/>
        <w:suppressAutoHyphens w:val="0"/>
        <w:autoSpaceDE w:val="0"/>
        <w:autoSpaceDN w:val="0"/>
        <w:adjustRightInd w:val="0"/>
        <w:rPr>
          <w:lang w:eastAsia="es-ES"/>
        </w:rPr>
      </w:pPr>
      <w:r w:rsidRPr="00D106C9">
        <w:rPr>
          <w:b/>
          <w:bCs/>
          <w:lang w:eastAsia="es-ES"/>
        </w:rPr>
        <w:t>Fuente:</w:t>
      </w:r>
      <w:r w:rsidRPr="00D106C9">
        <w:rPr>
          <w:lang w:eastAsia="es-ES"/>
        </w:rPr>
        <w:t xml:space="preserve"> Sistema PAO 2020 y 2021.</w:t>
      </w:r>
    </w:p>
    <w:p w14:paraId="09AB986C" w14:textId="77777777" w:rsidR="00D106C9" w:rsidRPr="00D106C9" w:rsidRDefault="00D106C9" w:rsidP="00D106C9">
      <w:pPr>
        <w:widowControl w:val="0"/>
        <w:suppressAutoHyphens w:val="0"/>
        <w:autoSpaceDE w:val="0"/>
        <w:autoSpaceDN w:val="0"/>
        <w:adjustRightInd w:val="0"/>
        <w:jc w:val="both"/>
        <w:rPr>
          <w:b/>
          <w:bCs/>
          <w:lang w:eastAsia="es-ES"/>
        </w:rPr>
      </w:pPr>
    </w:p>
    <w:p w14:paraId="17030B5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Del cuadro anterior, se puede observar que el 36% (20 Centros de </w:t>
      </w:r>
      <w:r w:rsidRPr="00D106C9">
        <w:rPr>
          <w:lang w:eastAsia="es-ES"/>
        </w:rPr>
        <w:lastRenderedPageBreak/>
        <w:t>Responsabilidad) alcanzaron un incremento en el cumplimiento de los avances del PAO entre los dos periodos analizados, mientras que el 29% (16 Centros de Responsabilidad) se mantuvieron con el puntaje máximo (100%) en los años analizados, por otra parte,  el 34% (19 Centros de Responsabilidad) presentaron una disminución en el cumplimiento de los avances del PAO entre los periodos analizados y finalmente el 1% (un Centro de Responsabilidad) registra datos a partir del 2022, el cual es la Administración de Osa.</w:t>
      </w:r>
    </w:p>
    <w:p w14:paraId="6AD7444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F64182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E00B79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C8FE0A4"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9.4. Oficinas con registro de cumplimiento inferior al 90% en los avances al PAO.  </w:t>
      </w:r>
    </w:p>
    <w:p w14:paraId="56A9C3A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9C4A45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apartado presenta las oficinas de diversos programas presupuestarios que registraron al corte que se realizó en el Sistema para obtener los datos de esta evaluación al PAO (19 de enero del 2022), un cumplimiento por debajo del 90% (</w:t>
      </w:r>
      <w:r w:rsidRPr="00D106C9">
        <w:rPr>
          <w:b/>
          <w:bCs/>
          <w:lang w:eastAsia="es-ES"/>
        </w:rPr>
        <w:t>ver anexo 3</w:t>
      </w:r>
      <w:r w:rsidRPr="00D106C9">
        <w:rPr>
          <w:lang w:eastAsia="es-ES"/>
        </w:rPr>
        <w:t xml:space="preserve">). </w:t>
      </w:r>
    </w:p>
    <w:p w14:paraId="17E20F1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66A1C5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Por lo anterior, se puede destacar que hay un total de 122 oficinas con un avance de cumplimiento inferior al 90%, donde un 97% (120 oficinas) corresponden a oficinas o despachos pertenecientes al Programa de Servicio Jurisdiccional, un 2% (2 oficinas) o despachos pertenecen al Programa Dirección, Administración y Otros Órganos de Apoyo y finalmente un 1% (una oficina) pertenece al programa Organismo de Investigación Judicial.</w:t>
      </w:r>
    </w:p>
    <w:p w14:paraId="3FCDB21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135BB3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Por otro lado, se determinó que hay un bloque compuesto por 120 oficinas que tienen nivel de avance intermedio, es decir, se encuentra entre el valor de avance de cumplimiento menor a 90% y 50%.</w:t>
      </w:r>
    </w:p>
    <w:p w14:paraId="155C739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6CC3C2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Por su parte, hay un bloque compuesto por 3 oficinas que tienen un nivel de avance bajo, es decir que registra avances inferiores al 50%.</w:t>
      </w:r>
    </w:p>
    <w:p w14:paraId="342D8B0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23A541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Adicionalmente es importante indicar que el Subproceso de Gestión Administrativa y Desarrollo no realizaron registro de avance, por lo cual, obtuvieron un 0% de avance en el cumplimiento.</w:t>
      </w:r>
    </w:p>
    <w:p w14:paraId="22B9E9E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14FF99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Finalmente, es importante destacar que las 122 oficinas reportadas en este apartado deben determinar las causas y analizar las metas operativas formuladas que no lograron ser completadas, con el fin de identificar las razones del no cumplimiento total y evitar que en el PAO 2022 se reitere. </w:t>
      </w:r>
    </w:p>
    <w:p w14:paraId="0426330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88056F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lastRenderedPageBreak/>
        <w:t>Importante indicar que la mejora del sistema que permite justificar las razones, se realizó hasta el mes de diciembre 2021, por lo cual no todas las metas operativas pendientes, lograron ser justificadas por parte de las oficinas debido a que muchos colocaron su porcentaje antes de la mejora; sin embargo, la Dirección de Planificación por medio de las cápsulas informativas se les comunicó a las diferentes instancias la fecha final para poder cumplir con las metas operativas, adicionalmente, para su información que las metas operativas vinculadas al PEI sin cumplimiento, si se les hizo un análisis del motivo por el cual no se pudo cumplir al 100%, el cual se localiza en el apartado 10.</w:t>
      </w:r>
    </w:p>
    <w:p w14:paraId="7E95A0F0" w14:textId="77777777" w:rsidR="00D106C9" w:rsidRPr="00D106C9" w:rsidRDefault="00D106C9" w:rsidP="00D106C9">
      <w:pPr>
        <w:suppressAutoHyphens w:val="0"/>
        <w:ind w:left="851" w:right="851" w:firstLine="709"/>
        <w:rPr>
          <w:lang w:eastAsia="es-ES"/>
        </w:rPr>
      </w:pPr>
    </w:p>
    <w:p w14:paraId="4D4C1B83"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7BC84209"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9.5. Avances del PAO por Ejes Transversales y Temas Estratégicos. </w:t>
      </w:r>
    </w:p>
    <w:p w14:paraId="4C9A3E1E"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p>
    <w:p w14:paraId="544DDFA3"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A continuación se muestra el avance que reportaron las metas que están asociadas a los ejes transversales, los cuales deben estar presentes en el quehacer de la institución y que recorren las áreas estratégicas para articular e integrar el accionar de los diferentes ámbitos de la institución, por lo tanto, los ejes transversales orientan y dan contenido a la actuación del Poder Judicial, debido a su carácter globalizante e integrador, que de una u otra manera permean en todas las actividades que realiza la institución.</w:t>
      </w:r>
    </w:p>
    <w:p w14:paraId="4A8948C8"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0FB9EEF6" w14:textId="77777777" w:rsidR="00D106C9" w:rsidRPr="00D106C9" w:rsidRDefault="00D106C9" w:rsidP="00D106C9">
      <w:pPr>
        <w:widowControl w:val="0"/>
        <w:suppressAutoHyphens w:val="0"/>
        <w:autoSpaceDE w:val="0"/>
        <w:autoSpaceDN w:val="0"/>
        <w:adjustRightInd w:val="0"/>
        <w:ind w:left="851" w:right="851" w:firstLine="709"/>
        <w:jc w:val="center"/>
        <w:rPr>
          <w:b/>
          <w:lang w:eastAsia="es-ES"/>
        </w:rPr>
      </w:pPr>
    </w:p>
    <w:p w14:paraId="6B10FFB9"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Gráfico </w:t>
      </w:r>
      <w:r w:rsidRPr="00D106C9">
        <w:rPr>
          <w:b/>
          <w:bCs/>
          <w:lang w:eastAsia="es-ES"/>
        </w:rPr>
        <w:fldChar w:fldCharType="begin"/>
      </w:r>
      <w:r w:rsidRPr="00D106C9">
        <w:rPr>
          <w:b/>
          <w:bCs/>
          <w:lang w:eastAsia="es-ES"/>
        </w:rPr>
        <w:instrText xml:space="preserve"> SEQ Gráfico \* ARABIC </w:instrText>
      </w:r>
      <w:r w:rsidRPr="00D106C9">
        <w:rPr>
          <w:b/>
          <w:bCs/>
          <w:lang w:eastAsia="es-ES"/>
        </w:rPr>
        <w:fldChar w:fldCharType="separate"/>
      </w:r>
      <w:r w:rsidRPr="00D106C9">
        <w:rPr>
          <w:b/>
          <w:bCs/>
          <w:lang w:eastAsia="es-ES"/>
        </w:rPr>
        <w:t>5</w:t>
      </w:r>
      <w:r w:rsidRPr="00D106C9">
        <w:rPr>
          <w:b/>
          <w:bCs/>
          <w:lang w:eastAsia="es-ES"/>
        </w:rPr>
        <w:fldChar w:fldCharType="end"/>
      </w:r>
    </w:p>
    <w:p w14:paraId="062F4A6E"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Porcentaje de avances al PAO por Ejes Transversales</w:t>
      </w:r>
    </w:p>
    <w:p w14:paraId="5F4718EE"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para el 2021</w:t>
      </w:r>
    </w:p>
    <w:p w14:paraId="45943A6D" w14:textId="77777777" w:rsidR="00D106C9" w:rsidRPr="00D106C9" w:rsidRDefault="00D106C9" w:rsidP="00D106C9">
      <w:pPr>
        <w:widowControl w:val="0"/>
        <w:suppressAutoHyphens w:val="0"/>
        <w:autoSpaceDE w:val="0"/>
        <w:autoSpaceDN w:val="0"/>
        <w:adjustRightInd w:val="0"/>
        <w:ind w:left="-567"/>
        <w:rPr>
          <w:b/>
          <w:bCs/>
          <w:lang w:eastAsia="es-ES"/>
        </w:rPr>
      </w:pPr>
      <w:r w:rsidRPr="00D106C9">
        <w:rPr>
          <w:noProof/>
          <w:lang w:eastAsia="es-ES"/>
        </w:rPr>
        <w:drawing>
          <wp:inline distT="0" distB="0" distL="0" distR="0" wp14:anchorId="203EB829" wp14:editId="212BBAF0">
            <wp:extent cx="6610350" cy="2315845"/>
            <wp:effectExtent l="0" t="0" r="0" b="8255"/>
            <wp:docPr id="28" name="Gráfico 28">
              <a:extLst xmlns:a="http://schemas.openxmlformats.org/drawingml/2006/main">
                <a:ext uri="{FF2B5EF4-FFF2-40B4-BE49-F238E27FC236}">
                  <a16:creationId xmlns:a16="http://schemas.microsoft.com/office/drawing/2014/main" id="{EE52360D-6869-44AC-8216-413752C6A41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62924AE0" w14:textId="77777777" w:rsidR="00D106C9" w:rsidRPr="00D106C9" w:rsidRDefault="00D106C9" w:rsidP="00D106C9">
      <w:pPr>
        <w:widowControl w:val="0"/>
        <w:suppressAutoHyphens w:val="0"/>
        <w:autoSpaceDE w:val="0"/>
        <w:autoSpaceDN w:val="0"/>
        <w:adjustRightInd w:val="0"/>
        <w:jc w:val="both"/>
        <w:rPr>
          <w:lang w:eastAsia="es-ES"/>
        </w:rPr>
      </w:pPr>
      <w:r w:rsidRPr="00D106C9">
        <w:rPr>
          <w:b/>
          <w:bCs/>
          <w:lang w:eastAsia="es-ES"/>
        </w:rPr>
        <w:t>Fuente:</w:t>
      </w:r>
      <w:r w:rsidRPr="00D106C9">
        <w:rPr>
          <w:lang w:eastAsia="es-ES"/>
        </w:rPr>
        <w:t xml:space="preserve"> Sistema PAO con corte al 19 de enero del 2022.</w:t>
      </w:r>
    </w:p>
    <w:p w14:paraId="214F671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Del gráfico anterior, se tiene un avance en promedio de ejes transversales </w:t>
      </w:r>
      <w:r w:rsidRPr="00D106C9">
        <w:rPr>
          <w:lang w:eastAsia="es-ES"/>
        </w:rPr>
        <w:lastRenderedPageBreak/>
        <w:t>de un 96,20% lo cual es un dato que destaca por el compromiso implícito en el cumplimiento de las metas operativas y su alineación de acuerdo con los ejes transversales, los cuales están presentes en el quehacer institucional con el fin de cumplir las obligaciones establecidas en los convenios e instrumentos internacionales, la legislación nacional, la normativa institucional y los compromisos asumidos por la institución. Los ejes que presentan un mayor cumplimiento de metas son los “Valores Institucionales”, “Valor del servicio de Administración de Justicia”, “Bienestar y salud del personal judicial” y “Ambiente”.</w:t>
      </w:r>
    </w:p>
    <w:p w14:paraId="7E31BC08"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55077C56"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Gráfico </w:t>
      </w:r>
      <w:r w:rsidRPr="00D106C9">
        <w:rPr>
          <w:b/>
          <w:bCs/>
          <w:lang w:eastAsia="es-ES"/>
        </w:rPr>
        <w:fldChar w:fldCharType="begin"/>
      </w:r>
      <w:r w:rsidRPr="00D106C9">
        <w:rPr>
          <w:b/>
          <w:bCs/>
          <w:lang w:eastAsia="es-ES"/>
        </w:rPr>
        <w:instrText xml:space="preserve"> SEQ Gráfico \* ARABIC </w:instrText>
      </w:r>
      <w:r w:rsidRPr="00D106C9">
        <w:rPr>
          <w:b/>
          <w:bCs/>
          <w:lang w:eastAsia="es-ES"/>
        </w:rPr>
        <w:fldChar w:fldCharType="separate"/>
      </w:r>
      <w:r w:rsidRPr="00D106C9">
        <w:rPr>
          <w:b/>
          <w:bCs/>
          <w:lang w:eastAsia="es-ES"/>
        </w:rPr>
        <w:t>6</w:t>
      </w:r>
      <w:r w:rsidRPr="00D106C9">
        <w:rPr>
          <w:b/>
          <w:bCs/>
          <w:lang w:eastAsia="es-ES"/>
        </w:rPr>
        <w:fldChar w:fldCharType="end"/>
      </w:r>
    </w:p>
    <w:p w14:paraId="1B39CBC8" w14:textId="77777777" w:rsidR="00D106C9" w:rsidRPr="00D106C9" w:rsidRDefault="00D106C9" w:rsidP="00D106C9">
      <w:pPr>
        <w:widowControl w:val="0"/>
        <w:suppressAutoHyphens w:val="0"/>
        <w:autoSpaceDE w:val="0"/>
        <w:autoSpaceDN w:val="0"/>
        <w:adjustRightInd w:val="0"/>
        <w:ind w:left="851" w:right="851" w:firstLine="709"/>
        <w:jc w:val="center"/>
        <w:rPr>
          <w:b/>
          <w:lang w:eastAsia="es-ES"/>
        </w:rPr>
      </w:pPr>
      <w:r w:rsidRPr="00D106C9">
        <w:rPr>
          <w:b/>
          <w:lang w:eastAsia="es-ES"/>
        </w:rPr>
        <w:t>Porcentaje de avances al PAO por Tema Estratégico</w:t>
      </w:r>
    </w:p>
    <w:p w14:paraId="134B77A6"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para el 2021</w:t>
      </w:r>
    </w:p>
    <w:p w14:paraId="5139D36D" w14:textId="77777777" w:rsidR="00D106C9" w:rsidRPr="00D106C9" w:rsidRDefault="00D106C9" w:rsidP="00D106C9">
      <w:pPr>
        <w:widowControl w:val="0"/>
        <w:suppressAutoHyphens w:val="0"/>
        <w:autoSpaceDE w:val="0"/>
        <w:autoSpaceDN w:val="0"/>
        <w:adjustRightInd w:val="0"/>
        <w:jc w:val="center"/>
        <w:rPr>
          <w:lang w:eastAsia="es-ES"/>
        </w:rPr>
      </w:pPr>
      <w:r w:rsidRPr="00D106C9">
        <w:rPr>
          <w:noProof/>
          <w:lang w:eastAsia="es-ES"/>
        </w:rPr>
        <w:drawing>
          <wp:inline distT="0" distB="0" distL="0" distR="0" wp14:anchorId="25AF4BF3" wp14:editId="51017D0C">
            <wp:extent cx="5060950" cy="2743200"/>
            <wp:effectExtent l="0" t="0" r="6350" b="0"/>
            <wp:docPr id="30" name="Gráfico 30">
              <a:extLst xmlns:a="http://schemas.openxmlformats.org/drawingml/2006/main">
                <a:ext uri="{FF2B5EF4-FFF2-40B4-BE49-F238E27FC236}">
                  <a16:creationId xmlns:a16="http://schemas.microsoft.com/office/drawing/2014/main" id="{CA731187-BE32-41FE-94D5-5C7DDD025B3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3270D850" w14:textId="77777777" w:rsidR="00D106C9" w:rsidRPr="00D106C9" w:rsidRDefault="00D106C9" w:rsidP="00D106C9">
      <w:pPr>
        <w:widowControl w:val="0"/>
        <w:suppressAutoHyphens w:val="0"/>
        <w:autoSpaceDE w:val="0"/>
        <w:autoSpaceDN w:val="0"/>
        <w:adjustRightInd w:val="0"/>
        <w:jc w:val="both"/>
        <w:rPr>
          <w:lang w:eastAsia="es-ES"/>
        </w:rPr>
      </w:pPr>
      <w:r w:rsidRPr="00D106C9">
        <w:rPr>
          <w:b/>
          <w:bCs/>
          <w:lang w:eastAsia="es-ES"/>
        </w:rPr>
        <w:t xml:space="preserve">                    Fuente:</w:t>
      </w:r>
      <w:r w:rsidRPr="00D106C9">
        <w:rPr>
          <w:lang w:eastAsia="es-ES"/>
        </w:rPr>
        <w:t xml:space="preserve"> Sistema PAO con corte al 19 de enero del 2022.</w:t>
      </w:r>
    </w:p>
    <w:p w14:paraId="2E273521" w14:textId="77777777" w:rsidR="00D106C9" w:rsidRPr="00D106C9" w:rsidRDefault="00D106C9" w:rsidP="00D106C9">
      <w:pPr>
        <w:widowControl w:val="0"/>
        <w:suppressAutoHyphens w:val="0"/>
        <w:autoSpaceDE w:val="0"/>
        <w:autoSpaceDN w:val="0"/>
        <w:adjustRightInd w:val="0"/>
        <w:rPr>
          <w:lang w:eastAsia="es-ES"/>
        </w:rPr>
      </w:pPr>
    </w:p>
    <w:p w14:paraId="312DF21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En promedio, los temas estratégicos alcanzaron un 97,40% de avance para el 2021. Del gráfico anterior se aprecia que los temas que registran un mayor cumplimiento de metas son “Gestión del Personal”, “Planificación Institucional” y “Confianza y probidad en la Justicia” y en el caso del tema “Optimización e innovación de los servicios judiciales” que si bien es cierto no registra un nivel de cumplimiento bajo, conviene realizar un mayor seguimiento a las metas operativas por parte de los Centros de Responsabilidad en las cuales se tenga un grado de compromiso con este tema, que tiene especial relevancia debido a que se relaciona directamente con la misión que tiene la institución.</w:t>
      </w:r>
    </w:p>
    <w:p w14:paraId="4AACC0D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606F785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lastRenderedPageBreak/>
        <w:t>Con respecto al tema de Resolución Oportuna de Conflictos, si bien es el tema estratégico que menor avance reporta en su cumplimiento, se debe principalmente a que es el tema estratégico con mayor cantidad de metas (ya sean vinculadas al PEI o creadas por iniciativa de las oficinas) esto es un aspecto positivo, pero a la vez, demanda un mayor cumplimiento y atención de las oficinas para lograr el cumplimiento a lo largo del año.  Se formularon 2347 metas en este tema del total de las 6738 metas formuladas, lo que representa un 35% del total de las metas vinculadas a este tema tan importante, esto refleja la necesidad de priorizar y atender las metas vinculadas al tema de Resolución Oportuna de Conflictos.</w:t>
      </w:r>
    </w:p>
    <w:p w14:paraId="2F69435B"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449BD0B"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9.6. Estado de las metas del Plan Anual Operativo para el 2021. </w:t>
      </w:r>
    </w:p>
    <w:p w14:paraId="4BE637AC"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59F291E2"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De seguido, se muestra el porcentaje de distribución de los estados de las metas que al corte de la evaluación fueron reportados por las oficinas y despachos.</w:t>
      </w:r>
    </w:p>
    <w:p w14:paraId="49D3611E"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4D41A9D1"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Gráfico </w:t>
      </w:r>
      <w:r w:rsidRPr="00D106C9">
        <w:rPr>
          <w:b/>
          <w:bCs/>
          <w:lang w:eastAsia="es-ES"/>
        </w:rPr>
        <w:fldChar w:fldCharType="begin"/>
      </w:r>
      <w:r w:rsidRPr="00D106C9">
        <w:rPr>
          <w:b/>
          <w:bCs/>
          <w:lang w:eastAsia="es-ES"/>
        </w:rPr>
        <w:instrText xml:space="preserve"> SEQ Gráfico \* ARABIC </w:instrText>
      </w:r>
      <w:r w:rsidRPr="00D106C9">
        <w:rPr>
          <w:b/>
          <w:bCs/>
          <w:lang w:eastAsia="es-ES"/>
        </w:rPr>
        <w:fldChar w:fldCharType="separate"/>
      </w:r>
      <w:r w:rsidRPr="00D106C9">
        <w:rPr>
          <w:b/>
          <w:bCs/>
          <w:lang w:eastAsia="es-ES"/>
        </w:rPr>
        <w:t>7</w:t>
      </w:r>
      <w:r w:rsidRPr="00D106C9">
        <w:rPr>
          <w:b/>
          <w:bCs/>
          <w:lang w:eastAsia="es-ES"/>
        </w:rPr>
        <w:fldChar w:fldCharType="end"/>
      </w:r>
    </w:p>
    <w:p w14:paraId="6B1CA2AC" w14:textId="77777777" w:rsidR="00D106C9" w:rsidRPr="00D106C9" w:rsidRDefault="00D106C9" w:rsidP="00D106C9">
      <w:pPr>
        <w:widowControl w:val="0"/>
        <w:suppressAutoHyphens w:val="0"/>
        <w:autoSpaceDE w:val="0"/>
        <w:autoSpaceDN w:val="0"/>
        <w:adjustRightInd w:val="0"/>
        <w:jc w:val="center"/>
        <w:rPr>
          <w:b/>
          <w:bCs/>
          <w:lang w:eastAsia="zh-CN"/>
        </w:rPr>
      </w:pPr>
      <w:r w:rsidRPr="00D106C9">
        <w:rPr>
          <w:b/>
          <w:bCs/>
          <w:lang w:eastAsia="zh-CN"/>
        </w:rPr>
        <w:t>Estado de las metas en el PAO al 2021</w:t>
      </w:r>
    </w:p>
    <w:p w14:paraId="449981F7" w14:textId="77777777" w:rsidR="00D106C9" w:rsidRPr="00D106C9" w:rsidRDefault="00D106C9" w:rsidP="00D106C9">
      <w:pPr>
        <w:widowControl w:val="0"/>
        <w:suppressAutoHyphens w:val="0"/>
        <w:autoSpaceDE w:val="0"/>
        <w:autoSpaceDN w:val="0"/>
        <w:adjustRightInd w:val="0"/>
        <w:jc w:val="center"/>
        <w:rPr>
          <w:lang w:eastAsia="es-ES"/>
        </w:rPr>
      </w:pPr>
      <w:r w:rsidRPr="00D106C9">
        <w:rPr>
          <w:noProof/>
          <w:lang w:eastAsia="es-ES"/>
        </w:rPr>
        <w:drawing>
          <wp:inline distT="0" distB="0" distL="0" distR="0" wp14:anchorId="4127120C" wp14:editId="12EC244A">
            <wp:extent cx="3900376" cy="2554114"/>
            <wp:effectExtent l="0" t="0" r="5080" b="0"/>
            <wp:docPr id="31" name="Imagen 3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descr="Gráfico, Gráfico circular&#10;&#10;Descripción generada automáticament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902303" cy="2555376"/>
                    </a:xfrm>
                    <a:prstGeom prst="rect">
                      <a:avLst/>
                    </a:prstGeom>
                    <a:noFill/>
                  </pic:spPr>
                </pic:pic>
              </a:graphicData>
            </a:graphic>
          </wp:inline>
        </w:drawing>
      </w:r>
    </w:p>
    <w:p w14:paraId="501BC6B5" w14:textId="77777777" w:rsidR="00D106C9" w:rsidRPr="00D106C9" w:rsidRDefault="00D106C9" w:rsidP="00D106C9">
      <w:pPr>
        <w:widowControl w:val="0"/>
        <w:suppressAutoHyphens w:val="0"/>
        <w:autoSpaceDE w:val="0"/>
        <w:autoSpaceDN w:val="0"/>
        <w:adjustRightInd w:val="0"/>
        <w:rPr>
          <w:lang w:eastAsia="es-ES"/>
        </w:rPr>
      </w:pPr>
      <w:r w:rsidRPr="00D106C9">
        <w:rPr>
          <w:b/>
          <w:bCs/>
          <w:lang w:eastAsia="es-ES"/>
        </w:rPr>
        <w:t xml:space="preserve">     Fuente:</w:t>
      </w:r>
      <w:r w:rsidRPr="00D106C9">
        <w:rPr>
          <w:lang w:eastAsia="es-ES"/>
        </w:rPr>
        <w:t xml:space="preserve"> Sistema PAO con corte al 19 de enero del 2022.</w:t>
      </w:r>
    </w:p>
    <w:p w14:paraId="54A2EFC2" w14:textId="77777777" w:rsidR="00D106C9" w:rsidRPr="00D106C9" w:rsidRDefault="00D106C9" w:rsidP="00D106C9">
      <w:pPr>
        <w:widowControl w:val="0"/>
        <w:suppressAutoHyphens w:val="0"/>
        <w:autoSpaceDE w:val="0"/>
        <w:autoSpaceDN w:val="0"/>
        <w:adjustRightInd w:val="0"/>
        <w:jc w:val="both"/>
        <w:rPr>
          <w:lang w:eastAsia="zh-CN"/>
        </w:rPr>
      </w:pPr>
    </w:p>
    <w:p w14:paraId="09D4D5CC"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Del gráfico anterior se puede indicar que hay 87,75% de las metas formuladas (5911 metas) se encuentran en estado “</w:t>
      </w:r>
      <w:r w:rsidRPr="00D106C9">
        <w:rPr>
          <w:b/>
          <w:bCs/>
          <w:lang w:eastAsia="zh-CN"/>
        </w:rPr>
        <w:t>Completado</w:t>
      </w:r>
      <w:r w:rsidRPr="00D106C9">
        <w:rPr>
          <w:lang w:eastAsia="zh-CN"/>
        </w:rPr>
        <w:t xml:space="preserve">”, </w:t>
      </w:r>
      <w:r w:rsidRPr="00D106C9">
        <w:rPr>
          <w:i/>
          <w:iCs/>
          <w:lang w:eastAsia="zh-CN"/>
        </w:rPr>
        <w:t>(Cuando la meta inició su ejecución y fue completada)</w:t>
      </w:r>
      <w:r w:rsidRPr="00D106C9">
        <w:rPr>
          <w:lang w:eastAsia="zh-CN"/>
        </w:rPr>
        <w:t xml:space="preserve"> en otras palabras, de cada diez metas formuladas, prácticamente nueve fueron completadas a nivel nacional, lo cual evidencia, en términos generales, una apropiada programación y ejecución a lo </w:t>
      </w:r>
      <w:r w:rsidRPr="00D106C9">
        <w:rPr>
          <w:lang w:eastAsia="zh-CN"/>
        </w:rPr>
        <w:lastRenderedPageBreak/>
        <w:t>largo del año, de manera que se ha logrado concretar metas paulatinamente a lo largo de todo el periodo, esto muestra una mejor gestión del trabajo y la organización de una manera programada.</w:t>
      </w:r>
    </w:p>
    <w:p w14:paraId="451AB14D"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2C10A7AC"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Al comparar las metas completadas del Plan Anual Operativo 2020 (87,12%) con las metas completadas en el Plan Anual Operativo 2021 (87,75%), se puede observar cómo estas aumentaron en un 0,63%.</w:t>
      </w:r>
    </w:p>
    <w:p w14:paraId="15FD3D04"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2F1A7987"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Por otro lado, se registra un 8.74% (589 metas) con estado “</w:t>
      </w:r>
      <w:r w:rsidRPr="00D106C9">
        <w:rPr>
          <w:b/>
          <w:bCs/>
          <w:lang w:eastAsia="zh-CN"/>
        </w:rPr>
        <w:t xml:space="preserve">Pendiente” </w:t>
      </w:r>
      <w:r w:rsidRPr="00D106C9">
        <w:rPr>
          <w:b/>
          <w:bCs/>
          <w:i/>
          <w:iCs/>
          <w:lang w:eastAsia="zh-CN"/>
        </w:rPr>
        <w:t>(</w:t>
      </w:r>
      <w:r w:rsidRPr="00D106C9">
        <w:rPr>
          <w:i/>
          <w:iCs/>
          <w:lang w:eastAsia="zh-CN"/>
        </w:rPr>
        <w:t>Cuando la meta inició su ejecución, pero no fue completada)</w:t>
      </w:r>
      <w:r w:rsidRPr="00D106C9">
        <w:rPr>
          <w:lang w:eastAsia="zh-CN"/>
        </w:rPr>
        <w:t>, esto quiere decir que, aunque la meta inició, no fue completada, debido a diversas razones.</w:t>
      </w:r>
    </w:p>
    <w:p w14:paraId="25B4F6ED"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2A71B57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zh-CN"/>
        </w:rPr>
        <w:t>Adicionalmente, se presentan 1,75% (118 metas) en estado de “</w:t>
      </w:r>
      <w:r w:rsidRPr="00D106C9">
        <w:rPr>
          <w:b/>
          <w:bCs/>
          <w:lang w:eastAsia="zh-CN"/>
        </w:rPr>
        <w:t>En progreso</w:t>
      </w:r>
      <w:r w:rsidRPr="00D106C9">
        <w:rPr>
          <w:lang w:eastAsia="zh-CN"/>
        </w:rPr>
        <w:t xml:space="preserve">”, </w:t>
      </w:r>
      <w:r w:rsidRPr="00D106C9">
        <w:rPr>
          <w:i/>
          <w:iCs/>
          <w:lang w:eastAsia="zh-CN"/>
        </w:rPr>
        <w:t>(Cuando la ejecución de la meta se encuentra en progreso y dentro del cronograma planificado)</w:t>
      </w:r>
      <w:r w:rsidRPr="00D106C9">
        <w:rPr>
          <w:lang w:eastAsia="zh-CN"/>
        </w:rPr>
        <w:t xml:space="preserve"> variable que no debería ser utilizada al cierre del periodo del año y refleja que 118 metas operativas fueron ejecutadas por las oficinas y despachos judiciales; sin embargo, no fueron exitosamente completadas. Cabe indicar que </w:t>
      </w:r>
      <w:r w:rsidRPr="00D106C9">
        <w:rPr>
          <w:lang w:eastAsia="es-ES"/>
        </w:rPr>
        <w:t>la mejora del sistema se realizó hasta el mes de diciembre por lo cual no todas las metas operativas pendientes lograron ser justificadas por parte de las oficinas debido a que muchos colocaron su porcentaje antes de la mejora; sin embargo, la Dirección de Planificación por medio de las cápsulas informativas se les comunicó a las diferentes instancias la fecha final para poder cumplir con las metas operativas, adicionalmente, para su información que las metas operativas vinculadas al PEI sin cumplimiento, si se les hizo un análisis del motivo por el cual no se pudo cumplir al 100%, el cual se localiza en el apartado 10.</w:t>
      </w:r>
    </w:p>
    <w:p w14:paraId="674C82FB" w14:textId="77777777" w:rsidR="00D106C9" w:rsidRPr="00D106C9" w:rsidRDefault="00D106C9" w:rsidP="00D106C9">
      <w:pPr>
        <w:suppressAutoHyphens w:val="0"/>
        <w:ind w:left="851" w:right="851" w:firstLine="709"/>
        <w:rPr>
          <w:lang w:eastAsia="es-ES"/>
        </w:rPr>
      </w:pPr>
    </w:p>
    <w:p w14:paraId="7D49B9B6"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106675DA"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Seguidamente, se reporta un 1,12% (76 metas) con estado de “</w:t>
      </w:r>
      <w:r w:rsidRPr="00D106C9">
        <w:rPr>
          <w:b/>
          <w:bCs/>
          <w:lang w:eastAsia="zh-CN"/>
        </w:rPr>
        <w:t>Cancelado</w:t>
      </w:r>
      <w:r w:rsidRPr="00D106C9">
        <w:rPr>
          <w:lang w:eastAsia="zh-CN"/>
        </w:rPr>
        <w:t xml:space="preserve">”, lo que significa que antes o durante su ejecución se cancela la meta a solicitud del ente superior, esto debido a que no es posible realizarlas, es importante destacar que </w:t>
      </w:r>
      <w:r w:rsidRPr="00D106C9">
        <w:rPr>
          <w:bCs/>
          <w:lang w:eastAsia="es-ES"/>
        </w:rPr>
        <w:t>este estado solamente con el permiso y visto bueno de la Dirección de Planificación se puede ejecutar.</w:t>
      </w:r>
    </w:p>
    <w:p w14:paraId="45C3F40D"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097677FC"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Adicionalmente, hay un 0,32% de metas operativas (22 metas formuladas) que continúan con el estado de “</w:t>
      </w:r>
      <w:r w:rsidRPr="00D106C9">
        <w:rPr>
          <w:b/>
          <w:bCs/>
          <w:lang w:eastAsia="zh-CN"/>
        </w:rPr>
        <w:t>No Iniciadas</w:t>
      </w:r>
      <w:r w:rsidRPr="00D106C9">
        <w:rPr>
          <w:lang w:eastAsia="zh-CN"/>
        </w:rPr>
        <w:t>”; estas metas requieren una atención especial por parte de las oficinas para que logren determinar por qué razones no lograron ser completadas en el 2021 y sean debidamente analizadas y de ser necesario ser reformuladas en el 2022, debido  a que también se ha presentado que las oficinas si han llevado a cabo esfuerzos y tareas para cumplirlas, solo que se omite el registro del avance en el Sistema.</w:t>
      </w:r>
    </w:p>
    <w:p w14:paraId="20E5A92F"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2598311D"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Por otro lado, se observa como el estado de “</w:t>
      </w:r>
      <w:r w:rsidRPr="00D106C9">
        <w:rPr>
          <w:b/>
          <w:bCs/>
          <w:lang w:eastAsia="zh-CN"/>
        </w:rPr>
        <w:t>Demorado en progreso</w:t>
      </w:r>
      <w:r w:rsidRPr="00D106C9">
        <w:rPr>
          <w:lang w:eastAsia="zh-CN"/>
        </w:rPr>
        <w:t>” registra 13 metas operativas, lo que representan un 0,19% y un 0,13% de metas en estado de “</w:t>
      </w:r>
      <w:r w:rsidRPr="00D106C9">
        <w:rPr>
          <w:b/>
          <w:bCs/>
          <w:lang w:eastAsia="zh-CN"/>
        </w:rPr>
        <w:t>Demorado pendiente”</w:t>
      </w:r>
      <w:r w:rsidRPr="00D106C9">
        <w:rPr>
          <w:lang w:eastAsia="zh-CN"/>
        </w:rPr>
        <w:t>, con un 0,13% de las metas operativas (9 metas) esto quiere decir que, aunque la meta ya inició, no ha sido completada. Cabe aclarar que cuando la meta operativa se encuentra en ejecución dentro del cronograma planificado, se llama en progreso; por otro lado, Cuando la ejecución de la meta se encuentra en ejecución, pero finalizó el plazo de cumplimiento o de rendir el informe se le llama demorado en progreso y el estado demorado pendiente es cuando la ejecución de la meta se encuentra suspendida debido a un factor externo, ajeno al control de la oficina o despacho a cargo del cumplimiento de la meta.</w:t>
      </w:r>
    </w:p>
    <w:p w14:paraId="5AA0F27C"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 xml:space="preserve">Resulta oportuno destacar el incremento en los avances que se registraron para el segundo semestre del 2021, lo cual permitió pasar de un 25,21% de todas las </w:t>
      </w:r>
      <w:r w:rsidRPr="00D106C9">
        <w:rPr>
          <w:b/>
          <w:bCs/>
          <w:lang w:eastAsia="zh-CN"/>
        </w:rPr>
        <w:t>metas</w:t>
      </w:r>
      <w:r w:rsidRPr="00D106C9">
        <w:rPr>
          <w:lang w:eastAsia="zh-CN"/>
        </w:rPr>
        <w:t xml:space="preserve"> </w:t>
      </w:r>
      <w:r w:rsidRPr="00D106C9">
        <w:rPr>
          <w:b/>
          <w:bCs/>
          <w:lang w:eastAsia="zh-CN"/>
        </w:rPr>
        <w:t>completadas</w:t>
      </w:r>
      <w:r w:rsidRPr="00D106C9">
        <w:rPr>
          <w:lang w:eastAsia="zh-CN"/>
        </w:rPr>
        <w:t xml:space="preserve"> en los primeros 6 meses del año (evidenciaba un rezago en el cumplimiento) a lograr un 87,75% de todas las metas operativas de manera completada.</w:t>
      </w:r>
    </w:p>
    <w:p w14:paraId="6B836DCA"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2C17CA0E"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También es menester señalar que, al corte del primer semestre del 2021, habían 19,65% de las metas con un estado de: “</w:t>
      </w:r>
      <w:r w:rsidRPr="00D106C9">
        <w:rPr>
          <w:b/>
          <w:bCs/>
          <w:i/>
          <w:iCs/>
          <w:lang w:eastAsia="zh-CN"/>
        </w:rPr>
        <w:t>No iniciadas</w:t>
      </w:r>
      <w:r w:rsidRPr="00D106C9">
        <w:rPr>
          <w:lang w:eastAsia="zh-CN"/>
        </w:rPr>
        <w:t>”, sin embargo, para el cierre de año, ese estado representó un 0,32% de la totalidad, lo que demuestra que fueron muy pocas las metas operativas que no iniciaron la gestión, ni fueron completadas.</w:t>
      </w:r>
    </w:p>
    <w:p w14:paraId="27AF55AD"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0C76987B" w14:textId="77777777" w:rsidR="00D106C9" w:rsidRPr="00D106C9" w:rsidRDefault="00D106C9" w:rsidP="00D106C9">
      <w:pPr>
        <w:widowControl w:val="0"/>
        <w:suppressAutoHyphens w:val="0"/>
        <w:autoSpaceDE w:val="0"/>
        <w:autoSpaceDN w:val="0"/>
        <w:adjustRightInd w:val="0"/>
        <w:ind w:left="851" w:right="851" w:firstLine="709"/>
        <w:jc w:val="both"/>
        <w:rPr>
          <w:b/>
          <w:lang w:eastAsia="es-ES"/>
        </w:rPr>
      </w:pPr>
      <w:r w:rsidRPr="00D106C9">
        <w:rPr>
          <w:lang w:eastAsia="zh-CN"/>
        </w:rPr>
        <w:t xml:space="preserve">Es importante destacar que </w:t>
      </w:r>
      <w:bookmarkStart w:id="25" w:name="_Hlk96602275"/>
      <w:r w:rsidRPr="00D106C9">
        <w:rPr>
          <w:lang w:eastAsia="zh-CN"/>
        </w:rPr>
        <w:t>la Dirección de Planificación confeccionó la circular</w:t>
      </w:r>
      <w:r w:rsidRPr="00D106C9">
        <w:rPr>
          <w:b/>
          <w:bCs/>
          <w:lang w:eastAsia="es-ES"/>
        </w:rPr>
        <w:t xml:space="preserve"> </w:t>
      </w:r>
      <w:r w:rsidRPr="00D106C9">
        <w:rPr>
          <w:lang w:eastAsia="es-ES"/>
        </w:rPr>
        <w:t>externa 12-2021 del 16 de diciembre del 2021, denominada “</w:t>
      </w:r>
      <w:r w:rsidRPr="00D106C9">
        <w:rPr>
          <w:i/>
          <w:iCs/>
          <w:lang w:eastAsia="es-ES"/>
        </w:rPr>
        <w:t>Fecha límite para el registro de avances en el cumplimiento de objetivos y metas de los Planes Anuales Operativos (PAO) 2021</w:t>
      </w:r>
      <w:r w:rsidRPr="00D106C9">
        <w:rPr>
          <w:lang w:eastAsia="es-ES"/>
        </w:rPr>
        <w:t>” (</w:t>
      </w:r>
      <w:r w:rsidRPr="00D106C9">
        <w:rPr>
          <w:b/>
          <w:bCs/>
          <w:lang w:eastAsia="es-ES"/>
        </w:rPr>
        <w:t>ver anexo 4</w:t>
      </w:r>
      <w:r w:rsidRPr="00D106C9">
        <w:rPr>
          <w:lang w:eastAsia="es-ES"/>
        </w:rPr>
        <w:t xml:space="preserve">), en donde se indicó que el plazo máximo para registrar los avances en el Sistema PAO 2021, el cual se  habilitó hasta el miércoles 19 de enero del 2022 y adicionalmente se les comunica el procedimiento </w:t>
      </w:r>
      <w:r w:rsidRPr="00D106C9">
        <w:rPr>
          <w:bCs/>
          <w:lang w:eastAsia="es-ES"/>
        </w:rPr>
        <w:t xml:space="preserve">de cierre de los PAOS en el Sistema para el 2021, en donde se le recuerda a las oficinas y despachos judiciales cuales son los </w:t>
      </w:r>
      <w:r w:rsidRPr="00D106C9">
        <w:rPr>
          <w:lang w:eastAsia="es-ES"/>
        </w:rPr>
        <w:t xml:space="preserve">estados avalados de una meta en el PAO al momento de cierre de avances en el Sistema PAO 2021, los cuales deben ser </w:t>
      </w:r>
      <w:r w:rsidRPr="00D106C9">
        <w:rPr>
          <w:b/>
          <w:lang w:eastAsia="es-ES"/>
        </w:rPr>
        <w:t>“Pendiente”, “Completado” o “Cancelado”</w:t>
      </w:r>
      <w:r w:rsidRPr="00D106C9">
        <w:rPr>
          <w:bCs/>
          <w:lang w:eastAsia="es-ES"/>
        </w:rPr>
        <w:t xml:space="preserve"> (este último solamente con el permiso y visto bueno de la Dirección de Planificación), por ende, no pueden aparecer metas con otros estados al cierre de avances en el Sistema PAO 2021: </w:t>
      </w:r>
      <w:r w:rsidRPr="00D106C9">
        <w:rPr>
          <w:b/>
          <w:lang w:eastAsia="es-ES"/>
        </w:rPr>
        <w:t>En progreso, Demorado en Progreso (DEP), Demorado Pendiente (DP), No iniciada</w:t>
      </w:r>
      <w:bookmarkEnd w:id="25"/>
      <w:r w:rsidRPr="00D106C9">
        <w:rPr>
          <w:b/>
          <w:lang w:eastAsia="es-ES"/>
        </w:rPr>
        <w:t xml:space="preserve"> </w:t>
      </w:r>
      <w:r w:rsidRPr="00D106C9">
        <w:rPr>
          <w:bCs/>
          <w:lang w:eastAsia="es-ES"/>
        </w:rPr>
        <w:t>(</w:t>
      </w:r>
      <w:r w:rsidRPr="00D106C9">
        <w:rPr>
          <w:b/>
          <w:lang w:eastAsia="es-ES"/>
        </w:rPr>
        <w:t>ver anexo 5</w:t>
      </w:r>
      <w:r w:rsidRPr="00D106C9">
        <w:rPr>
          <w:bCs/>
          <w:lang w:eastAsia="es-ES"/>
        </w:rPr>
        <w:t>).</w:t>
      </w:r>
    </w:p>
    <w:p w14:paraId="3CC456DD" w14:textId="77777777" w:rsidR="00D106C9" w:rsidRPr="00D106C9" w:rsidRDefault="00D106C9" w:rsidP="00D106C9">
      <w:pPr>
        <w:widowControl w:val="0"/>
        <w:suppressAutoHyphens w:val="0"/>
        <w:autoSpaceDE w:val="0"/>
        <w:autoSpaceDN w:val="0"/>
        <w:adjustRightInd w:val="0"/>
        <w:ind w:left="851" w:right="851" w:firstLine="709"/>
        <w:jc w:val="both"/>
        <w:rPr>
          <w:bCs/>
          <w:lang w:eastAsia="es-ES"/>
        </w:rPr>
      </w:pPr>
      <w:r w:rsidRPr="00D106C9">
        <w:rPr>
          <w:lang w:eastAsia="es-ES"/>
        </w:rPr>
        <w:t xml:space="preserve">Es importante indicar que, en el mes de enero del 2022, el Subproceso de Evaluación de la Dirección de Planificación remitió un total de 291 correos electrónicos a las diferentes oficinas o despachos judiciales que tenían una meta </w:t>
      </w:r>
      <w:r w:rsidRPr="00D106C9">
        <w:rPr>
          <w:lang w:eastAsia="es-ES"/>
        </w:rPr>
        <w:lastRenderedPageBreak/>
        <w:t>operativa con algún estado no permitido a la hora de finalizar el PAO 2021 para que procedieran con las correcciones respectivas (</w:t>
      </w:r>
      <w:r w:rsidRPr="00D106C9">
        <w:rPr>
          <w:b/>
          <w:bCs/>
          <w:lang w:eastAsia="es-ES"/>
        </w:rPr>
        <w:t>ver anexo 6</w:t>
      </w:r>
      <w:r w:rsidRPr="00D106C9">
        <w:rPr>
          <w:lang w:eastAsia="es-ES"/>
        </w:rPr>
        <w:t>); sin embargo, las inconsistencias se mantuvieron por parte de las instancias judiciales al finalizar el periodo 2021.</w:t>
      </w:r>
    </w:p>
    <w:p w14:paraId="53452E4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Adicionalmente, se puede comentar que a partir del 8 de diciembre del 2021 la Dirección de Planificación implementó una mejora en el Sistema PAO que permite a las oficinas y despachos redactar los resultados, beneficios y población beneficiada en caso de lograr el cumplimiento total de una meta PAO, los datos servirán para analizar y determinar si se lograron los resultados planteados y cuál fue el beneficio que se obtuvo al cumplir con la meta operativa. </w:t>
      </w:r>
    </w:p>
    <w:p w14:paraId="200C68E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Finalmente, en el caso de que una meta operativa del PAO 2021 quedará con estado de “</w:t>
      </w:r>
      <w:r w:rsidRPr="00D106C9">
        <w:rPr>
          <w:b/>
          <w:bCs/>
          <w:lang w:eastAsia="es-ES"/>
        </w:rPr>
        <w:t>PENDIENTE”</w:t>
      </w:r>
      <w:r w:rsidRPr="00D106C9">
        <w:rPr>
          <w:lang w:eastAsia="es-ES"/>
        </w:rPr>
        <w:t xml:space="preserve"> al no ser posible su ejecución, se podrá redactar una justificación del no cumplimiento de la meta, en donde permite documentar y tener un registro de cuáles son las razones del no cumplimiento de metas PAO a nivel nacional, para posteriores análisis y valorar si se debe reprogramar la meta en el PAO del 2022, esta mejora empezó a regir a partir de la segunda semana de diciembre del 2021, por lo que las metas que se registraron como “Pendiente” con anterioridad a esa fecha, no se solicita el apartado de justificación.</w:t>
      </w:r>
    </w:p>
    <w:p w14:paraId="17203D7B"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Con el fin de reiterar a todos los servidores judiciales sobre la importancia de realizar los avances por medio del Seguimiento a los Planes Anuales Operativos, se enviaron correos electrónicos a todos los despachos y oficinas a nivel nacional que contaban con 0% de avance en el Sistema PAO al 7 de junio del 2021, igualmente se le remite correos a todos los Centros de Responsabilidad con fecha del 10 de junio del 2021 informando sobre el avance de cumplimiento de cada Centro, esto además como parte del monitoreo que la Dirección de Planificación lleva a cabo (</w:t>
      </w:r>
      <w:r w:rsidRPr="00D106C9">
        <w:rPr>
          <w:b/>
          <w:bCs/>
          <w:lang w:eastAsia="zh-CN"/>
        </w:rPr>
        <w:t>ver anexo 7</w:t>
      </w:r>
      <w:r w:rsidRPr="00D106C9">
        <w:rPr>
          <w:lang w:eastAsia="zh-CN"/>
        </w:rPr>
        <w:t xml:space="preserve">). </w:t>
      </w:r>
    </w:p>
    <w:p w14:paraId="4AE364EF"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es-ES"/>
        </w:rPr>
        <w:t xml:space="preserve">A partir del segundo semestre del 2021, se implementó una mejora en el Sistema PAO, el cual consistió, en comunicar vía correo electrónico a todas las oficinas </w:t>
      </w:r>
      <w:r w:rsidRPr="00D106C9">
        <w:rPr>
          <w:lang w:eastAsia="zh-CN"/>
        </w:rPr>
        <w:t>y juzgados que tienen metas operativas establecidas en el PAO por medio del reporte automático denominado “Notificación automática Sistema PAO” el avance del cumplimiento de las metas PAO por oficina para el periodo 2021 (</w:t>
      </w:r>
      <w:r w:rsidRPr="00D106C9">
        <w:rPr>
          <w:b/>
          <w:bCs/>
          <w:lang w:eastAsia="zh-CN"/>
        </w:rPr>
        <w:t>ver anexo 8</w:t>
      </w:r>
      <w:r w:rsidRPr="00D106C9">
        <w:rPr>
          <w:lang w:eastAsia="zh-CN"/>
        </w:rPr>
        <w:t xml:space="preserve">). </w:t>
      </w:r>
    </w:p>
    <w:p w14:paraId="10A40915" w14:textId="77777777" w:rsidR="00D106C9" w:rsidRPr="00D106C9" w:rsidRDefault="00D106C9" w:rsidP="00D106C9">
      <w:pPr>
        <w:widowControl w:val="0"/>
        <w:suppressAutoHyphens w:val="0"/>
        <w:autoSpaceDE w:val="0"/>
        <w:autoSpaceDN w:val="0"/>
        <w:adjustRightInd w:val="0"/>
        <w:ind w:left="851" w:right="851" w:firstLine="709"/>
        <w:jc w:val="both"/>
        <w:rPr>
          <w:bCs/>
          <w:lang w:eastAsia="es-ES"/>
        </w:rPr>
      </w:pPr>
    </w:p>
    <w:p w14:paraId="7FFD1F73"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9.7. Registro de resultados en los avances de los Planes Anuales Operativos.</w:t>
      </w:r>
    </w:p>
    <w:p w14:paraId="2CAC8127"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0E3911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De acuerdo con las mejoras implementadas en el Sistema PAO desde el 2019, se logra determinar en dos alternativas el registro de los avances, ya sea de manera porcentual, o de acuerdo con las cantidades de los entregables o resultados de las metas.</w:t>
      </w:r>
    </w:p>
    <w:p w14:paraId="65428DC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545E48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lastRenderedPageBreak/>
        <w:t xml:space="preserve">De las 6738 metas formuladas en el PAO, un 33% de las metas fueron formuladas de manera que su cumplimiento se mediera en términos relativos de </w:t>
      </w:r>
      <w:r w:rsidRPr="00D106C9">
        <w:rPr>
          <w:b/>
          <w:bCs/>
          <w:lang w:eastAsia="es-ES"/>
        </w:rPr>
        <w:t>porcentaje</w:t>
      </w:r>
      <w:r w:rsidRPr="00D106C9">
        <w:rPr>
          <w:lang w:eastAsia="es-ES"/>
        </w:rPr>
        <w:t xml:space="preserve"> y un 67% de las metas formuladas tienen indicadores que son medibles mediante </w:t>
      </w:r>
      <w:r w:rsidRPr="00D106C9">
        <w:rPr>
          <w:b/>
          <w:bCs/>
          <w:lang w:eastAsia="es-ES"/>
        </w:rPr>
        <w:t>cantidades absolutas</w:t>
      </w:r>
      <w:r w:rsidRPr="00D106C9">
        <w:rPr>
          <w:lang w:eastAsia="es-ES"/>
        </w:rPr>
        <w:t xml:space="preserve"> obtenidas a lo largo del año de acuerdo con la actividad completada (unidades).</w:t>
      </w:r>
    </w:p>
    <w:p w14:paraId="255D1C0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000A3F7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De las 4544 metas operativas formuladas en términos de cantidades absolutas, se tiene un cumplimiento con estado “</w:t>
      </w:r>
      <w:r w:rsidRPr="00D106C9">
        <w:rPr>
          <w:i/>
          <w:iCs/>
          <w:lang w:eastAsia="es-ES"/>
        </w:rPr>
        <w:t>completado</w:t>
      </w:r>
      <w:r w:rsidRPr="00D106C9">
        <w:rPr>
          <w:lang w:eastAsia="es-ES"/>
        </w:rPr>
        <w:t>” en un 85% de esas metas, lo cual demuestra que los proyectos o tareas planteadas fueron exitosos a manera de entregables, debido que la meta estaba con el fin de entregar un diagnóstico, un informe, una política.</w:t>
      </w:r>
    </w:p>
    <w:p w14:paraId="2430C3A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DCE528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aspecto permite tener una visión más amplia y real de la producción de las oficinas y despachos judiciales en el 2021 y no solo en términos porcentuales de alcance, sino con evidencia de los entregables.</w:t>
      </w:r>
    </w:p>
    <w:p w14:paraId="6F4003D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05E12FC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Por otra parte, de las 2202 metas operativas formuladas en términos porcentuales, se tiene un cumplimiento de las metas con estado “</w:t>
      </w:r>
      <w:r w:rsidRPr="00D106C9">
        <w:rPr>
          <w:i/>
          <w:iCs/>
          <w:lang w:eastAsia="es-ES"/>
        </w:rPr>
        <w:t>completado</w:t>
      </w:r>
      <w:r w:rsidRPr="00D106C9">
        <w:rPr>
          <w:lang w:eastAsia="es-ES"/>
        </w:rPr>
        <w:t xml:space="preserve">” en un 96%. Estas metas están planteadas con indicadores como porcentaje de avance anual del plan de descongestión, porcentaje de implementación de propuesta de mejora, porcentaje de avance de la estrategia para el abordaje, porcentaje de avances de proyectos, entre otros. </w:t>
      </w:r>
    </w:p>
    <w:p w14:paraId="2AF357F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4834533"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26" w:name="_Toc102390782"/>
      <w:r w:rsidRPr="00D106C9">
        <w:rPr>
          <w:lang w:eastAsia="es-ES"/>
        </w:rPr>
        <w:t>Análisis de la evaluación de los Planes Anuales Operativos y su cumplimiento con el Plan Estratégico Institucional 2019 – 2024.</w:t>
      </w:r>
      <w:bookmarkEnd w:id="26"/>
      <w:r w:rsidRPr="00D106C9">
        <w:rPr>
          <w:lang w:eastAsia="es-ES"/>
        </w:rPr>
        <w:t xml:space="preserve"> </w:t>
      </w:r>
    </w:p>
    <w:p w14:paraId="4B028986" w14:textId="77777777" w:rsidR="00D106C9" w:rsidRPr="00D106C9" w:rsidRDefault="00D106C9" w:rsidP="00D106C9">
      <w:pPr>
        <w:widowControl w:val="0"/>
        <w:suppressAutoHyphens w:val="0"/>
        <w:autoSpaceDE w:val="0"/>
        <w:autoSpaceDN w:val="0"/>
        <w:adjustRightInd w:val="0"/>
        <w:ind w:left="851" w:right="851" w:firstLine="709"/>
        <w:rPr>
          <w:lang w:eastAsia="ja-JP"/>
        </w:rPr>
      </w:pPr>
    </w:p>
    <w:p w14:paraId="3B62A4E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Como parte de la vinculación de los Planes Anuales Operativos con el Plan Estratégico Institucional del 2019-2024 se ha procedido a identificar los avances registrados a los objetivos que contribuyen de manera directa con el cumplimiento del Plan Estratégico 2019-2024 y que fueron adjudicados a las oficinas responsables para su ejecución.</w:t>
      </w:r>
    </w:p>
    <w:p w14:paraId="525D403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E75089E"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Se tiene que de las 6738 metas operativas formuladas en todos los PAO a nivel nacional, hay 3634 metas operativas provenientes del PEI (54%) y por otra parte hay 3104 metas que fueron formuladas por parte de los despachos y oficinas judiciales por su propia iniciativa (46%), siempre en consecución de la labor sustantiva de la oficina y alineados a las metas estratégicas.</w:t>
      </w:r>
    </w:p>
    <w:p w14:paraId="4AD88DA8"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0BF5453"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Figura </w:t>
      </w:r>
      <w:r w:rsidRPr="00D106C9">
        <w:rPr>
          <w:b/>
          <w:bCs/>
          <w:lang w:eastAsia="es-ES"/>
        </w:rPr>
        <w:fldChar w:fldCharType="begin"/>
      </w:r>
      <w:r w:rsidRPr="00D106C9">
        <w:rPr>
          <w:b/>
          <w:bCs/>
          <w:lang w:eastAsia="es-ES"/>
        </w:rPr>
        <w:instrText xml:space="preserve"> SEQ Figura \* ARABIC </w:instrText>
      </w:r>
      <w:r w:rsidRPr="00D106C9">
        <w:rPr>
          <w:b/>
          <w:bCs/>
          <w:lang w:eastAsia="es-ES"/>
        </w:rPr>
        <w:fldChar w:fldCharType="separate"/>
      </w:r>
      <w:r w:rsidRPr="00D106C9">
        <w:rPr>
          <w:b/>
          <w:bCs/>
          <w:lang w:eastAsia="es-ES"/>
        </w:rPr>
        <w:t>1</w:t>
      </w:r>
      <w:r w:rsidRPr="00D106C9">
        <w:rPr>
          <w:b/>
          <w:bCs/>
          <w:lang w:eastAsia="es-ES"/>
        </w:rPr>
        <w:fldChar w:fldCharType="end"/>
      </w:r>
    </w:p>
    <w:p w14:paraId="7712DC60"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 xml:space="preserve">Detalle de cumplimiento de las metas operativas vinculadas con el Plan Estratégico </w:t>
      </w:r>
      <w:r w:rsidRPr="00D106C9">
        <w:rPr>
          <w:b/>
          <w:bCs/>
          <w:lang w:eastAsia="es-ES"/>
        </w:rPr>
        <w:lastRenderedPageBreak/>
        <w:t>Institucional</w:t>
      </w:r>
    </w:p>
    <w:p w14:paraId="299D4231" w14:textId="77777777" w:rsidR="00D106C9" w:rsidRPr="00D106C9" w:rsidRDefault="00D106C9" w:rsidP="00D106C9">
      <w:pPr>
        <w:widowControl w:val="0"/>
        <w:suppressAutoHyphens w:val="0"/>
        <w:autoSpaceDE w:val="0"/>
        <w:autoSpaceDN w:val="0"/>
        <w:adjustRightInd w:val="0"/>
        <w:jc w:val="both"/>
        <w:rPr>
          <w:lang w:eastAsia="es-ES"/>
        </w:rPr>
      </w:pPr>
    </w:p>
    <w:p w14:paraId="11011A42" w14:textId="77777777" w:rsidR="00D106C9" w:rsidRPr="00D106C9" w:rsidRDefault="00D106C9" w:rsidP="00D106C9">
      <w:pPr>
        <w:widowControl w:val="0"/>
        <w:suppressAutoHyphens w:val="0"/>
        <w:autoSpaceDE w:val="0"/>
        <w:autoSpaceDN w:val="0"/>
        <w:adjustRightInd w:val="0"/>
        <w:jc w:val="both"/>
        <w:rPr>
          <w:lang w:eastAsia="es-ES"/>
        </w:rPr>
      </w:pPr>
      <w:r w:rsidRPr="00D106C9">
        <w:rPr>
          <w:noProof/>
          <w:lang w:eastAsia="es-ES"/>
        </w:rPr>
        <mc:AlternateContent>
          <mc:Choice Requires="wps">
            <w:drawing>
              <wp:anchor distT="0" distB="0" distL="114300" distR="114300" simplePos="0" relativeHeight="251662336" behindDoc="0" locked="0" layoutInCell="1" allowOverlap="1" wp14:anchorId="0838DAC4" wp14:editId="082D474E">
                <wp:simplePos x="0" y="0"/>
                <wp:positionH relativeFrom="column">
                  <wp:posOffset>154498</wp:posOffset>
                </wp:positionH>
                <wp:positionV relativeFrom="paragraph">
                  <wp:posOffset>2572109</wp:posOffset>
                </wp:positionV>
                <wp:extent cx="1810385" cy="467995"/>
                <wp:effectExtent l="0" t="0" r="0" b="0"/>
                <wp:wrapNone/>
                <wp:docPr id="7278" name="Cuadro de texto 727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810385" cy="467995"/>
                        </a:xfrm>
                        <a:prstGeom prst="rect">
                          <a:avLst/>
                        </a:prstGeom>
                        <a:noFill/>
                        <a:ln>
                          <a:noFill/>
                        </a:ln>
                      </wps:spPr>
                      <wps:txbx>
                        <w:txbxContent>
                          <w:p w14:paraId="6426B2A8" w14:textId="77777777" w:rsidR="00D106C9" w:rsidRPr="00774BCF" w:rsidRDefault="00D106C9" w:rsidP="00D106C9">
                            <w:pPr>
                              <w:jc w:val="center"/>
                              <w:rPr>
                                <w:rFonts w:ascii="Book Antiqua" w:hAnsi="Book Antiqua"/>
                                <w:noProof/>
                                <w:color w:val="000000"/>
                                <w:sz w:val="28"/>
                                <w:szCs w:val="28"/>
                              </w:rPr>
                            </w:pPr>
                            <w:r w:rsidRPr="00774BCF">
                              <w:rPr>
                                <w:rFonts w:ascii="Book Antiqua" w:hAnsi="Book Antiqua"/>
                                <w:noProof/>
                                <w:color w:val="000000"/>
                                <w:sz w:val="28"/>
                                <w:szCs w:val="28"/>
                              </w:rPr>
                              <w:t>Cumplimiento al 100%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type w14:anchorId="0838DAC4" id="_x0000_t202" coordsize="21600,21600" o:spt="202" path="m,l,21600r21600,l21600,xe">
                <v:stroke joinstyle="miter"/>
                <v:path gradientshapeok="t" o:connecttype="rect"/>
              </v:shapetype>
              <v:shape id="Cuadro de texto 7278" o:spid="_x0000_s1026" type="#_x0000_t202" style="position:absolute;left:0;text-align:left;margin-left:12.15pt;margin-top:202.55pt;width:142.55pt;height:36.85pt;z-index:251662336;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" filled="f" stroked="f">
                <v:textbox style="mso-fit-shape-to-text:t">
                  <w:txbxContent>
                    <w:p w14:paraId="6426B2A8" w14:textId="77777777" w:rsidR="00D106C9" w:rsidRPr="00774BCF" w:rsidRDefault="00D106C9" w:rsidP="00D106C9">
                      <w:pPr>
                        <w:jc w:val="center"/>
                        <w:rPr>
                          <w:rFonts w:ascii="Book Antiqua" w:hAnsi="Book Antiqua"/>
                          <w:noProof/>
                          <w:color w:val="000000"/>
                          <w:sz w:val="28"/>
                          <w:szCs w:val="28"/>
                        </w:rPr>
                      </w:pPr>
                      <w:r w:rsidRPr="00774BCF">
                        <w:rPr>
                          <w:rFonts w:ascii="Book Antiqua" w:hAnsi="Book Antiqua"/>
                          <w:noProof/>
                          <w:color w:val="000000"/>
                          <w:sz w:val="28"/>
                          <w:szCs w:val="28"/>
                        </w:rPr>
                        <w:t>Cumplimiento al 100%</w:t>
                      </w:r>
                    </w:p>
                  </w:txbxContent>
                </v:textbox>
              </v:shape>
            </w:pict>
          </mc:Fallback>
        </mc:AlternateContent>
      </w:r>
      <w:r w:rsidRPr="00D106C9">
        <w:rPr>
          <w:b/>
          <w:bCs/>
          <w:noProof/>
          <w:lang w:eastAsia="es-CR"/>
        </w:rPr>
        <w:drawing>
          <wp:anchor distT="0" distB="0" distL="114300" distR="114300" simplePos="0" relativeHeight="251664384" behindDoc="0" locked="0" layoutInCell="1" allowOverlap="1" wp14:anchorId="4C15345B" wp14:editId="648669AA">
            <wp:simplePos x="0" y="0"/>
            <wp:positionH relativeFrom="column">
              <wp:posOffset>1784377</wp:posOffset>
            </wp:positionH>
            <wp:positionV relativeFrom="paragraph">
              <wp:posOffset>229870</wp:posOffset>
            </wp:positionV>
            <wp:extent cx="563880" cy="563880"/>
            <wp:effectExtent l="0" t="0" r="0" b="7620"/>
            <wp:wrapNone/>
            <wp:docPr id="29" name="Gráfico 29" descr="Investigació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Research.svg"/>
                    <pic:cNvPicPr/>
                  </pic:nvPicPr>
                  <pic:blipFill>
                    <a:blip r:embed="rId16" cstate="print">
                      <a:extLst>
                        <a:ext uri="{96DAC541-7B7A-43D3-8B79-37D633B846F1}">
                          <asvg:svgBlip xmlns:asvg="http://schemas.microsoft.com/office/drawing/2016/SVG/main" r:embed="rId17"/>
                        </a:ext>
                      </a:extLst>
                    </a:blip>
                    <a:stretch>
                      <a:fillRect/>
                    </a:stretch>
                  </pic:blipFill>
                  <pic:spPr>
                    <a:xfrm>
                      <a:off x="0" y="0"/>
                      <a:ext cx="563880" cy="563880"/>
                    </a:xfrm>
                    <a:prstGeom prst="rect">
                      <a:avLst/>
                    </a:prstGeom>
                  </pic:spPr>
                </pic:pic>
              </a:graphicData>
            </a:graphic>
          </wp:anchor>
        </w:drawing>
      </w:r>
      <w:r w:rsidRPr="00D106C9">
        <w:rPr>
          <w:noProof/>
          <w:lang w:eastAsia="es-ES"/>
        </w:rPr>
        <w:drawing>
          <wp:anchor distT="0" distB="0" distL="114300" distR="114300" simplePos="0" relativeHeight="251666432" behindDoc="0" locked="0" layoutInCell="1" allowOverlap="1" wp14:anchorId="13907A19" wp14:editId="28A8D4AB">
            <wp:simplePos x="0" y="0"/>
            <wp:positionH relativeFrom="column">
              <wp:posOffset>3127037</wp:posOffset>
            </wp:positionH>
            <wp:positionV relativeFrom="paragraph">
              <wp:posOffset>924776</wp:posOffset>
            </wp:positionV>
            <wp:extent cx="499110" cy="499110"/>
            <wp:effectExtent l="0" t="0" r="0" b="0"/>
            <wp:wrapNone/>
            <wp:docPr id="32" name="Gráfico 32" descr="Sirena con relleno sóli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áfico 4" descr="Sirena con relleno sólido"/>
                    <pic:cNvPicPr/>
                  </pic:nvPicPr>
                  <pic:blipFill>
                    <a:blip r:embed="rId18">
                      <a:extLst>
                        <a:ext uri="{28A0092B-C50C-407E-A947-70E740481C1C}">
                          <a14:useLocalDpi xmlns:a14="http://schemas.microsoft.com/office/drawing/2010/main" val="0"/>
                        </a:ext>
                        <a:ext uri="{96DAC541-7B7A-43D3-8B79-37D633B846F1}">
                          <asvg:svgBlip xmlns:asvg="http://schemas.microsoft.com/office/drawing/2016/SVG/main" r:embed="rId19"/>
                        </a:ext>
                      </a:extLst>
                    </a:blip>
                    <a:stretch>
                      <a:fillRect/>
                    </a:stretch>
                  </pic:blipFill>
                  <pic:spPr>
                    <a:xfrm>
                      <a:off x="0" y="0"/>
                      <a:ext cx="499110" cy="499110"/>
                    </a:xfrm>
                    <a:prstGeom prst="rect">
                      <a:avLst/>
                    </a:prstGeom>
                  </pic:spPr>
                </pic:pic>
              </a:graphicData>
            </a:graphic>
            <wp14:sizeRelH relativeFrom="page">
              <wp14:pctWidth>0</wp14:pctWidth>
            </wp14:sizeRelH>
            <wp14:sizeRelV relativeFrom="page">
              <wp14:pctHeight>0</wp14:pctHeight>
            </wp14:sizeRelV>
          </wp:anchor>
        </w:drawing>
      </w:r>
      <w:r w:rsidRPr="00D106C9">
        <w:rPr>
          <w:noProof/>
          <w:lang w:eastAsia="es-CR"/>
        </w:rPr>
        <w:drawing>
          <wp:anchor distT="0" distB="0" distL="114300" distR="114300" simplePos="0" relativeHeight="251663360" behindDoc="0" locked="0" layoutInCell="1" allowOverlap="1" wp14:anchorId="6FF377D0" wp14:editId="6A4862A4">
            <wp:simplePos x="0" y="0"/>
            <wp:positionH relativeFrom="column">
              <wp:posOffset>1756977</wp:posOffset>
            </wp:positionH>
            <wp:positionV relativeFrom="paragraph">
              <wp:posOffset>1656904</wp:posOffset>
            </wp:positionV>
            <wp:extent cx="650240" cy="650240"/>
            <wp:effectExtent l="19050" t="0" r="0" b="0"/>
            <wp:wrapNone/>
            <wp:docPr id="7279" name="Gráfico 7279" descr="Flecha: 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79" name="Straight.svg"/>
                    <pic:cNvPicPr/>
                  </pic:nvPicPr>
                  <pic:blipFill>
                    <a:blip r:embed="rId20" cstate="print">
                      <a:extLst>
                        <a:ext uri="{96DAC541-7B7A-43D3-8B79-37D633B846F1}">
                          <asvg:svgBlip xmlns:asvg="http://schemas.microsoft.com/office/drawing/2016/SVG/main" r:embed="rId21"/>
                        </a:ext>
                      </a:extLst>
                    </a:blip>
                    <a:stretch>
                      <a:fillRect/>
                    </a:stretch>
                  </pic:blipFill>
                  <pic:spPr>
                    <a:xfrm rot="10599615">
                      <a:off x="0" y="0"/>
                      <a:ext cx="650240" cy="650240"/>
                    </a:xfrm>
                    <a:prstGeom prst="rect">
                      <a:avLst/>
                    </a:prstGeom>
                  </pic:spPr>
                </pic:pic>
              </a:graphicData>
            </a:graphic>
          </wp:anchor>
        </w:drawing>
      </w:r>
      <w:r w:rsidRPr="00D106C9">
        <w:rPr>
          <w:noProof/>
          <w:lang w:eastAsia="es-ES"/>
        </w:rPr>
        <w:drawing>
          <wp:anchor distT="0" distB="0" distL="114300" distR="114300" simplePos="0" relativeHeight="251665408" behindDoc="0" locked="0" layoutInCell="1" allowOverlap="1" wp14:anchorId="75FD25FC" wp14:editId="0BA730C8">
            <wp:simplePos x="0" y="0"/>
            <wp:positionH relativeFrom="column">
              <wp:posOffset>3021037</wp:posOffset>
            </wp:positionH>
            <wp:positionV relativeFrom="paragraph">
              <wp:posOffset>2449820</wp:posOffset>
            </wp:positionV>
            <wp:extent cx="600502" cy="600502"/>
            <wp:effectExtent l="0" t="0" r="0" b="0"/>
            <wp:wrapNone/>
            <wp:docPr id="33" name="Gráfico 33" descr="Tendencia alcis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upwardtrend_ltr.svg"/>
                    <pic:cNvPicPr/>
                  </pic:nvPicPr>
                  <pic:blipFill>
                    <a:blip r:embed="rId22">
                      <a:extLst>
                        <a:ext uri="{28A0092B-C50C-407E-A947-70E740481C1C}">
                          <a14:useLocalDpi xmlns:a14="http://schemas.microsoft.com/office/drawing/2010/main" val="0"/>
                        </a:ext>
                        <a:ext uri="{96DAC541-7B7A-43D3-8B79-37D633B846F1}">
                          <asvg:svgBlip xmlns:asvg="http://schemas.microsoft.com/office/drawing/2016/SVG/main" r:embed="rId23"/>
                        </a:ext>
                      </a:extLst>
                    </a:blip>
                    <a:stretch>
                      <a:fillRect/>
                    </a:stretch>
                  </pic:blipFill>
                  <pic:spPr>
                    <a:xfrm>
                      <a:off x="0" y="0"/>
                      <a:ext cx="600502" cy="600502"/>
                    </a:xfrm>
                    <a:prstGeom prst="rect">
                      <a:avLst/>
                    </a:prstGeom>
                  </pic:spPr>
                </pic:pic>
              </a:graphicData>
            </a:graphic>
            <wp14:sizeRelH relativeFrom="page">
              <wp14:pctWidth>0</wp14:pctWidth>
            </wp14:sizeRelH>
            <wp14:sizeRelV relativeFrom="page">
              <wp14:pctHeight>0</wp14:pctHeight>
            </wp14:sizeRelV>
          </wp:anchor>
        </w:drawing>
      </w:r>
      <w:r w:rsidRPr="00D106C9">
        <w:rPr>
          <w:noProof/>
          <w:lang w:eastAsia="es-ES"/>
        </w:rPr>
        <mc:AlternateContent>
          <mc:Choice Requires="wps">
            <w:drawing>
              <wp:anchor distT="0" distB="0" distL="114300" distR="114300" simplePos="0" relativeHeight="251659264" behindDoc="0" locked="0" layoutInCell="1" allowOverlap="1" wp14:anchorId="2807226E" wp14:editId="34C08B29">
                <wp:simplePos x="0" y="0"/>
                <wp:positionH relativeFrom="column">
                  <wp:posOffset>-485775</wp:posOffset>
                </wp:positionH>
                <wp:positionV relativeFrom="paragraph">
                  <wp:posOffset>1089660</wp:posOffset>
                </wp:positionV>
                <wp:extent cx="2623185" cy="467995"/>
                <wp:effectExtent l="0" t="0" r="0" b="0"/>
                <wp:wrapNone/>
                <wp:docPr id="7275" name="Cuadro de texto 727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23185" cy="467995"/>
                        </a:xfrm>
                        <a:prstGeom prst="rect">
                          <a:avLst/>
                        </a:prstGeom>
                        <a:noFill/>
                        <a:ln>
                          <a:noFill/>
                        </a:ln>
                      </wps:spPr>
                      <wps:txbx>
                        <w:txbxContent>
                          <w:p w14:paraId="2137CF75" w14:textId="77777777" w:rsidR="00D106C9" w:rsidRPr="00774BCF" w:rsidRDefault="00D106C9" w:rsidP="00D106C9">
                            <w:pPr>
                              <w:jc w:val="center"/>
                              <w:rPr>
                                <w:rFonts w:ascii="Book Antiqua" w:hAnsi="Book Antiqua"/>
                                <w:noProof/>
                                <w:color w:val="000000"/>
                                <w:sz w:val="28"/>
                                <w:szCs w:val="28"/>
                              </w:rPr>
                            </w:pPr>
                            <w:r w:rsidRPr="00774BCF">
                              <w:rPr>
                                <w:rFonts w:ascii="Book Antiqua" w:hAnsi="Book Antiqua"/>
                                <w:noProof/>
                                <w:color w:val="000000"/>
                                <w:sz w:val="28"/>
                                <w:szCs w:val="28"/>
                              </w:rPr>
                              <w:t>Cumplimiento de  50% a 74%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0</wp14:pctHeight>
                </wp14:sizeRelV>
              </wp:anchor>
            </w:drawing>
          </mc:Choice>
          <mc:Fallback>
            <w:pict>
              <v:shape w14:anchorId="2807226E" id="Cuadro de texto 7275" o:spid="_x0000_s1027" type="#_x0000_t202" style="position:absolute;left:0;text-align:left;margin-left:-38.25pt;margin-top:85.8pt;width:206.55pt;height:36.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" filled="f" stroked="f">
                <v:textbox style="mso-fit-shape-to-text:t">
                  <w:txbxContent>
                    <w:p w14:paraId="2137CF75" w14:textId="77777777" w:rsidR="00D106C9" w:rsidRPr="00774BCF" w:rsidRDefault="00D106C9" w:rsidP="00D106C9">
                      <w:pPr>
                        <w:jc w:val="center"/>
                        <w:rPr>
                          <w:rFonts w:ascii="Book Antiqua" w:hAnsi="Book Antiqua"/>
                          <w:noProof/>
                          <w:color w:val="000000"/>
                          <w:sz w:val="28"/>
                          <w:szCs w:val="28"/>
                        </w:rPr>
                      </w:pPr>
                      <w:r w:rsidRPr="00774BCF">
                        <w:rPr>
                          <w:rFonts w:ascii="Book Antiqua" w:hAnsi="Book Antiqua"/>
                          <w:noProof/>
                          <w:color w:val="000000"/>
                          <w:sz w:val="28"/>
                          <w:szCs w:val="28"/>
                        </w:rPr>
                        <w:t>Cumplimiento de  50% a 74%</w:t>
                      </w:r>
                    </w:p>
                  </w:txbxContent>
                </v:textbox>
              </v:shape>
            </w:pict>
          </mc:Fallback>
        </mc:AlternateContent>
      </w:r>
      <w:r w:rsidRPr="00D106C9">
        <w:rPr>
          <w:noProof/>
          <w:lang w:eastAsia="es-ES"/>
        </w:rPr>
        <mc:AlternateContent>
          <mc:Choice Requires="wps">
            <w:drawing>
              <wp:anchor distT="0" distB="0" distL="114300" distR="114300" simplePos="0" relativeHeight="251660288" behindDoc="0" locked="0" layoutInCell="1" allowOverlap="1" wp14:anchorId="59A77C62" wp14:editId="095BA94D">
                <wp:simplePos x="0" y="0"/>
                <wp:positionH relativeFrom="column">
                  <wp:posOffset>3283585</wp:posOffset>
                </wp:positionH>
                <wp:positionV relativeFrom="paragraph">
                  <wp:posOffset>263525</wp:posOffset>
                </wp:positionV>
                <wp:extent cx="2643505" cy="467995"/>
                <wp:effectExtent l="0" t="0" r="0" b="0"/>
                <wp:wrapNone/>
                <wp:docPr id="7276" name="Cuadro de texto 727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643505" cy="467995"/>
                        </a:xfrm>
                        <a:prstGeom prst="rect">
                          <a:avLst/>
                        </a:prstGeom>
                        <a:noFill/>
                        <a:ln>
                          <a:noFill/>
                        </a:ln>
                      </wps:spPr>
                      <wps:txbx>
                        <w:txbxContent>
                          <w:p w14:paraId="2FAAB5C8" w14:textId="77777777" w:rsidR="00D106C9" w:rsidRPr="00774BCF" w:rsidRDefault="00D106C9" w:rsidP="00D106C9">
                            <w:pPr>
                              <w:jc w:val="center"/>
                              <w:rPr>
                                <w:rFonts w:ascii="Book Antiqua" w:hAnsi="Book Antiqua"/>
                                <w:noProof/>
                                <w:color w:val="000000"/>
                                <w:sz w:val="28"/>
                                <w:szCs w:val="28"/>
                              </w:rPr>
                            </w:pPr>
                            <w:r w:rsidRPr="00774BCF">
                              <w:rPr>
                                <w:rFonts w:ascii="Book Antiqua" w:hAnsi="Book Antiqua"/>
                                <w:noProof/>
                                <w:color w:val="000000"/>
                                <w:sz w:val="28"/>
                                <w:szCs w:val="28"/>
                              </w:rPr>
                              <w:t>Cumplimiento por debajo del 50%</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59A77C62" id="Cuadro de texto 7276" o:spid="_x0000_s1028" type="#_x0000_t202" style="position:absolute;left:0;text-align:left;margin-left:258.55pt;margin-top:20.75pt;width:208.15pt;height:36.85pt;z-index:251660288;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" filled="f" stroked="f">
                <v:textbox style="mso-fit-shape-to-text:t">
                  <w:txbxContent>
                    <w:p w14:paraId="2FAAB5C8" w14:textId="77777777" w:rsidR="00D106C9" w:rsidRPr="00774BCF" w:rsidRDefault="00D106C9" w:rsidP="00D106C9">
                      <w:pPr>
                        <w:jc w:val="center"/>
                        <w:rPr>
                          <w:rFonts w:ascii="Book Antiqua" w:hAnsi="Book Antiqua"/>
                          <w:noProof/>
                          <w:color w:val="000000"/>
                          <w:sz w:val="28"/>
                          <w:szCs w:val="28"/>
                        </w:rPr>
                      </w:pPr>
                      <w:r w:rsidRPr="00774BCF">
                        <w:rPr>
                          <w:rFonts w:ascii="Book Antiqua" w:hAnsi="Book Antiqua"/>
                          <w:noProof/>
                          <w:color w:val="000000"/>
                          <w:sz w:val="28"/>
                          <w:szCs w:val="28"/>
                        </w:rPr>
                        <w:t>Cumplimiento por debajo del 50%</w:t>
                      </w:r>
                    </w:p>
                  </w:txbxContent>
                </v:textbox>
              </v:shape>
            </w:pict>
          </mc:Fallback>
        </mc:AlternateContent>
      </w:r>
      <w:r w:rsidRPr="00D106C9">
        <w:rPr>
          <w:noProof/>
          <w:lang w:eastAsia="es-ES"/>
        </w:rPr>
        <mc:AlternateContent>
          <mc:Choice Requires="wps">
            <w:drawing>
              <wp:anchor distT="0" distB="0" distL="114300" distR="114300" simplePos="0" relativeHeight="251661312" behindDoc="0" locked="0" layoutInCell="1" allowOverlap="1" wp14:anchorId="1C7A9F74" wp14:editId="2743ECA0">
                <wp:simplePos x="0" y="0"/>
                <wp:positionH relativeFrom="column">
                  <wp:posOffset>3420745</wp:posOffset>
                </wp:positionH>
                <wp:positionV relativeFrom="paragraph">
                  <wp:posOffset>1858645</wp:posOffset>
                </wp:positionV>
                <wp:extent cx="2249170" cy="467995"/>
                <wp:effectExtent l="0" t="0" r="0" b="0"/>
                <wp:wrapNone/>
                <wp:docPr id="7277" name="Cuadro de texto 727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49170" cy="467995"/>
                        </a:xfrm>
                        <a:prstGeom prst="rect">
                          <a:avLst/>
                        </a:prstGeom>
                        <a:noFill/>
                        <a:ln>
                          <a:noFill/>
                        </a:ln>
                      </wps:spPr>
                      <wps:txbx>
                        <w:txbxContent>
                          <w:p w14:paraId="53E2480D" w14:textId="77777777" w:rsidR="00D106C9" w:rsidRPr="00774BCF" w:rsidRDefault="00D106C9" w:rsidP="00D106C9">
                            <w:pPr>
                              <w:jc w:val="center"/>
                              <w:rPr>
                                <w:rFonts w:ascii="Book Antiqua" w:hAnsi="Book Antiqua"/>
                                <w:noProof/>
                                <w:color w:val="000000"/>
                                <w:sz w:val="28"/>
                                <w:szCs w:val="28"/>
                              </w:rPr>
                            </w:pPr>
                            <w:r w:rsidRPr="00774BCF">
                              <w:rPr>
                                <w:rFonts w:ascii="Book Antiqua" w:hAnsi="Book Antiqua"/>
                                <w:noProof/>
                                <w:color w:val="000000"/>
                                <w:sz w:val="28"/>
                                <w:szCs w:val="28"/>
                              </w:rPr>
                              <w:t>Cumplimiento de 75% a 99%</w:t>
                            </w:r>
                          </w:p>
                        </w:txbxContent>
                      </wps:txbx>
                      <wps:bodyPr rot="0" spcFirstLastPara="0" vertOverflow="overflow" horzOverflow="overflow" vert="horz" wrap="none" lIns="91440" tIns="45720" rIns="91440" bIns="4572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w14:anchorId="1C7A9F74" id="Cuadro de texto 7277" o:spid="_x0000_s1029" type="#_x0000_t202" style="position:absolute;left:0;text-align:left;margin-left:269.35pt;margin-top:146.35pt;width:177.1pt;height:36.85pt;z-index:25166131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" filled="f" stroked="f">
                <v:textbox style="mso-fit-shape-to-text:t">
                  <w:txbxContent>
                    <w:p w14:paraId="53E2480D" w14:textId="77777777" w:rsidR="00D106C9" w:rsidRPr="00774BCF" w:rsidRDefault="00D106C9" w:rsidP="00D106C9">
                      <w:pPr>
                        <w:jc w:val="center"/>
                        <w:rPr>
                          <w:rFonts w:ascii="Book Antiqua" w:hAnsi="Book Antiqua"/>
                          <w:noProof/>
                          <w:color w:val="000000"/>
                          <w:sz w:val="28"/>
                          <w:szCs w:val="28"/>
                        </w:rPr>
                      </w:pPr>
                      <w:r w:rsidRPr="00774BCF">
                        <w:rPr>
                          <w:rFonts w:ascii="Book Antiqua" w:hAnsi="Book Antiqua"/>
                          <w:noProof/>
                          <w:color w:val="000000"/>
                          <w:sz w:val="28"/>
                          <w:szCs w:val="28"/>
                        </w:rPr>
                        <w:t>Cumplimiento de 75% a 99%</w:t>
                      </w:r>
                    </w:p>
                  </w:txbxContent>
                </v:textbox>
              </v:shape>
            </w:pict>
          </mc:Fallback>
        </mc:AlternateContent>
      </w:r>
      <w:r w:rsidRPr="00D106C9">
        <w:rPr>
          <w:noProof/>
          <w:lang w:eastAsia="es-CR"/>
        </w:rPr>
        <w:drawing>
          <wp:inline distT="0" distB="0" distL="0" distR="0" wp14:anchorId="73D9748A" wp14:editId="7858B7BC">
            <wp:extent cx="5347504" cy="3057404"/>
            <wp:effectExtent l="0" t="19050" r="0" b="67310"/>
            <wp:docPr id="7274" name="Diagrama 727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4" r:lo="rId25" r:qs="rId26" r:cs="rId27"/>
              </a:graphicData>
            </a:graphic>
          </wp:inline>
        </w:drawing>
      </w:r>
    </w:p>
    <w:p w14:paraId="72592240" w14:textId="77777777" w:rsidR="00D106C9" w:rsidRPr="00D106C9" w:rsidRDefault="00D106C9" w:rsidP="00D106C9">
      <w:pPr>
        <w:widowControl w:val="0"/>
        <w:suppressAutoHyphens w:val="0"/>
        <w:autoSpaceDE w:val="0"/>
        <w:autoSpaceDN w:val="0"/>
        <w:adjustRightInd w:val="0"/>
        <w:jc w:val="center"/>
        <w:rPr>
          <w:lang w:eastAsia="es-ES"/>
        </w:rPr>
      </w:pPr>
      <w:r w:rsidRPr="00D106C9">
        <w:rPr>
          <w:b/>
          <w:bCs/>
          <w:lang w:eastAsia="es-ES"/>
        </w:rPr>
        <w:t>Fuente:</w:t>
      </w:r>
      <w:r w:rsidRPr="00D106C9">
        <w:rPr>
          <w:lang w:eastAsia="es-ES"/>
        </w:rPr>
        <w:t xml:space="preserve"> Sistema PAO al 19 de enero del 2022</w:t>
      </w:r>
    </w:p>
    <w:p w14:paraId="6083EE01" w14:textId="77777777" w:rsidR="00D106C9" w:rsidRPr="00D106C9" w:rsidRDefault="00D106C9" w:rsidP="00D106C9">
      <w:pPr>
        <w:widowControl w:val="0"/>
        <w:suppressAutoHyphens w:val="0"/>
        <w:autoSpaceDE w:val="0"/>
        <w:autoSpaceDN w:val="0"/>
        <w:adjustRightInd w:val="0"/>
        <w:jc w:val="both"/>
        <w:rPr>
          <w:lang w:eastAsia="es-ES"/>
        </w:rPr>
      </w:pPr>
    </w:p>
    <w:p w14:paraId="404E86D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Como se observa de la figura anterior, de la totalidad de 3634 metas operativas vinculadas al PEI, hay 3000 metas que se encuentran completadas al 100% eso equivale a un 83% de todas las metas operativas enlazadas al PEI fueron exitosas en su cumplimiento, aspecto de relevancia y que resulta positivo para enfocar esfuerzos realizados por la oficina con el fin de cumplir los compromisos adquiridos en el Plan Estratégico Institucional.</w:t>
      </w:r>
    </w:p>
    <w:p w14:paraId="1F979DD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68F936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Por otra parte, se puede destacar que en relación con la mejora </w:t>
      </w:r>
      <w:bookmarkStart w:id="27" w:name="_Hlk97891708"/>
      <w:r w:rsidRPr="00D106C9">
        <w:rPr>
          <w:lang w:eastAsia="es-ES"/>
        </w:rPr>
        <w:t xml:space="preserve">en el Sistema PAO que permite a las oficinas y despachos judiciales redactar los resultados, beneficios y población beneficiada en caso de lograr el cumplimiento total de una meta PAO, se puede indicar que de 3000 metas operativas vinculadas al PEI en estado completado, el 22% de las metas obtuvieron una descripción de resultado, beneficio y población beneficiada. Es importante indicar que el restante 78% de metas operativas vinculadas al PEI fueron completadas por las entidades responsables antes del 8 de diciembre del 2021 que se implementó la mejora en el Sistema PAO; por lo anterior, no son parte del análisis realizado. </w:t>
      </w:r>
    </w:p>
    <w:bookmarkEnd w:id="27"/>
    <w:p w14:paraId="1D17B7A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1EC7F1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Con respecto al segundo tracto, hay 302 metas con avances entre 75% y 99%, lo que equivale a un 8% de las metas operativas vinculadas a la estrategia </w:t>
      </w:r>
      <w:r w:rsidRPr="00D106C9">
        <w:rPr>
          <w:lang w:eastAsia="es-ES"/>
        </w:rPr>
        <w:lastRenderedPageBreak/>
        <w:t>que por un poco porcentaje no fueron cumplidas, sin embargo, aportaron al cumplimiento de la estrategia institucional. De seguido, hay un 9% de las metas operativas provenientes del PEI que tienen un registro de avance del rango de 0-75% lo cual refleja que son pocas las metas en las que el registro de cumplimiento fue medio/bajo.  Estas metas son de vital atención y revisión por parte de las oficinas para determinar porque razón no fue posible completarlas, debido al impacto perjudicial en el cumplimiento de la estrategia.</w:t>
      </w:r>
    </w:p>
    <w:p w14:paraId="58D3986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889759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C71E09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7C2424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Muchos de los trabajos y proyectos estratégicos se registra el avance cuando se tiene el resultado ya completado (ya sea un informe listo y aprobado o un diagnóstico terminado), por lo que resulta conveniente analizar la lista de las 476 metas operativas vinculadas al PEI, que no fueron completadas y que registran un estado de pendiente, en progreso, demorado o no iniciado.</w:t>
      </w:r>
    </w:p>
    <w:p w14:paraId="12743D9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06C5188"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7</w:t>
      </w:r>
      <w:r w:rsidRPr="00D106C9">
        <w:rPr>
          <w:b/>
          <w:bCs/>
          <w:lang w:eastAsia="es-ES"/>
        </w:rPr>
        <w:fldChar w:fldCharType="end"/>
      </w:r>
    </w:p>
    <w:p w14:paraId="2680894D"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Cantidad de metas operativas vinculadas al PEI con un porcentaje de cumplimiento menor al 90% de acuerdo con el Tema estratégico</w:t>
      </w:r>
    </w:p>
    <w:p w14:paraId="2C201FF9" w14:textId="77777777" w:rsidR="00D106C9" w:rsidRPr="00D106C9" w:rsidRDefault="00D106C9" w:rsidP="00D106C9">
      <w:pPr>
        <w:widowControl w:val="0"/>
        <w:suppressAutoHyphens w:val="0"/>
        <w:autoSpaceDE w:val="0"/>
        <w:autoSpaceDN w:val="0"/>
        <w:adjustRightInd w:val="0"/>
        <w:jc w:val="both"/>
        <w:rPr>
          <w:lang w:eastAsia="es-ES"/>
        </w:rPr>
      </w:pPr>
    </w:p>
    <w:tbl>
      <w:tblPr>
        <w:tblW w:w="7620" w:type="dxa"/>
        <w:jc w:val="center"/>
        <w:tblCellMar>
          <w:left w:w="70" w:type="dxa"/>
          <w:right w:w="70" w:type="dxa"/>
        </w:tblCellMar>
        <w:tblLook w:val="04A0" w:firstRow="1" w:lastRow="0" w:firstColumn="1" w:lastColumn="0" w:noHBand="0" w:noVBand="1"/>
      </w:tblPr>
      <w:tblGrid>
        <w:gridCol w:w="4140"/>
        <w:gridCol w:w="3480"/>
      </w:tblGrid>
      <w:tr w:rsidR="00D106C9" w:rsidRPr="00D106C9" w14:paraId="30F38FBD" w14:textId="77777777" w:rsidTr="006D7BCD">
        <w:trPr>
          <w:trHeight w:val="300"/>
          <w:jc w:val="center"/>
        </w:trPr>
        <w:tc>
          <w:tcPr>
            <w:tcW w:w="4140" w:type="dxa"/>
            <w:tcBorders>
              <w:top w:val="single" w:sz="8" w:space="0" w:color="auto"/>
              <w:left w:val="single" w:sz="8" w:space="0" w:color="auto"/>
              <w:bottom w:val="single" w:sz="8" w:space="0" w:color="auto"/>
              <w:right w:val="single" w:sz="8" w:space="0" w:color="auto"/>
            </w:tcBorders>
            <w:shd w:val="clear" w:color="000000" w:fill="0070C0"/>
            <w:noWrap/>
            <w:vAlign w:val="center"/>
            <w:hideMark/>
          </w:tcPr>
          <w:p w14:paraId="6777547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Tema Estratégico del PEI</w:t>
            </w:r>
          </w:p>
        </w:tc>
        <w:tc>
          <w:tcPr>
            <w:tcW w:w="3480" w:type="dxa"/>
            <w:tcBorders>
              <w:top w:val="single" w:sz="8" w:space="0" w:color="auto"/>
              <w:left w:val="nil"/>
              <w:bottom w:val="single" w:sz="8" w:space="0" w:color="auto"/>
              <w:right w:val="single" w:sz="8" w:space="0" w:color="auto"/>
            </w:tcBorders>
            <w:shd w:val="clear" w:color="000000" w:fill="0070C0"/>
            <w:noWrap/>
            <w:vAlign w:val="center"/>
            <w:hideMark/>
          </w:tcPr>
          <w:p w14:paraId="67F1591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Cantidad de metas operativas</w:t>
            </w:r>
          </w:p>
        </w:tc>
      </w:tr>
      <w:tr w:rsidR="00D106C9" w:rsidRPr="00D106C9" w14:paraId="549F7255" w14:textId="77777777" w:rsidTr="006D7BCD">
        <w:trPr>
          <w:trHeight w:val="300"/>
          <w:jc w:val="center"/>
        </w:trPr>
        <w:tc>
          <w:tcPr>
            <w:tcW w:w="4140" w:type="dxa"/>
            <w:tcBorders>
              <w:top w:val="nil"/>
              <w:left w:val="single" w:sz="8" w:space="0" w:color="auto"/>
              <w:bottom w:val="single" w:sz="8" w:space="0" w:color="auto"/>
              <w:right w:val="single" w:sz="8" w:space="0" w:color="auto"/>
            </w:tcBorders>
            <w:shd w:val="clear" w:color="auto" w:fill="auto"/>
            <w:vAlign w:val="center"/>
            <w:hideMark/>
          </w:tcPr>
          <w:p w14:paraId="0ADE0A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Resolución oportuna de conflictos</w:t>
            </w:r>
          </w:p>
        </w:tc>
        <w:tc>
          <w:tcPr>
            <w:tcW w:w="3480" w:type="dxa"/>
            <w:tcBorders>
              <w:top w:val="nil"/>
              <w:left w:val="nil"/>
              <w:bottom w:val="single" w:sz="8" w:space="0" w:color="auto"/>
              <w:right w:val="single" w:sz="8" w:space="0" w:color="auto"/>
            </w:tcBorders>
            <w:shd w:val="clear" w:color="auto" w:fill="auto"/>
            <w:noWrap/>
            <w:vAlign w:val="center"/>
            <w:hideMark/>
          </w:tcPr>
          <w:p w14:paraId="0357A6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443</w:t>
            </w:r>
          </w:p>
        </w:tc>
      </w:tr>
      <w:tr w:rsidR="00D106C9" w:rsidRPr="00D106C9" w14:paraId="77AD8223" w14:textId="77777777" w:rsidTr="006D7BCD">
        <w:trPr>
          <w:trHeight w:val="530"/>
          <w:jc w:val="center"/>
        </w:trPr>
        <w:tc>
          <w:tcPr>
            <w:tcW w:w="4140" w:type="dxa"/>
            <w:tcBorders>
              <w:top w:val="nil"/>
              <w:left w:val="single" w:sz="8" w:space="0" w:color="auto"/>
              <w:bottom w:val="single" w:sz="8" w:space="0" w:color="auto"/>
              <w:right w:val="single" w:sz="8" w:space="0" w:color="auto"/>
            </w:tcBorders>
            <w:shd w:val="clear" w:color="auto" w:fill="auto"/>
            <w:vAlign w:val="center"/>
            <w:hideMark/>
          </w:tcPr>
          <w:p w14:paraId="03F201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Optimización e innovación de los servicios judiciales</w:t>
            </w:r>
          </w:p>
        </w:tc>
        <w:tc>
          <w:tcPr>
            <w:tcW w:w="3480" w:type="dxa"/>
            <w:tcBorders>
              <w:top w:val="nil"/>
              <w:left w:val="nil"/>
              <w:bottom w:val="single" w:sz="8" w:space="0" w:color="auto"/>
              <w:right w:val="single" w:sz="8" w:space="0" w:color="auto"/>
            </w:tcBorders>
            <w:shd w:val="clear" w:color="auto" w:fill="auto"/>
            <w:noWrap/>
            <w:vAlign w:val="center"/>
            <w:hideMark/>
          </w:tcPr>
          <w:p w14:paraId="763203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w:t>
            </w:r>
          </w:p>
        </w:tc>
      </w:tr>
      <w:tr w:rsidR="00D106C9" w:rsidRPr="00D106C9" w14:paraId="0E657F31" w14:textId="77777777" w:rsidTr="006D7BCD">
        <w:trPr>
          <w:trHeight w:val="300"/>
          <w:jc w:val="center"/>
        </w:trPr>
        <w:tc>
          <w:tcPr>
            <w:tcW w:w="4140" w:type="dxa"/>
            <w:tcBorders>
              <w:top w:val="nil"/>
              <w:left w:val="single" w:sz="8" w:space="0" w:color="auto"/>
              <w:bottom w:val="single" w:sz="8" w:space="0" w:color="auto"/>
              <w:right w:val="single" w:sz="8" w:space="0" w:color="auto"/>
            </w:tcBorders>
            <w:shd w:val="clear" w:color="auto" w:fill="auto"/>
            <w:vAlign w:val="center"/>
            <w:hideMark/>
          </w:tcPr>
          <w:p w14:paraId="566671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Confianza y probidad en la justicia</w:t>
            </w:r>
          </w:p>
        </w:tc>
        <w:tc>
          <w:tcPr>
            <w:tcW w:w="3480" w:type="dxa"/>
            <w:tcBorders>
              <w:top w:val="nil"/>
              <w:left w:val="nil"/>
              <w:bottom w:val="single" w:sz="8" w:space="0" w:color="auto"/>
              <w:right w:val="single" w:sz="8" w:space="0" w:color="auto"/>
            </w:tcBorders>
            <w:shd w:val="clear" w:color="auto" w:fill="auto"/>
            <w:noWrap/>
            <w:vAlign w:val="center"/>
            <w:hideMark/>
          </w:tcPr>
          <w:p w14:paraId="331A2E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w:t>
            </w:r>
          </w:p>
        </w:tc>
      </w:tr>
      <w:tr w:rsidR="00D106C9" w:rsidRPr="00D106C9" w14:paraId="346F2F4A" w14:textId="77777777" w:rsidTr="006D7BCD">
        <w:trPr>
          <w:trHeight w:val="300"/>
          <w:jc w:val="center"/>
        </w:trPr>
        <w:tc>
          <w:tcPr>
            <w:tcW w:w="4140" w:type="dxa"/>
            <w:tcBorders>
              <w:top w:val="nil"/>
              <w:left w:val="single" w:sz="8" w:space="0" w:color="auto"/>
              <w:bottom w:val="single" w:sz="8" w:space="0" w:color="auto"/>
              <w:right w:val="single" w:sz="8" w:space="0" w:color="auto"/>
            </w:tcBorders>
            <w:shd w:val="clear" w:color="auto" w:fill="auto"/>
            <w:vAlign w:val="center"/>
            <w:hideMark/>
          </w:tcPr>
          <w:p w14:paraId="66CD45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Planificación Institucional</w:t>
            </w:r>
          </w:p>
        </w:tc>
        <w:tc>
          <w:tcPr>
            <w:tcW w:w="3480" w:type="dxa"/>
            <w:tcBorders>
              <w:top w:val="nil"/>
              <w:left w:val="nil"/>
              <w:bottom w:val="single" w:sz="8" w:space="0" w:color="auto"/>
              <w:right w:val="single" w:sz="8" w:space="0" w:color="auto"/>
            </w:tcBorders>
            <w:shd w:val="clear" w:color="auto" w:fill="auto"/>
            <w:noWrap/>
            <w:vAlign w:val="center"/>
            <w:hideMark/>
          </w:tcPr>
          <w:p w14:paraId="6BFBC2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w:t>
            </w:r>
          </w:p>
        </w:tc>
      </w:tr>
      <w:tr w:rsidR="00D106C9" w:rsidRPr="00D106C9" w14:paraId="6E426B3F" w14:textId="77777777" w:rsidTr="006D7BCD">
        <w:trPr>
          <w:trHeight w:val="300"/>
          <w:jc w:val="center"/>
        </w:trPr>
        <w:tc>
          <w:tcPr>
            <w:tcW w:w="4140" w:type="dxa"/>
            <w:tcBorders>
              <w:top w:val="nil"/>
              <w:left w:val="single" w:sz="8" w:space="0" w:color="auto"/>
              <w:bottom w:val="single" w:sz="8" w:space="0" w:color="auto"/>
              <w:right w:val="single" w:sz="8" w:space="0" w:color="auto"/>
            </w:tcBorders>
            <w:shd w:val="clear" w:color="auto" w:fill="auto"/>
            <w:noWrap/>
            <w:vAlign w:val="center"/>
            <w:hideMark/>
          </w:tcPr>
          <w:p w14:paraId="2875FABB" w14:textId="77777777" w:rsidR="00D106C9" w:rsidRPr="00D106C9" w:rsidRDefault="00D106C9" w:rsidP="00D106C9">
            <w:pPr>
              <w:widowControl w:val="0"/>
              <w:suppressAutoHyphens w:val="0"/>
              <w:autoSpaceDE w:val="0"/>
              <w:autoSpaceDN w:val="0"/>
              <w:adjustRightInd w:val="0"/>
              <w:jc w:val="center"/>
              <w:rPr>
                <w:b/>
                <w:bCs/>
                <w:lang w:eastAsia="es-CR"/>
              </w:rPr>
            </w:pPr>
            <w:proofErr w:type="gramStart"/>
            <w:r w:rsidRPr="00D106C9">
              <w:rPr>
                <w:b/>
                <w:bCs/>
                <w:lang w:eastAsia="es-CR"/>
              </w:rPr>
              <w:t>Total</w:t>
            </w:r>
            <w:proofErr w:type="gramEnd"/>
            <w:r w:rsidRPr="00D106C9">
              <w:rPr>
                <w:b/>
                <w:bCs/>
                <w:lang w:eastAsia="es-CR"/>
              </w:rPr>
              <w:t xml:space="preserve"> General</w:t>
            </w:r>
          </w:p>
        </w:tc>
        <w:tc>
          <w:tcPr>
            <w:tcW w:w="3480" w:type="dxa"/>
            <w:tcBorders>
              <w:top w:val="nil"/>
              <w:left w:val="nil"/>
              <w:bottom w:val="single" w:sz="8" w:space="0" w:color="auto"/>
              <w:right w:val="single" w:sz="8" w:space="0" w:color="auto"/>
            </w:tcBorders>
            <w:shd w:val="clear" w:color="auto" w:fill="auto"/>
            <w:noWrap/>
            <w:vAlign w:val="center"/>
            <w:hideMark/>
          </w:tcPr>
          <w:p w14:paraId="5120B16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476</w:t>
            </w:r>
          </w:p>
        </w:tc>
      </w:tr>
    </w:tbl>
    <w:p w14:paraId="05193DE3" w14:textId="77777777" w:rsidR="00D106C9" w:rsidRPr="00D106C9" w:rsidRDefault="00D106C9" w:rsidP="00D106C9">
      <w:pPr>
        <w:widowControl w:val="0"/>
        <w:suppressAutoHyphens w:val="0"/>
        <w:autoSpaceDE w:val="0"/>
        <w:autoSpaceDN w:val="0"/>
        <w:adjustRightInd w:val="0"/>
        <w:rPr>
          <w:lang w:eastAsia="es-ES"/>
        </w:rPr>
      </w:pPr>
      <w:r w:rsidRPr="00D106C9">
        <w:rPr>
          <w:b/>
          <w:bCs/>
          <w:lang w:eastAsia="es-ES"/>
        </w:rPr>
        <w:t xml:space="preserve">                           Fuente:</w:t>
      </w:r>
      <w:r w:rsidRPr="00D106C9">
        <w:rPr>
          <w:lang w:eastAsia="es-ES"/>
        </w:rPr>
        <w:t xml:space="preserve"> Sistema PAO al 19 de enero del 2022.</w:t>
      </w:r>
    </w:p>
    <w:p w14:paraId="3467D374" w14:textId="77777777" w:rsidR="00D106C9" w:rsidRPr="00D106C9" w:rsidRDefault="00D106C9" w:rsidP="00D106C9">
      <w:pPr>
        <w:widowControl w:val="0"/>
        <w:suppressAutoHyphens w:val="0"/>
        <w:autoSpaceDE w:val="0"/>
        <w:autoSpaceDN w:val="0"/>
        <w:adjustRightInd w:val="0"/>
        <w:jc w:val="both"/>
        <w:rPr>
          <w:lang w:eastAsia="es-ES"/>
        </w:rPr>
      </w:pPr>
    </w:p>
    <w:p w14:paraId="0E27E68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Como se observa del cuadro anterior, la mayor cantidad de metas operativas no cumplidas pertenecen al tema de Resolución oportuna de conflictos (93%).  Esto se debe principalmente a que muchos indicadores estaban constituidos en función de los </w:t>
      </w:r>
      <w:r w:rsidRPr="00D106C9">
        <w:rPr>
          <w:b/>
          <w:bCs/>
          <w:lang w:eastAsia="es-ES"/>
        </w:rPr>
        <w:t>casos terminados y casos terminados por medio de la aplicación de medidas alternas que registran los despachos judiciales y la implementación de planes para reducir la antigüedad del circulante</w:t>
      </w:r>
      <w:r w:rsidRPr="00D106C9">
        <w:rPr>
          <w:lang w:eastAsia="es-ES"/>
        </w:rPr>
        <w:t xml:space="preserve">, con el fin de reducir la mora judicial.  A raíz de una mejora en el Sistema PEI y Sistema PAO se logró hacer efectivo un enlace entre esos sistemas y el Sistema de estadísticas judiciales SIGMA, lo cual permite un registro automatizado de los asuntos fenecidos en los diferentes juzgados competentes en las diferentes materias. Esto impactará positivamente los avances del PAO porque será un fiel </w:t>
      </w:r>
      <w:r w:rsidRPr="00D106C9">
        <w:rPr>
          <w:lang w:eastAsia="es-ES"/>
        </w:rPr>
        <w:lastRenderedPageBreak/>
        <w:t xml:space="preserve">reflejo de la realidad de esas oficinas. </w:t>
      </w:r>
      <w:r w:rsidRPr="00D106C9">
        <w:rPr>
          <w:b/>
          <w:bCs/>
          <w:lang w:eastAsia="es-ES"/>
        </w:rPr>
        <w:t>(ver anexos 40 y 41).</w:t>
      </w:r>
    </w:p>
    <w:p w14:paraId="2BC2A2C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64EB83C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El restante 7% de las metas operativas vinculadas al PEI corresponden a temas estratégicos de </w:t>
      </w:r>
      <w:r w:rsidRPr="00D106C9">
        <w:rPr>
          <w:lang w:eastAsia="es-CR"/>
        </w:rPr>
        <w:t>Optimización e innovación de los servicios judiciales, Confianza y Probidad en la Justicia</w:t>
      </w:r>
      <w:r w:rsidRPr="00D106C9">
        <w:rPr>
          <w:lang w:eastAsia="es-ES"/>
        </w:rPr>
        <w:t xml:space="preserve"> y Planificación Institucional.</w:t>
      </w:r>
    </w:p>
    <w:p w14:paraId="3A2C7C0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79F24F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Con respecto a la </w:t>
      </w:r>
      <w:bookmarkStart w:id="28" w:name="_Hlk97880715"/>
      <w:r w:rsidRPr="00D106C9">
        <w:rPr>
          <w:lang w:eastAsia="es-ES"/>
        </w:rPr>
        <w:t xml:space="preserve">cantidad de metas operativas vinculadas al PEI con un porcentaje de cumplimiento menor al 90% </w:t>
      </w:r>
      <w:bookmarkEnd w:id="28"/>
      <w:r w:rsidRPr="00D106C9">
        <w:rPr>
          <w:lang w:eastAsia="es-ES"/>
        </w:rPr>
        <w:t xml:space="preserve">vinculado a un despacho u oficina judicial, en el anexo 9 se detalla las oficinas que reportan ese cumplimiento medio. </w:t>
      </w:r>
    </w:p>
    <w:p w14:paraId="0F59B3F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F5A6A0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Finalmente, es importante destacar que el Subproceso de Evaluación realizó un seguimiento entre los meses setiembre y octubre del 2021 a los </w:t>
      </w:r>
      <w:proofErr w:type="gramStart"/>
      <w:r w:rsidRPr="00D106C9">
        <w:rPr>
          <w:lang w:eastAsia="es-ES"/>
        </w:rPr>
        <w:t>Responsables</w:t>
      </w:r>
      <w:proofErr w:type="gramEnd"/>
      <w:r w:rsidRPr="00D106C9">
        <w:rPr>
          <w:lang w:eastAsia="es-ES"/>
        </w:rPr>
        <w:t xml:space="preserve"> Estratégicos que tienen metas operativas vinculadas al PEI menor al 90% de cumplimiento, esto con el fin de recordar a los responsables su participación operativa con el fin de alcanzar los objetivos establecidos.</w:t>
      </w:r>
    </w:p>
    <w:p w14:paraId="4AA2006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3F57CDA"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10.1. Impacto de la mejora en metas operativas completadas y pendientes vinculadas al PEI</w:t>
      </w:r>
    </w:p>
    <w:p w14:paraId="3BC39B73"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5A2F65F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Se puede indicar que en correlación con la mejora en el Sistema PAO que permite a las oficinas y despachos judiciales justificar el no cumplimiento de la meta operativa, se puede indicar que de 537 metas operativas vinculadas al PEI en estado pendiente, a 301 metas operativas (56%) se les registró una justificación; por lo anterior, las cuatro justificaciones con mayor peso al realizar el análisis de acuerdo con lo citado por las entidades responsables son las siguientes:</w:t>
      </w:r>
    </w:p>
    <w:p w14:paraId="676790B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0B28A4F7" w14:textId="77777777" w:rsidR="00D106C9" w:rsidRPr="00D106C9" w:rsidRDefault="00D106C9" w:rsidP="003B2E9B">
      <w:pPr>
        <w:widowControl w:val="0"/>
        <w:numPr>
          <w:ilvl w:val="0"/>
          <w:numId w:val="60"/>
        </w:numPr>
        <w:suppressAutoHyphens w:val="0"/>
        <w:autoSpaceDE w:val="0"/>
        <w:autoSpaceDN w:val="0"/>
        <w:adjustRightInd w:val="0"/>
        <w:ind w:left="851" w:right="851" w:firstLine="709"/>
        <w:contextualSpacing/>
        <w:jc w:val="both"/>
        <w:rPr>
          <w:lang w:eastAsia="es-ES"/>
        </w:rPr>
      </w:pPr>
      <w:r w:rsidRPr="00D106C9">
        <w:rPr>
          <w:lang w:eastAsia="es-ES"/>
        </w:rPr>
        <w:t>Un 29% (87 metas operativas) tienen como justificación, que las metas relacionadas con el incremento en casos terminados y casos terminados por medidas alternas se les estableció un valor final elevado que incluso sobrepasa el circulante total del juzgado o del tribunal, por lo tanto, solicitan sean revisadas por la Dirección de Planificación.</w:t>
      </w:r>
    </w:p>
    <w:p w14:paraId="314D465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C902A54" w14:textId="77777777" w:rsidR="00D106C9" w:rsidRPr="00D106C9" w:rsidRDefault="00D106C9" w:rsidP="003B2E9B">
      <w:pPr>
        <w:widowControl w:val="0"/>
        <w:numPr>
          <w:ilvl w:val="0"/>
          <w:numId w:val="60"/>
        </w:numPr>
        <w:suppressAutoHyphens w:val="0"/>
        <w:autoSpaceDE w:val="0"/>
        <w:autoSpaceDN w:val="0"/>
        <w:adjustRightInd w:val="0"/>
        <w:ind w:left="851" w:right="851" w:firstLine="709"/>
        <w:contextualSpacing/>
        <w:jc w:val="both"/>
        <w:rPr>
          <w:lang w:eastAsia="es-ES"/>
        </w:rPr>
      </w:pPr>
      <w:r w:rsidRPr="00D106C9">
        <w:rPr>
          <w:lang w:eastAsia="es-ES"/>
        </w:rPr>
        <w:t xml:space="preserve">Cabe destacar, que un 22% (65 metas operativas) indican que la meta operativa no fue cumplida debido a factores ajenos al despacho, como por ejemplo errores en el sistema, enfermedad de los abogados, enfermedad de las partes, los números estadísticos que no llenan las expectativas, dependen de factores exógenos (como la entrada de causas al Despacho), tema que está siendo abordado por la Dirección de Planificación con base en la matriz de indicadores, </w:t>
      </w:r>
      <w:r w:rsidRPr="00D106C9">
        <w:rPr>
          <w:lang w:eastAsia="es-ES"/>
        </w:rPr>
        <w:lastRenderedPageBreak/>
        <w:t>entre otros.</w:t>
      </w:r>
    </w:p>
    <w:p w14:paraId="41B4D798" w14:textId="77777777" w:rsidR="00D106C9" w:rsidRPr="00D106C9" w:rsidRDefault="00D106C9" w:rsidP="00D106C9">
      <w:pPr>
        <w:suppressAutoHyphens w:val="0"/>
        <w:ind w:left="851" w:right="851" w:firstLine="709"/>
        <w:rPr>
          <w:lang w:eastAsia="es-ES"/>
        </w:rPr>
      </w:pPr>
    </w:p>
    <w:p w14:paraId="51BFBE74" w14:textId="77777777" w:rsidR="00D106C9" w:rsidRPr="00D106C9" w:rsidRDefault="00D106C9" w:rsidP="003B2E9B">
      <w:pPr>
        <w:widowControl w:val="0"/>
        <w:numPr>
          <w:ilvl w:val="0"/>
          <w:numId w:val="60"/>
        </w:numPr>
        <w:suppressAutoHyphens w:val="0"/>
        <w:autoSpaceDE w:val="0"/>
        <w:autoSpaceDN w:val="0"/>
        <w:adjustRightInd w:val="0"/>
        <w:ind w:left="851" w:right="851" w:firstLine="709"/>
        <w:contextualSpacing/>
        <w:jc w:val="both"/>
        <w:rPr>
          <w:lang w:eastAsia="es-ES"/>
        </w:rPr>
      </w:pPr>
      <w:r w:rsidRPr="00D106C9">
        <w:rPr>
          <w:lang w:eastAsia="es-ES"/>
        </w:rPr>
        <w:t xml:space="preserve">Adicionalmente, un 14% (42 metas operativas) tienen como justificación, </w:t>
      </w:r>
      <w:proofErr w:type="gramStart"/>
      <w:r w:rsidRPr="00D106C9">
        <w:rPr>
          <w:lang w:eastAsia="es-ES"/>
        </w:rPr>
        <w:t>que</w:t>
      </w:r>
      <w:proofErr w:type="gramEnd"/>
      <w:r w:rsidRPr="00D106C9">
        <w:rPr>
          <w:lang w:eastAsia="es-ES"/>
        </w:rPr>
        <w:t xml:space="preserve"> a pesar del esfuerzo realizado por el personal del despacho para el cumplimiento de la meta, esta no se logró alcanzar debido a la pandemia ocasionada por la enfermedad mundial denominada “Covid-19”, donde se dieron una serie de medidas preventivas impuestas por el Ministerio de Salud.</w:t>
      </w:r>
    </w:p>
    <w:p w14:paraId="43FA58FC" w14:textId="77777777" w:rsidR="00D106C9" w:rsidRPr="00D106C9" w:rsidRDefault="00D106C9" w:rsidP="00D106C9">
      <w:pPr>
        <w:suppressAutoHyphens w:val="0"/>
        <w:ind w:left="851" w:right="851" w:firstLine="709"/>
        <w:rPr>
          <w:lang w:eastAsia="es-ES"/>
        </w:rPr>
      </w:pPr>
    </w:p>
    <w:p w14:paraId="76348426" w14:textId="77777777" w:rsidR="00D106C9" w:rsidRPr="00D106C9" w:rsidRDefault="00D106C9" w:rsidP="003B2E9B">
      <w:pPr>
        <w:widowControl w:val="0"/>
        <w:numPr>
          <w:ilvl w:val="0"/>
          <w:numId w:val="60"/>
        </w:numPr>
        <w:suppressAutoHyphens w:val="0"/>
        <w:autoSpaceDE w:val="0"/>
        <w:autoSpaceDN w:val="0"/>
        <w:adjustRightInd w:val="0"/>
        <w:ind w:left="851" w:right="851" w:firstLine="709"/>
        <w:contextualSpacing/>
        <w:jc w:val="both"/>
        <w:rPr>
          <w:lang w:eastAsia="es-ES"/>
        </w:rPr>
      </w:pPr>
      <w:r w:rsidRPr="00D106C9">
        <w:rPr>
          <w:lang w:eastAsia="es-ES"/>
        </w:rPr>
        <w:t xml:space="preserve">Por otro lado, hay un 12% (37 metas operativas) que se indica que a pesar de que el despacho promueva la conciliación, se dificulta debido a que en ocasiones no se apersonan las partes, por lo cual la conciliación es una posibilidad que le compete a las partes no al despacho judicial. </w:t>
      </w:r>
    </w:p>
    <w:p w14:paraId="57BEA66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801CBC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Finalmente se puede mencionar que de las 3000 metas operativas en estado “</w:t>
      </w:r>
      <w:r w:rsidRPr="00D106C9">
        <w:rPr>
          <w:b/>
          <w:bCs/>
          <w:lang w:eastAsia="es-ES"/>
        </w:rPr>
        <w:t>completado”</w:t>
      </w:r>
      <w:r w:rsidRPr="00D106C9">
        <w:rPr>
          <w:lang w:eastAsia="es-ES"/>
        </w:rPr>
        <w:t xml:space="preserve"> vinculadas al PEI, el 22% de las metas operativas (654 metas) registró el detalle con resultados, beneficios y población beneficiaria; por lo anterior, los registros que denotan beneficios y su respectivo detalle, son:</w:t>
      </w:r>
    </w:p>
    <w:p w14:paraId="07F26FE7"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Mejor control y menos posibilidades de riegos por causas prescriptas.</w:t>
      </w:r>
    </w:p>
    <w:p w14:paraId="7ABB9AA6"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Mejora en la prestación del servicio como parte del fin preventivo y orientador.</w:t>
      </w:r>
    </w:p>
    <w:p w14:paraId="0A28D92E"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Mejorar la gestión estratégica y operativa por medio de los seguimientos y la priorización de los recursos.</w:t>
      </w:r>
    </w:p>
    <w:p w14:paraId="5C206B63"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Permite a las instancias superiores una asesoría para la toma de decisiones.</w:t>
      </w:r>
    </w:p>
    <w:p w14:paraId="62C49F36"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Que el equipo de trabajo se encuentre sensibilizado con este tipo de temas, que son considerados prioridad institucional.</w:t>
      </w:r>
    </w:p>
    <w:p w14:paraId="2C1CCA30"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Reducción en el rezago, resolución positiva de casos informados al Ministerio Público con beneficio en el trámite de las denuncias hacia los usuarios.</w:t>
      </w:r>
    </w:p>
    <w:p w14:paraId="678558AB"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Reducción de circulante para atención a otras causas.</w:t>
      </w:r>
    </w:p>
    <w:p w14:paraId="01A79209"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Se ha logrado la depuración de tareas pendientes por parte de la población judicial, beneficiando al despacho en la actualización de los sistemas y al usuario al agilizar el trámite de los procesos, para llegar a su finalización.</w:t>
      </w:r>
    </w:p>
    <w:p w14:paraId="149A04B1"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Se hace conciencia sobre el hostigamiento y el acoso sexual en el ámbito laboral, eliminando estereotipos, así como malas prácticas que corroen el buen funcionamiento del despacho a nivel de compañerismo, atiendo además a las consecuencias que éstas podrían acarrear.</w:t>
      </w:r>
    </w:p>
    <w:p w14:paraId="73B2AE39" w14:textId="77777777" w:rsidR="00D106C9" w:rsidRPr="00D106C9" w:rsidRDefault="00D106C9" w:rsidP="003B2E9B">
      <w:pPr>
        <w:widowControl w:val="0"/>
        <w:numPr>
          <w:ilvl w:val="0"/>
          <w:numId w:val="80"/>
        </w:numPr>
        <w:suppressAutoHyphens w:val="0"/>
        <w:autoSpaceDE w:val="0"/>
        <w:autoSpaceDN w:val="0"/>
        <w:adjustRightInd w:val="0"/>
        <w:ind w:left="851" w:right="851" w:firstLine="709"/>
        <w:contextualSpacing/>
        <w:jc w:val="both"/>
        <w:rPr>
          <w:lang w:eastAsia="es-ES"/>
        </w:rPr>
      </w:pPr>
      <w:r w:rsidRPr="00D106C9">
        <w:rPr>
          <w:lang w:eastAsia="es-ES"/>
        </w:rPr>
        <w:t>Una mayor sensibilización y comprensión del tema, además de refrescar el procedimiento de como atender los casos institucionalmente.</w:t>
      </w:r>
    </w:p>
    <w:p w14:paraId="28D2C7B1" w14:textId="77777777" w:rsidR="00D106C9" w:rsidRPr="00D106C9" w:rsidRDefault="00D106C9" w:rsidP="00D106C9">
      <w:pPr>
        <w:suppressAutoHyphens w:val="0"/>
        <w:ind w:left="851" w:right="851" w:firstLine="709"/>
        <w:jc w:val="both"/>
        <w:rPr>
          <w:lang w:eastAsia="es-ES"/>
        </w:rPr>
      </w:pPr>
    </w:p>
    <w:p w14:paraId="3943A0A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lastRenderedPageBreak/>
        <w:t>Por otra parte, también se destacan beneficios para la población como, por ejemplo:</w:t>
      </w:r>
    </w:p>
    <w:p w14:paraId="7276E7DA" w14:textId="77777777" w:rsidR="00D106C9" w:rsidRPr="00D106C9" w:rsidRDefault="00D106C9" w:rsidP="003B2E9B">
      <w:pPr>
        <w:widowControl w:val="0"/>
        <w:numPr>
          <w:ilvl w:val="0"/>
          <w:numId w:val="81"/>
        </w:numPr>
        <w:suppressAutoHyphens w:val="0"/>
        <w:autoSpaceDE w:val="0"/>
        <w:autoSpaceDN w:val="0"/>
        <w:adjustRightInd w:val="0"/>
        <w:ind w:left="851" w:right="851" w:firstLine="709"/>
        <w:contextualSpacing/>
        <w:jc w:val="both"/>
        <w:rPr>
          <w:lang w:eastAsia="es-ES"/>
        </w:rPr>
      </w:pPr>
      <w:r w:rsidRPr="00D106C9">
        <w:rPr>
          <w:lang w:eastAsia="es-ES"/>
        </w:rPr>
        <w:t xml:space="preserve">Se concientizó al equipo de trabajo respecto al tema de interés, por lo cual se procura la mejor atención de las personas internas y externas; así mismo, se cuenta con herramientas tendientes a mejorar la prestación del servicio que se le brinda a la población indígena y funcionarios del Ministerio Público que tramitan casos indígenas. </w:t>
      </w:r>
    </w:p>
    <w:p w14:paraId="56A99772" w14:textId="77777777" w:rsidR="00D106C9" w:rsidRPr="00D106C9" w:rsidRDefault="00D106C9" w:rsidP="003B2E9B">
      <w:pPr>
        <w:widowControl w:val="0"/>
        <w:numPr>
          <w:ilvl w:val="0"/>
          <w:numId w:val="81"/>
        </w:numPr>
        <w:suppressAutoHyphens w:val="0"/>
        <w:autoSpaceDE w:val="0"/>
        <w:autoSpaceDN w:val="0"/>
        <w:adjustRightInd w:val="0"/>
        <w:ind w:left="851" w:right="851" w:firstLine="709"/>
        <w:contextualSpacing/>
        <w:jc w:val="both"/>
        <w:rPr>
          <w:lang w:eastAsia="es-ES"/>
        </w:rPr>
      </w:pPr>
      <w:r w:rsidRPr="00D106C9">
        <w:rPr>
          <w:lang w:eastAsia="es-ES"/>
        </w:rPr>
        <w:t xml:space="preserve">Se considera que la población beneficiada es la parte autora en los procesos, del mismo modo, resulta de beneficio al despacho para avanzar con el término de los expedientes judiciales. </w:t>
      </w:r>
    </w:p>
    <w:p w14:paraId="4323D6FE" w14:textId="77777777" w:rsidR="00D106C9" w:rsidRPr="00D106C9" w:rsidRDefault="00D106C9" w:rsidP="003B2E9B">
      <w:pPr>
        <w:widowControl w:val="0"/>
        <w:numPr>
          <w:ilvl w:val="0"/>
          <w:numId w:val="81"/>
        </w:numPr>
        <w:suppressAutoHyphens w:val="0"/>
        <w:autoSpaceDE w:val="0"/>
        <w:autoSpaceDN w:val="0"/>
        <w:adjustRightInd w:val="0"/>
        <w:ind w:left="851" w:right="851" w:firstLine="709"/>
        <w:contextualSpacing/>
        <w:jc w:val="both"/>
        <w:rPr>
          <w:lang w:eastAsia="es-ES"/>
        </w:rPr>
      </w:pPr>
      <w:r w:rsidRPr="00D106C9">
        <w:rPr>
          <w:lang w:eastAsia="es-ES"/>
        </w:rPr>
        <w:t>Se beneficiaron las personas usuarias ya que, al identificar casos sin sentencia de mayor antigüedad, se realizaron acciones para brindar una respuesta definitiva a sus pendientes.</w:t>
      </w:r>
    </w:p>
    <w:p w14:paraId="50FB9B4D" w14:textId="77777777" w:rsidR="00D106C9" w:rsidRPr="00D106C9" w:rsidRDefault="00D106C9" w:rsidP="003B2E9B">
      <w:pPr>
        <w:widowControl w:val="0"/>
        <w:numPr>
          <w:ilvl w:val="0"/>
          <w:numId w:val="81"/>
        </w:numPr>
        <w:suppressAutoHyphens w:val="0"/>
        <w:autoSpaceDE w:val="0"/>
        <w:autoSpaceDN w:val="0"/>
        <w:adjustRightInd w:val="0"/>
        <w:ind w:left="851" w:right="851" w:firstLine="709"/>
        <w:contextualSpacing/>
        <w:jc w:val="both"/>
        <w:rPr>
          <w:lang w:eastAsia="es-ES"/>
        </w:rPr>
      </w:pPr>
      <w:r w:rsidRPr="00D106C9">
        <w:rPr>
          <w:lang w:eastAsia="es-ES"/>
        </w:rPr>
        <w:t>Se beneficiaron las personas usuarias ya que, al identificar casos sin sentencia de mayor antigüedad, se realizaron acciones para brindar una respuesta definitiva a sus pendientes.</w:t>
      </w:r>
    </w:p>
    <w:p w14:paraId="5F81A852" w14:textId="77777777" w:rsidR="00D106C9" w:rsidRPr="00D106C9" w:rsidRDefault="00D106C9" w:rsidP="00D106C9">
      <w:pPr>
        <w:suppressAutoHyphens w:val="0"/>
        <w:ind w:left="851" w:right="851" w:firstLine="709"/>
        <w:jc w:val="both"/>
        <w:rPr>
          <w:lang w:eastAsia="es-ES"/>
        </w:rPr>
      </w:pPr>
    </w:p>
    <w:p w14:paraId="0C233958"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29" w:name="_Toc102390783"/>
      <w:r w:rsidRPr="00D106C9">
        <w:rPr>
          <w:lang w:eastAsia="es-ES"/>
        </w:rPr>
        <w:t>Evaluación del Plan de Acción para la continuidad de los servicios judiciales producto del COVID-19.</w:t>
      </w:r>
      <w:bookmarkEnd w:id="29"/>
    </w:p>
    <w:p w14:paraId="3E5B997E" w14:textId="77777777" w:rsidR="00D106C9" w:rsidRPr="00D106C9" w:rsidRDefault="00D106C9" w:rsidP="00D106C9">
      <w:pPr>
        <w:widowControl w:val="0"/>
        <w:suppressAutoHyphens w:val="0"/>
        <w:autoSpaceDE w:val="0"/>
        <w:autoSpaceDN w:val="0"/>
        <w:adjustRightInd w:val="0"/>
        <w:ind w:left="851" w:right="851" w:firstLine="709"/>
        <w:rPr>
          <w:lang w:eastAsia="ja-JP"/>
        </w:rPr>
      </w:pPr>
    </w:p>
    <w:p w14:paraId="5B1C5D46"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11.1. Antecedentes</w:t>
      </w:r>
    </w:p>
    <w:p w14:paraId="6A3332D9"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4932A8AA" w14:textId="77777777" w:rsidR="00D106C9" w:rsidRPr="00D106C9" w:rsidRDefault="00D106C9" w:rsidP="003B2E9B">
      <w:pPr>
        <w:widowControl w:val="0"/>
        <w:numPr>
          <w:ilvl w:val="0"/>
          <w:numId w:val="61"/>
        </w:numPr>
        <w:suppressAutoHyphens w:val="0"/>
        <w:autoSpaceDE w:val="0"/>
        <w:autoSpaceDN w:val="0"/>
        <w:adjustRightInd w:val="0"/>
        <w:ind w:left="851" w:right="851" w:firstLine="709"/>
        <w:contextualSpacing/>
        <w:jc w:val="both"/>
        <w:rPr>
          <w:snapToGrid w:val="0"/>
          <w:lang w:eastAsia="es-ES"/>
        </w:rPr>
      </w:pPr>
      <w:r w:rsidRPr="00D106C9">
        <w:rPr>
          <w:rFonts w:eastAsia="Calibri"/>
          <w:lang w:eastAsia="es-CR"/>
        </w:rPr>
        <w:t xml:space="preserve">Mediante oficio </w:t>
      </w:r>
      <w:r w:rsidRPr="00D106C9">
        <w:rPr>
          <w:snapToGrid w:val="0"/>
          <w:lang w:eastAsia="es-ES"/>
        </w:rPr>
        <w:t xml:space="preserve">1481-PLA-PE-2020, del 23 de setiembre del 2020, la Dirección de Planificación comunicó el Plan de Acción COVID-19 formulado en conjunto con los siguientes Centros de Responsabilidad a la Secretaría General de la Corte.  </w:t>
      </w:r>
      <w:r w:rsidRPr="00D106C9">
        <w:rPr>
          <w:rFonts w:eastAsia="Calibri"/>
          <w:lang w:eastAsia="es-CR"/>
        </w:rPr>
        <w:t>En dicho de Plan de Acción se definió una lista de</w:t>
      </w:r>
      <w:r w:rsidRPr="00D106C9">
        <w:rPr>
          <w:lang w:eastAsia="es-ES"/>
        </w:rPr>
        <w:t xml:space="preserve"> acciones que se desarrollaron durante el 2020, para atender la emergencia sanitaria y procurar la continuidad de los servicios que brinda la Administración de Justicia.</w:t>
      </w:r>
    </w:p>
    <w:p w14:paraId="377D68EF" w14:textId="77777777" w:rsidR="00D106C9" w:rsidRPr="00D106C9" w:rsidRDefault="00D106C9" w:rsidP="00D106C9">
      <w:pPr>
        <w:widowControl w:val="0"/>
        <w:suppressAutoHyphens w:val="0"/>
        <w:ind w:left="851" w:right="851" w:firstLine="709"/>
        <w:jc w:val="both"/>
        <w:rPr>
          <w:snapToGrid w:val="0"/>
          <w:lang w:eastAsia="es-ES"/>
        </w:rPr>
      </w:pPr>
    </w:p>
    <w:p w14:paraId="612F773B" w14:textId="77777777" w:rsidR="00D106C9" w:rsidRPr="00D106C9" w:rsidRDefault="00D106C9" w:rsidP="003B2E9B">
      <w:pPr>
        <w:widowControl w:val="0"/>
        <w:numPr>
          <w:ilvl w:val="0"/>
          <w:numId w:val="61"/>
        </w:numPr>
        <w:suppressAutoHyphens w:val="0"/>
        <w:autoSpaceDE w:val="0"/>
        <w:autoSpaceDN w:val="0"/>
        <w:adjustRightInd w:val="0"/>
        <w:ind w:left="851" w:right="851" w:firstLine="709"/>
        <w:contextualSpacing/>
        <w:jc w:val="both"/>
        <w:rPr>
          <w:snapToGrid w:val="0"/>
          <w:lang w:eastAsia="es-ES"/>
        </w:rPr>
      </w:pPr>
      <w:r w:rsidRPr="00D106C9">
        <w:rPr>
          <w:snapToGrid w:val="0"/>
          <w:lang w:eastAsia="es-ES"/>
        </w:rPr>
        <w:t xml:space="preserve">Por otro lado, la circular de la Secretaría de la Corte 253-2020 del 05 de noviembre de 2020, se informó sobre el acuerdo de Corte Plena, sesión 64-2020 del 26 de octubre de 2020, en atención a la declaratoria de emergencia nacional, debido a la situación de emergencia sanitaria provocada por la enfermedad COVID-19, que dentro de las medidas adoptadas, se acogió la recomendación de la Dirección de Planificación sobre el Plan de acción para la continuidad de los servicios judiciales de las estrategias institucionales desarrolladas producto del COVID-19, establecido en el oficio 1481-PLA-PE-2020. </w:t>
      </w:r>
    </w:p>
    <w:p w14:paraId="74FE0D8A" w14:textId="77777777" w:rsidR="00D106C9" w:rsidRPr="00D106C9" w:rsidRDefault="00D106C9" w:rsidP="00D106C9">
      <w:pPr>
        <w:suppressAutoHyphens w:val="0"/>
        <w:ind w:left="851" w:right="851" w:firstLine="709"/>
        <w:rPr>
          <w:lang w:eastAsia="es-ES"/>
        </w:rPr>
      </w:pPr>
    </w:p>
    <w:p w14:paraId="515A51AE" w14:textId="77777777" w:rsidR="00D106C9" w:rsidRPr="00D106C9" w:rsidRDefault="00D106C9" w:rsidP="003B2E9B">
      <w:pPr>
        <w:widowControl w:val="0"/>
        <w:numPr>
          <w:ilvl w:val="0"/>
          <w:numId w:val="61"/>
        </w:numPr>
        <w:suppressAutoHyphens w:val="0"/>
        <w:autoSpaceDE w:val="0"/>
        <w:autoSpaceDN w:val="0"/>
        <w:adjustRightInd w:val="0"/>
        <w:ind w:left="851" w:right="851" w:firstLine="709"/>
        <w:contextualSpacing/>
        <w:jc w:val="both"/>
        <w:rPr>
          <w:snapToGrid w:val="0"/>
          <w:lang w:eastAsia="es-ES"/>
        </w:rPr>
      </w:pPr>
      <w:r w:rsidRPr="00D106C9">
        <w:rPr>
          <w:lang w:eastAsia="es-ES"/>
        </w:rPr>
        <w:t xml:space="preserve">El Plan de Acción definido para el 2020 reportó un porcentaje de </w:t>
      </w:r>
      <w:r w:rsidRPr="00D106C9">
        <w:rPr>
          <w:lang w:eastAsia="es-ES"/>
        </w:rPr>
        <w:lastRenderedPageBreak/>
        <w:t xml:space="preserve">cumplimiento del 100%, y fue comunicado a la Comisión de Emergencias del Poder Judicial mediante oficio 201-PLA-PE-2021 del 17 de febrero de 2021 y a la Secretaría General de la Corte, mediante oficio 308-PLA-PE-2021, del 12 de marzo de 2021. </w:t>
      </w:r>
      <w:r w:rsidRPr="00D106C9">
        <w:rPr>
          <w:snapToGrid w:val="0"/>
          <w:lang w:eastAsia="es-ES"/>
        </w:rPr>
        <w:t>Al respecto, se destaca que el Plan de Acción COVID-19 para el 2020 lo conformaron 88 objetivos operativos, correspondiente a 44 metas estratégicas.</w:t>
      </w:r>
    </w:p>
    <w:p w14:paraId="10FC6571" w14:textId="77777777" w:rsidR="00D106C9" w:rsidRPr="00D106C9" w:rsidRDefault="00D106C9" w:rsidP="00D106C9">
      <w:pPr>
        <w:suppressAutoHyphens w:val="0"/>
        <w:ind w:left="851" w:right="851" w:firstLine="709"/>
        <w:rPr>
          <w:snapToGrid w:val="0"/>
          <w:lang w:eastAsia="es-ES"/>
        </w:rPr>
      </w:pPr>
    </w:p>
    <w:p w14:paraId="3DCC62BD" w14:textId="77777777" w:rsidR="00D106C9" w:rsidRPr="00D106C9" w:rsidRDefault="00D106C9" w:rsidP="003B2E9B">
      <w:pPr>
        <w:widowControl w:val="0"/>
        <w:numPr>
          <w:ilvl w:val="0"/>
          <w:numId w:val="61"/>
        </w:numPr>
        <w:suppressAutoHyphens w:val="0"/>
        <w:autoSpaceDE w:val="0"/>
        <w:autoSpaceDN w:val="0"/>
        <w:adjustRightInd w:val="0"/>
        <w:ind w:left="851" w:right="851" w:firstLine="709"/>
        <w:contextualSpacing/>
        <w:jc w:val="both"/>
        <w:rPr>
          <w:snapToGrid w:val="0"/>
          <w:lang w:eastAsia="es-ES"/>
        </w:rPr>
      </w:pPr>
      <w:r w:rsidRPr="00D106C9">
        <w:rPr>
          <w:snapToGrid w:val="0"/>
          <w:lang w:eastAsia="es-ES"/>
        </w:rPr>
        <w:t xml:space="preserve">La Dirección de Planificación mediante el oficio 478-PLA-PE-2021, planteó la propuesta para consolidar en un plan de acción las acciones institucionales que se han venido desarrollando o se tienen planificadas realizar </w:t>
      </w:r>
      <w:r w:rsidRPr="00D106C9">
        <w:rPr>
          <w:b/>
          <w:bCs/>
          <w:snapToGrid w:val="0"/>
          <w:u w:val="single"/>
          <w:lang w:eastAsia="es-ES"/>
        </w:rPr>
        <w:t xml:space="preserve">durante el 2021, </w:t>
      </w:r>
      <w:r w:rsidRPr="00D106C9">
        <w:rPr>
          <w:snapToGrid w:val="0"/>
          <w:lang w:eastAsia="es-ES"/>
        </w:rPr>
        <w:t xml:space="preserve">esto en virtud </w:t>
      </w:r>
      <w:r w:rsidRPr="00D106C9">
        <w:rPr>
          <w:lang w:eastAsia="es-ES"/>
        </w:rPr>
        <w:t xml:space="preserve">de que se mantiene la declaratoria de emergencia nacional, como efecto </w:t>
      </w:r>
      <w:r w:rsidRPr="00D106C9">
        <w:rPr>
          <w:snapToGrid w:val="0"/>
          <w:lang w:eastAsia="es-ES"/>
        </w:rPr>
        <w:t xml:space="preserve">del COVID-19 y con el fin de </w:t>
      </w:r>
      <w:r w:rsidRPr="00D106C9">
        <w:rPr>
          <w:snapToGrid w:val="0"/>
          <w:u w:val="single"/>
          <w:lang w:eastAsia="es-ES"/>
        </w:rPr>
        <w:t>dar continuidad a los servicios judiciales</w:t>
      </w:r>
      <w:r w:rsidRPr="00D106C9">
        <w:rPr>
          <w:snapToGrid w:val="0"/>
          <w:lang w:eastAsia="es-ES"/>
        </w:rPr>
        <w:t>.</w:t>
      </w:r>
    </w:p>
    <w:p w14:paraId="64F4B976" w14:textId="77777777" w:rsidR="00D106C9" w:rsidRPr="00D106C9" w:rsidRDefault="00D106C9" w:rsidP="00D106C9">
      <w:pPr>
        <w:suppressAutoHyphens w:val="0"/>
        <w:ind w:left="851" w:right="851" w:firstLine="709"/>
        <w:rPr>
          <w:snapToGrid w:val="0"/>
          <w:lang w:eastAsia="es-ES"/>
        </w:rPr>
      </w:pPr>
    </w:p>
    <w:p w14:paraId="1B7BC4AD" w14:textId="77777777" w:rsidR="00D106C9" w:rsidRPr="00D106C9" w:rsidRDefault="00D106C9" w:rsidP="003B2E9B">
      <w:pPr>
        <w:widowControl w:val="0"/>
        <w:numPr>
          <w:ilvl w:val="0"/>
          <w:numId w:val="61"/>
        </w:numPr>
        <w:suppressAutoHyphens w:val="0"/>
        <w:autoSpaceDE w:val="0"/>
        <w:autoSpaceDN w:val="0"/>
        <w:adjustRightInd w:val="0"/>
        <w:ind w:left="851" w:right="851" w:firstLine="709"/>
        <w:contextualSpacing/>
        <w:jc w:val="both"/>
        <w:rPr>
          <w:lang w:eastAsia="es-ES"/>
        </w:rPr>
      </w:pPr>
      <w:bookmarkStart w:id="30" w:name="_Hlk508263464"/>
      <w:r w:rsidRPr="00D106C9">
        <w:rPr>
          <w:lang w:eastAsia="es-ES"/>
        </w:rPr>
        <w:t xml:space="preserve">La Corte Plena en sesión 27-2021 del 30 de junio de 2021, Artículo II, conoce los </w:t>
      </w:r>
      <w:r w:rsidRPr="00D106C9" w:rsidDel="00E659FD">
        <w:rPr>
          <w:lang w:eastAsia="es-ES"/>
        </w:rPr>
        <w:t>oficio</w:t>
      </w:r>
      <w:r w:rsidRPr="00D106C9">
        <w:rPr>
          <w:lang w:eastAsia="es-ES"/>
        </w:rPr>
        <w:t xml:space="preserve">s 687-PLA-MI-2021 y 709-PLA-PE-2021, relacionados con la definición y seguimiento del Plan de Acción para la continuidad de los servicios judiciales producto del COVID-19; donde se acordó entre otras cosas: </w:t>
      </w:r>
    </w:p>
    <w:p w14:paraId="7634EE65" w14:textId="77777777" w:rsidR="00D106C9" w:rsidRPr="00D106C9" w:rsidRDefault="00D106C9" w:rsidP="00D106C9">
      <w:pPr>
        <w:suppressAutoHyphens w:val="0"/>
        <w:ind w:left="851" w:right="851" w:firstLine="709"/>
        <w:jc w:val="both"/>
        <w:rPr>
          <w:snapToGrid w:val="0"/>
          <w:lang w:eastAsia="es-ES"/>
        </w:rPr>
      </w:pPr>
    </w:p>
    <w:bookmarkEnd w:id="30"/>
    <w:p w14:paraId="67AA98D1" w14:textId="77777777" w:rsidR="00D106C9" w:rsidRPr="00D106C9" w:rsidRDefault="00D106C9" w:rsidP="00D106C9">
      <w:pPr>
        <w:widowControl w:val="0"/>
        <w:tabs>
          <w:tab w:val="left" w:pos="8364"/>
        </w:tabs>
        <w:suppressAutoHyphens w:val="0"/>
        <w:ind w:left="851" w:right="851" w:firstLine="709"/>
        <w:jc w:val="both"/>
        <w:rPr>
          <w:snapToGrid w:val="0"/>
          <w:lang w:eastAsia="es-ES"/>
        </w:rPr>
      </w:pPr>
      <w:r w:rsidRPr="00D106C9">
        <w:rPr>
          <w:i/>
          <w:iCs/>
          <w:lang w:eastAsia="es-ES"/>
        </w:rPr>
        <w:t xml:space="preserve">“Tener por aprobados los informes y recomendaciones remitidos por las Direcciones de Planificación y de Gestión Humana, así como el Centro de Apoyo, Coordinación y Mejoramiento de la Función Jurisdiccional, mediante oficios </w:t>
      </w:r>
      <w:proofErr w:type="spellStart"/>
      <w:r w:rsidRPr="00D106C9">
        <w:rPr>
          <w:i/>
          <w:iCs/>
          <w:lang w:eastAsia="es-ES"/>
        </w:rPr>
        <w:t>Nºs</w:t>
      </w:r>
      <w:proofErr w:type="spellEnd"/>
      <w:r w:rsidRPr="00D106C9">
        <w:rPr>
          <w:i/>
          <w:iCs/>
          <w:lang w:eastAsia="es-ES"/>
        </w:rPr>
        <w:t xml:space="preserve"> 687-PLA-MI-2021, 709-PLA-PE-2021, 706-PLA-MI-2021, 199-CACMFJ-JEF-2021 y PJ-DGH-SSO-903-2021”.</w:t>
      </w:r>
    </w:p>
    <w:p w14:paraId="16B57B25" w14:textId="77777777" w:rsidR="00D106C9" w:rsidRPr="00D106C9" w:rsidRDefault="00D106C9" w:rsidP="00D106C9">
      <w:pPr>
        <w:widowControl w:val="0"/>
        <w:suppressAutoHyphens w:val="0"/>
        <w:autoSpaceDE w:val="0"/>
        <w:autoSpaceDN w:val="0"/>
        <w:adjustRightInd w:val="0"/>
        <w:ind w:left="851" w:right="851" w:firstLine="709"/>
        <w:jc w:val="both"/>
        <w:rPr>
          <w:snapToGrid w:val="0"/>
          <w:lang w:eastAsia="es-ES"/>
        </w:rPr>
      </w:pPr>
    </w:p>
    <w:p w14:paraId="4B41FF86" w14:textId="77777777" w:rsidR="00D106C9" w:rsidRPr="00D106C9" w:rsidRDefault="00D106C9" w:rsidP="003B2E9B">
      <w:pPr>
        <w:widowControl w:val="0"/>
        <w:numPr>
          <w:ilvl w:val="0"/>
          <w:numId w:val="62"/>
        </w:numPr>
        <w:suppressAutoHyphens w:val="0"/>
        <w:autoSpaceDE w:val="0"/>
        <w:autoSpaceDN w:val="0"/>
        <w:adjustRightInd w:val="0"/>
        <w:ind w:left="851" w:right="851" w:firstLine="709"/>
        <w:jc w:val="both"/>
        <w:rPr>
          <w:bCs/>
          <w:lang w:eastAsia="es-CR"/>
        </w:rPr>
      </w:pPr>
      <w:r w:rsidRPr="00D106C9">
        <w:rPr>
          <w:bCs/>
          <w:lang w:eastAsia="es-CR"/>
        </w:rPr>
        <w:t xml:space="preserve">Finalmente, la Dirección de Planificación elaboró el informe de seguimiento al cumplimiento del Plan de Acción Covid-19 con fecha al corte del 10 de noviembre del 2021. </w:t>
      </w:r>
      <w:r w:rsidRPr="00D106C9">
        <w:rPr>
          <w:bCs/>
          <w:snapToGrid w:val="0"/>
          <w:lang w:eastAsia="es-CR"/>
        </w:rPr>
        <w:t xml:space="preserve">El informe se encuentra </w:t>
      </w:r>
      <w:r w:rsidRPr="00D106C9">
        <w:rPr>
          <w:bCs/>
          <w:lang w:eastAsia="es-CR"/>
        </w:rPr>
        <w:t>en proceso de estudio por parte de Corte Plena (1293-PLA-PE-2021).</w:t>
      </w:r>
    </w:p>
    <w:p w14:paraId="3DF4A3A7" w14:textId="77777777" w:rsidR="00D106C9" w:rsidRPr="00D106C9" w:rsidRDefault="00D106C9" w:rsidP="00D106C9">
      <w:pPr>
        <w:widowControl w:val="0"/>
        <w:suppressAutoHyphens w:val="0"/>
        <w:autoSpaceDE w:val="0"/>
        <w:autoSpaceDN w:val="0"/>
        <w:adjustRightInd w:val="0"/>
        <w:ind w:left="851" w:right="851" w:firstLine="709"/>
        <w:jc w:val="both"/>
        <w:rPr>
          <w:snapToGrid w:val="0"/>
          <w:lang w:eastAsia="es-ES"/>
        </w:rPr>
      </w:pPr>
    </w:p>
    <w:p w14:paraId="6D370DB0" w14:textId="77777777" w:rsidR="00D106C9" w:rsidRPr="00D106C9" w:rsidRDefault="00D106C9" w:rsidP="00D106C9">
      <w:pPr>
        <w:widowControl w:val="0"/>
        <w:suppressAutoHyphens w:val="0"/>
        <w:autoSpaceDE w:val="0"/>
        <w:autoSpaceDN w:val="0"/>
        <w:adjustRightInd w:val="0"/>
        <w:ind w:left="851" w:right="851" w:firstLine="709"/>
        <w:jc w:val="both"/>
        <w:rPr>
          <w:b/>
          <w:bCs/>
          <w:lang w:eastAsia="es-ES"/>
        </w:rPr>
      </w:pPr>
    </w:p>
    <w:p w14:paraId="741518D6"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 Cumplimiento Plan de Acción para la continuidad de los servicios judiciales producto del COVID-19.</w:t>
      </w:r>
    </w:p>
    <w:p w14:paraId="6866CC57"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p>
    <w:p w14:paraId="4ABA1686"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r w:rsidRPr="00D106C9">
        <w:rPr>
          <w:rFonts w:eastAsia="Calibri"/>
          <w:lang w:eastAsia="es-ES"/>
        </w:rPr>
        <w:t xml:space="preserve">En relación con la evaluación al Plan de Acción para la continuidad de los servicios judiciales producto del COVID-19 en el período 2021, cabe señalar que se llevó a cabo un proceso de revisión de las 52 metas estratégicas </w:t>
      </w:r>
      <w:r w:rsidRPr="00D106C9">
        <w:rPr>
          <w:lang w:eastAsia="es-ES"/>
        </w:rPr>
        <w:t>para este 2021 vinculadas al Plan de Acción, mediante el cumplimiento de los objetivos y metas operativas del PAO.</w:t>
      </w:r>
    </w:p>
    <w:p w14:paraId="5FFEE240"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r w:rsidRPr="00D106C9">
        <w:rPr>
          <w:lang w:eastAsia="es-ES"/>
        </w:rPr>
        <w:t xml:space="preserve">El mecanismo de valoración se define con el propósito de medir el nivel </w:t>
      </w:r>
      <w:r w:rsidRPr="00D106C9">
        <w:rPr>
          <w:lang w:eastAsia="es-ES"/>
        </w:rPr>
        <w:lastRenderedPageBreak/>
        <w:t xml:space="preserve">de progreso y cumplimiento del Plan de Acción Covid-19, con base en el grado de avance acumulado de las 185 metas operativas asociadas a las metas estratégicas, el cual se obtiene mediante un monitoreo continuo de las diferentes acciones ejecutadas para asegurar su cumplimiento. </w:t>
      </w:r>
    </w:p>
    <w:p w14:paraId="503AADB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El cumplimiento se fundamenta en la información contenida en el sistema PAO y como resultado, se obtiene el grado de cumplimiento de cada componente; lo anterior, a través de la valoración directa del grado de cumplimiento de la meta estratégica y al avance reportado por la oficina u oficinas responsables por medio de las metas operativas vinculadas al PAO. </w:t>
      </w:r>
    </w:p>
    <w:p w14:paraId="7626C747"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r w:rsidRPr="00D106C9">
        <w:rPr>
          <w:lang w:eastAsia="es-ES"/>
        </w:rPr>
        <w:t>Es importante mencionar que la veracidad de la información de los avances por cada meta operativa depende de cada oficina responsable.</w:t>
      </w:r>
    </w:p>
    <w:p w14:paraId="48B7D66B"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r w:rsidRPr="00D106C9">
        <w:rPr>
          <w:lang w:eastAsia="es-ES"/>
        </w:rPr>
        <w:t xml:space="preserve">En este sentido, </w:t>
      </w:r>
      <w:r w:rsidRPr="00D106C9">
        <w:rPr>
          <w:rFonts w:eastAsia="Calibri"/>
          <w:lang w:eastAsia="es-ES"/>
        </w:rPr>
        <w:t>se tiene un avance de cumplimiento del Plan de Acción Covid-19 para el 2021 de un 93,33%, al 19 de enero del 2022.</w:t>
      </w:r>
    </w:p>
    <w:p w14:paraId="4FA9A8CD"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p>
    <w:p w14:paraId="3ABDA9D3"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Gráfico </w:t>
      </w:r>
      <w:r w:rsidRPr="00D106C9">
        <w:rPr>
          <w:b/>
          <w:bCs/>
          <w:lang w:eastAsia="es-ES"/>
        </w:rPr>
        <w:fldChar w:fldCharType="begin"/>
      </w:r>
      <w:r w:rsidRPr="00D106C9">
        <w:rPr>
          <w:b/>
          <w:bCs/>
          <w:lang w:eastAsia="es-ES"/>
        </w:rPr>
        <w:instrText xml:space="preserve"> SEQ Gráfico \* ARABIC </w:instrText>
      </w:r>
      <w:r w:rsidRPr="00D106C9">
        <w:rPr>
          <w:b/>
          <w:bCs/>
          <w:lang w:eastAsia="es-ES"/>
        </w:rPr>
        <w:fldChar w:fldCharType="separate"/>
      </w:r>
      <w:r w:rsidRPr="00D106C9">
        <w:rPr>
          <w:b/>
          <w:bCs/>
          <w:lang w:eastAsia="es-ES"/>
        </w:rPr>
        <w:t>8</w:t>
      </w:r>
      <w:r w:rsidRPr="00D106C9">
        <w:rPr>
          <w:b/>
          <w:bCs/>
          <w:lang w:eastAsia="es-ES"/>
        </w:rPr>
        <w:fldChar w:fldCharType="end"/>
      </w:r>
    </w:p>
    <w:p w14:paraId="1928C5F7"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Porcentaje de cumplimiento del Plan de Acción Covid-19, para el 2021.</w:t>
      </w:r>
    </w:p>
    <w:p w14:paraId="4C3F650E" w14:textId="77777777" w:rsidR="00D106C9" w:rsidRPr="00D106C9" w:rsidRDefault="00D106C9" w:rsidP="00D106C9">
      <w:pPr>
        <w:widowControl w:val="0"/>
        <w:suppressAutoHyphens w:val="0"/>
        <w:autoSpaceDE w:val="0"/>
        <w:autoSpaceDN w:val="0"/>
        <w:adjustRightInd w:val="0"/>
        <w:rPr>
          <w:lang w:eastAsia="es-ES"/>
        </w:rPr>
      </w:pPr>
    </w:p>
    <w:p w14:paraId="37149923" w14:textId="77777777" w:rsidR="00D106C9" w:rsidRPr="00D106C9" w:rsidRDefault="00D106C9" w:rsidP="00D106C9">
      <w:pPr>
        <w:widowControl w:val="0"/>
        <w:suppressAutoHyphens w:val="0"/>
        <w:autoSpaceDE w:val="0"/>
        <w:autoSpaceDN w:val="0"/>
        <w:adjustRightInd w:val="0"/>
        <w:jc w:val="center"/>
        <w:rPr>
          <w:lang w:eastAsia="es-ES"/>
        </w:rPr>
      </w:pPr>
      <w:r w:rsidRPr="00D106C9">
        <w:rPr>
          <w:noProof/>
          <w:lang w:eastAsia="es-ES"/>
        </w:rPr>
        <w:drawing>
          <wp:inline distT="0" distB="0" distL="0" distR="0" wp14:anchorId="7E8D8CD2" wp14:editId="1760594A">
            <wp:extent cx="3952755" cy="1956121"/>
            <wp:effectExtent l="0" t="0" r="10160" b="6350"/>
            <wp:docPr id="10" name="Gráfico 10">
              <a:extLst xmlns:a="http://schemas.openxmlformats.org/drawingml/2006/main">
                <a:ext uri="{FF2B5EF4-FFF2-40B4-BE49-F238E27FC236}">
                  <a16:creationId xmlns:a16="http://schemas.microsoft.com/office/drawing/2014/main" id="{5EE57749-F863-4FA4-9769-FD36146503B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2C439F65" w14:textId="77777777" w:rsidR="00D106C9" w:rsidRPr="00D106C9" w:rsidRDefault="00D106C9" w:rsidP="00D106C9">
      <w:pPr>
        <w:widowControl w:val="0"/>
        <w:tabs>
          <w:tab w:val="left" w:pos="3264"/>
        </w:tabs>
        <w:suppressAutoHyphens w:val="0"/>
        <w:autoSpaceDE w:val="0"/>
        <w:autoSpaceDN w:val="0"/>
        <w:adjustRightInd w:val="0"/>
        <w:rPr>
          <w:rFonts w:eastAsia="Calibri"/>
          <w:lang w:eastAsia="es-ES"/>
        </w:rPr>
      </w:pPr>
      <w:r w:rsidRPr="00D106C9">
        <w:rPr>
          <w:rFonts w:eastAsia="Calibri"/>
          <w:b/>
          <w:bCs/>
          <w:lang w:eastAsia="es-ES"/>
        </w:rPr>
        <w:t xml:space="preserve">                                Fuente:</w:t>
      </w:r>
      <w:r w:rsidRPr="00D106C9">
        <w:rPr>
          <w:rFonts w:eastAsia="Calibri"/>
          <w:lang w:eastAsia="es-ES"/>
        </w:rPr>
        <w:t xml:space="preserve"> Sistema PAO al 19 de enero del 2022.</w:t>
      </w:r>
    </w:p>
    <w:p w14:paraId="3946AAB3" w14:textId="77777777" w:rsidR="00D106C9" w:rsidRPr="00D106C9" w:rsidRDefault="00D106C9" w:rsidP="00D106C9">
      <w:pPr>
        <w:widowControl w:val="0"/>
        <w:suppressAutoHyphens w:val="0"/>
        <w:autoSpaceDE w:val="0"/>
        <w:autoSpaceDN w:val="0"/>
        <w:adjustRightInd w:val="0"/>
        <w:rPr>
          <w:lang w:eastAsia="es-ES"/>
        </w:rPr>
      </w:pPr>
    </w:p>
    <w:p w14:paraId="670F7A0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A continuación, se presenta las </w:t>
      </w:r>
      <w:bookmarkStart w:id="31" w:name="_Hlk98415499"/>
      <w:r w:rsidRPr="00D106C9">
        <w:rPr>
          <w:lang w:eastAsia="es-ES"/>
        </w:rPr>
        <w:t xml:space="preserve">19 estrategias de los Planes de Acción Covid-19, que están vinculadas al Plan Estratégico Institucional, en donde se destaca el cumplimiento por cada meta estratégica y meta operativa, </w:t>
      </w:r>
      <w:bookmarkEnd w:id="31"/>
      <w:r w:rsidRPr="00D106C9">
        <w:rPr>
          <w:lang w:eastAsia="es-ES"/>
        </w:rPr>
        <w:t>los cuales se detallan en el siguiente cuadro:</w:t>
      </w:r>
    </w:p>
    <w:p w14:paraId="57C9590D"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8</w:t>
      </w:r>
      <w:r w:rsidRPr="00D106C9">
        <w:rPr>
          <w:b/>
          <w:bCs/>
          <w:lang w:eastAsia="es-ES"/>
        </w:rPr>
        <w:fldChar w:fldCharType="end"/>
      </w:r>
    </w:p>
    <w:p w14:paraId="626A20E3"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 xml:space="preserve">Porcentaje de cumplimiento del Plan de Acción Covid-19 por metas operativas </w:t>
      </w:r>
    </w:p>
    <w:p w14:paraId="1C7C8427" w14:textId="77777777" w:rsidR="00D106C9" w:rsidRPr="00D106C9" w:rsidRDefault="00D106C9" w:rsidP="00D106C9">
      <w:pPr>
        <w:widowControl w:val="0"/>
        <w:suppressAutoHyphens w:val="0"/>
        <w:autoSpaceDE w:val="0"/>
        <w:autoSpaceDN w:val="0"/>
        <w:adjustRightInd w:val="0"/>
        <w:contextualSpacing/>
        <w:jc w:val="center"/>
        <w:rPr>
          <w:b/>
          <w:lang w:eastAsia="es-ES"/>
        </w:rPr>
      </w:pPr>
      <w:r w:rsidRPr="00D106C9">
        <w:rPr>
          <w:b/>
          <w:lang w:eastAsia="es-ES"/>
        </w:rPr>
        <w:t>para el 2021</w:t>
      </w:r>
    </w:p>
    <w:p w14:paraId="6FE67DEB" w14:textId="77777777" w:rsidR="00D106C9" w:rsidRPr="00D106C9" w:rsidRDefault="00D106C9" w:rsidP="00D106C9">
      <w:pPr>
        <w:widowControl w:val="0"/>
        <w:suppressAutoHyphens w:val="0"/>
        <w:autoSpaceDE w:val="0"/>
        <w:autoSpaceDN w:val="0"/>
        <w:adjustRightInd w:val="0"/>
        <w:contextualSpacing/>
        <w:jc w:val="center"/>
        <w:rPr>
          <w:b/>
          <w:lang w:eastAsia="es-ES"/>
        </w:rPr>
      </w:pPr>
    </w:p>
    <w:tbl>
      <w:tblPr>
        <w:tblStyle w:val="Tablaconcuadrcula1"/>
        <w:tblW w:w="0" w:type="auto"/>
        <w:tblLook w:val="04A0" w:firstRow="1" w:lastRow="0" w:firstColumn="1" w:lastColumn="0" w:noHBand="0" w:noVBand="1"/>
      </w:tblPr>
      <w:tblGrid>
        <w:gridCol w:w="597"/>
        <w:gridCol w:w="3384"/>
        <w:gridCol w:w="1533"/>
        <w:gridCol w:w="1508"/>
        <w:gridCol w:w="1757"/>
      </w:tblGrid>
      <w:tr w:rsidR="00D106C9" w:rsidRPr="00D106C9" w14:paraId="171ADD46" w14:textId="77777777" w:rsidTr="006D7BCD">
        <w:trPr>
          <w:trHeight w:val="520"/>
        </w:trPr>
        <w:tc>
          <w:tcPr>
            <w:tcW w:w="597" w:type="dxa"/>
            <w:shd w:val="clear" w:color="auto" w:fill="0070C0"/>
            <w:vAlign w:val="center"/>
            <w:hideMark/>
          </w:tcPr>
          <w:p w14:paraId="78799196" w14:textId="77777777" w:rsidR="00D106C9" w:rsidRPr="00D106C9" w:rsidRDefault="00D106C9" w:rsidP="00D106C9">
            <w:pPr>
              <w:widowControl w:val="0"/>
              <w:suppressAutoHyphens w:val="0"/>
              <w:autoSpaceDE w:val="0"/>
              <w:autoSpaceDN w:val="0"/>
              <w:adjustRightInd w:val="0"/>
              <w:jc w:val="center"/>
              <w:rPr>
                <w:b/>
                <w:bCs/>
                <w:lang w:eastAsia="es-ES"/>
              </w:rPr>
            </w:pPr>
            <w:proofErr w:type="spellStart"/>
            <w:r w:rsidRPr="00D106C9">
              <w:rPr>
                <w:b/>
                <w:bCs/>
                <w:lang w:eastAsia="es-ES"/>
              </w:rPr>
              <w:t>N°</w:t>
            </w:r>
            <w:proofErr w:type="spellEnd"/>
          </w:p>
        </w:tc>
        <w:tc>
          <w:tcPr>
            <w:tcW w:w="3384" w:type="dxa"/>
            <w:shd w:val="clear" w:color="auto" w:fill="0070C0"/>
            <w:vAlign w:val="center"/>
            <w:hideMark/>
          </w:tcPr>
          <w:p w14:paraId="6AD31303"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Plan de Acción Covid-19</w:t>
            </w:r>
          </w:p>
        </w:tc>
        <w:tc>
          <w:tcPr>
            <w:tcW w:w="1533" w:type="dxa"/>
            <w:shd w:val="clear" w:color="auto" w:fill="0070C0"/>
            <w:vAlign w:val="center"/>
            <w:hideMark/>
          </w:tcPr>
          <w:p w14:paraId="3E8D4D1B"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 xml:space="preserve">Cantidad de Metas </w:t>
            </w:r>
            <w:r w:rsidRPr="00D106C9">
              <w:rPr>
                <w:b/>
                <w:bCs/>
                <w:lang w:eastAsia="es-ES"/>
              </w:rPr>
              <w:lastRenderedPageBreak/>
              <w:t>Estratégicas</w:t>
            </w:r>
          </w:p>
        </w:tc>
        <w:tc>
          <w:tcPr>
            <w:tcW w:w="1508" w:type="dxa"/>
            <w:shd w:val="clear" w:color="auto" w:fill="0070C0"/>
            <w:vAlign w:val="center"/>
            <w:hideMark/>
          </w:tcPr>
          <w:p w14:paraId="4DD3D7C1"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lastRenderedPageBreak/>
              <w:t xml:space="preserve">Cantidad de Metas </w:t>
            </w:r>
            <w:r w:rsidRPr="00D106C9">
              <w:rPr>
                <w:b/>
                <w:bCs/>
                <w:lang w:eastAsia="es-ES"/>
              </w:rPr>
              <w:lastRenderedPageBreak/>
              <w:t>Operativas</w:t>
            </w:r>
          </w:p>
        </w:tc>
        <w:tc>
          <w:tcPr>
            <w:tcW w:w="1757" w:type="dxa"/>
            <w:shd w:val="clear" w:color="auto" w:fill="0070C0"/>
            <w:vAlign w:val="center"/>
            <w:hideMark/>
          </w:tcPr>
          <w:p w14:paraId="5308E3E0"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lastRenderedPageBreak/>
              <w:t>Porcentaje</w:t>
            </w:r>
          </w:p>
        </w:tc>
      </w:tr>
      <w:tr w:rsidR="00D106C9" w:rsidRPr="00D106C9" w14:paraId="67CB555D" w14:textId="77777777" w:rsidTr="006D7BCD">
        <w:trPr>
          <w:trHeight w:val="780"/>
        </w:trPr>
        <w:tc>
          <w:tcPr>
            <w:tcW w:w="597" w:type="dxa"/>
            <w:vAlign w:val="center"/>
            <w:hideMark/>
          </w:tcPr>
          <w:p w14:paraId="7CA7722F"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3384" w:type="dxa"/>
            <w:hideMark/>
          </w:tcPr>
          <w:p w14:paraId="3ED47846"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 Reprogramación de Objetivos y Metas del PEI y PAO 2020.</w:t>
            </w:r>
          </w:p>
        </w:tc>
        <w:tc>
          <w:tcPr>
            <w:tcW w:w="1533" w:type="dxa"/>
            <w:vAlign w:val="center"/>
            <w:hideMark/>
          </w:tcPr>
          <w:p w14:paraId="7816F15D"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508" w:type="dxa"/>
            <w:vAlign w:val="center"/>
            <w:hideMark/>
          </w:tcPr>
          <w:p w14:paraId="2336781F"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6</w:t>
            </w:r>
          </w:p>
        </w:tc>
        <w:tc>
          <w:tcPr>
            <w:tcW w:w="1757" w:type="dxa"/>
            <w:vAlign w:val="center"/>
            <w:hideMark/>
          </w:tcPr>
          <w:p w14:paraId="7BAAF022"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0FEE68A3" w14:textId="77777777" w:rsidTr="006D7BCD">
        <w:trPr>
          <w:trHeight w:val="780"/>
        </w:trPr>
        <w:tc>
          <w:tcPr>
            <w:tcW w:w="597" w:type="dxa"/>
            <w:vAlign w:val="center"/>
            <w:hideMark/>
          </w:tcPr>
          <w:p w14:paraId="7E96CB4A"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2</w:t>
            </w:r>
          </w:p>
        </w:tc>
        <w:tc>
          <w:tcPr>
            <w:tcW w:w="3384" w:type="dxa"/>
            <w:hideMark/>
          </w:tcPr>
          <w:p w14:paraId="7A01D568"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2: Alineamiento del Portafolio de Proyectos Estratégico.</w:t>
            </w:r>
          </w:p>
        </w:tc>
        <w:tc>
          <w:tcPr>
            <w:tcW w:w="1533" w:type="dxa"/>
            <w:vAlign w:val="center"/>
            <w:hideMark/>
          </w:tcPr>
          <w:p w14:paraId="3364FCFB"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508" w:type="dxa"/>
            <w:vAlign w:val="center"/>
            <w:hideMark/>
          </w:tcPr>
          <w:p w14:paraId="4449E8F3"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757" w:type="dxa"/>
            <w:vAlign w:val="center"/>
            <w:hideMark/>
          </w:tcPr>
          <w:p w14:paraId="627A7BDB"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7BF1598D" w14:textId="77777777" w:rsidTr="006D7BCD">
        <w:trPr>
          <w:trHeight w:val="1040"/>
        </w:trPr>
        <w:tc>
          <w:tcPr>
            <w:tcW w:w="597" w:type="dxa"/>
            <w:vAlign w:val="center"/>
            <w:hideMark/>
          </w:tcPr>
          <w:p w14:paraId="4830F428"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3</w:t>
            </w:r>
          </w:p>
        </w:tc>
        <w:tc>
          <w:tcPr>
            <w:tcW w:w="3384" w:type="dxa"/>
            <w:hideMark/>
          </w:tcPr>
          <w:p w14:paraId="19136C30"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3: Adecuación de modelos de trabajo en modalidad virtual en todas las oficinas y despachos judiciales.</w:t>
            </w:r>
          </w:p>
        </w:tc>
        <w:tc>
          <w:tcPr>
            <w:tcW w:w="1533" w:type="dxa"/>
            <w:vAlign w:val="center"/>
            <w:hideMark/>
          </w:tcPr>
          <w:p w14:paraId="192A361F"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w:t>
            </w:r>
          </w:p>
        </w:tc>
        <w:tc>
          <w:tcPr>
            <w:tcW w:w="1508" w:type="dxa"/>
            <w:vAlign w:val="center"/>
            <w:hideMark/>
          </w:tcPr>
          <w:p w14:paraId="036AFE16"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48</w:t>
            </w:r>
          </w:p>
        </w:tc>
        <w:tc>
          <w:tcPr>
            <w:tcW w:w="1757" w:type="dxa"/>
            <w:vAlign w:val="center"/>
            <w:hideMark/>
          </w:tcPr>
          <w:p w14:paraId="3AA235A9"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519BAA2D" w14:textId="77777777" w:rsidTr="006D7BCD">
        <w:trPr>
          <w:trHeight w:val="780"/>
        </w:trPr>
        <w:tc>
          <w:tcPr>
            <w:tcW w:w="597" w:type="dxa"/>
            <w:vAlign w:val="center"/>
            <w:hideMark/>
          </w:tcPr>
          <w:p w14:paraId="75056929"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4</w:t>
            </w:r>
          </w:p>
        </w:tc>
        <w:tc>
          <w:tcPr>
            <w:tcW w:w="3384" w:type="dxa"/>
            <w:hideMark/>
          </w:tcPr>
          <w:p w14:paraId="6BA03C4F"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4: Estrategias para mantener y extender el teletrabajo.</w:t>
            </w:r>
          </w:p>
        </w:tc>
        <w:tc>
          <w:tcPr>
            <w:tcW w:w="1533" w:type="dxa"/>
            <w:vAlign w:val="center"/>
            <w:hideMark/>
          </w:tcPr>
          <w:p w14:paraId="7D368A9F"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4</w:t>
            </w:r>
          </w:p>
        </w:tc>
        <w:tc>
          <w:tcPr>
            <w:tcW w:w="1508" w:type="dxa"/>
            <w:vAlign w:val="center"/>
            <w:hideMark/>
          </w:tcPr>
          <w:p w14:paraId="3070F391"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7</w:t>
            </w:r>
          </w:p>
        </w:tc>
        <w:tc>
          <w:tcPr>
            <w:tcW w:w="1757" w:type="dxa"/>
            <w:vAlign w:val="center"/>
            <w:hideMark/>
          </w:tcPr>
          <w:p w14:paraId="783CDA9D"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70BC55F8" w14:textId="77777777" w:rsidTr="006D7BCD">
        <w:trPr>
          <w:trHeight w:val="780"/>
        </w:trPr>
        <w:tc>
          <w:tcPr>
            <w:tcW w:w="597" w:type="dxa"/>
            <w:vAlign w:val="center"/>
            <w:hideMark/>
          </w:tcPr>
          <w:p w14:paraId="5BDC64FA"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5</w:t>
            </w:r>
          </w:p>
        </w:tc>
        <w:tc>
          <w:tcPr>
            <w:tcW w:w="3384" w:type="dxa"/>
            <w:hideMark/>
          </w:tcPr>
          <w:p w14:paraId="311AA27D"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7: Adecuación de protocolos de salud en relación con la prevención del contagio de COVID-19.</w:t>
            </w:r>
          </w:p>
        </w:tc>
        <w:tc>
          <w:tcPr>
            <w:tcW w:w="1533" w:type="dxa"/>
            <w:vAlign w:val="center"/>
            <w:hideMark/>
          </w:tcPr>
          <w:p w14:paraId="65D85CD1"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5</w:t>
            </w:r>
          </w:p>
        </w:tc>
        <w:tc>
          <w:tcPr>
            <w:tcW w:w="1508" w:type="dxa"/>
            <w:vAlign w:val="center"/>
            <w:hideMark/>
          </w:tcPr>
          <w:p w14:paraId="386D9BBD"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31</w:t>
            </w:r>
          </w:p>
        </w:tc>
        <w:tc>
          <w:tcPr>
            <w:tcW w:w="1757" w:type="dxa"/>
            <w:vAlign w:val="center"/>
            <w:hideMark/>
          </w:tcPr>
          <w:p w14:paraId="5FFC6505"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7407E136" w14:textId="77777777" w:rsidTr="006D7BCD">
        <w:trPr>
          <w:trHeight w:val="1040"/>
        </w:trPr>
        <w:tc>
          <w:tcPr>
            <w:tcW w:w="597" w:type="dxa"/>
            <w:vAlign w:val="center"/>
            <w:hideMark/>
          </w:tcPr>
          <w:p w14:paraId="043AED2E"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6</w:t>
            </w:r>
          </w:p>
        </w:tc>
        <w:tc>
          <w:tcPr>
            <w:tcW w:w="3384" w:type="dxa"/>
            <w:hideMark/>
          </w:tcPr>
          <w:p w14:paraId="63A9A858"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8: Revisión del presupuesto 2020 para su ejecución, la formulación del presupuesto 2021 y programación del presupuesto 2022.</w:t>
            </w:r>
          </w:p>
        </w:tc>
        <w:tc>
          <w:tcPr>
            <w:tcW w:w="1533" w:type="dxa"/>
            <w:vAlign w:val="center"/>
            <w:hideMark/>
          </w:tcPr>
          <w:p w14:paraId="7EAC1F5E"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2</w:t>
            </w:r>
          </w:p>
        </w:tc>
        <w:tc>
          <w:tcPr>
            <w:tcW w:w="1508" w:type="dxa"/>
            <w:vAlign w:val="center"/>
            <w:hideMark/>
          </w:tcPr>
          <w:p w14:paraId="2C3C4C77"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11</w:t>
            </w:r>
          </w:p>
        </w:tc>
        <w:tc>
          <w:tcPr>
            <w:tcW w:w="1757" w:type="dxa"/>
            <w:vAlign w:val="center"/>
            <w:hideMark/>
          </w:tcPr>
          <w:p w14:paraId="204E39B0"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183F554C" w14:textId="77777777" w:rsidTr="006D7BCD">
        <w:trPr>
          <w:trHeight w:val="520"/>
        </w:trPr>
        <w:tc>
          <w:tcPr>
            <w:tcW w:w="597" w:type="dxa"/>
            <w:vAlign w:val="center"/>
            <w:hideMark/>
          </w:tcPr>
          <w:p w14:paraId="6D57D15F"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7</w:t>
            </w:r>
          </w:p>
        </w:tc>
        <w:tc>
          <w:tcPr>
            <w:tcW w:w="3384" w:type="dxa"/>
            <w:hideMark/>
          </w:tcPr>
          <w:p w14:paraId="5D0813FC"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9: Ampliación de los servicios de la Línea 800.</w:t>
            </w:r>
          </w:p>
        </w:tc>
        <w:tc>
          <w:tcPr>
            <w:tcW w:w="1533" w:type="dxa"/>
            <w:vAlign w:val="center"/>
            <w:hideMark/>
          </w:tcPr>
          <w:p w14:paraId="19F388BC"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508" w:type="dxa"/>
            <w:vAlign w:val="center"/>
            <w:hideMark/>
          </w:tcPr>
          <w:p w14:paraId="2ED15423"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757" w:type="dxa"/>
            <w:vAlign w:val="center"/>
            <w:hideMark/>
          </w:tcPr>
          <w:p w14:paraId="2F959344"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15EE1498" w14:textId="77777777" w:rsidTr="006D7BCD">
        <w:trPr>
          <w:trHeight w:val="780"/>
        </w:trPr>
        <w:tc>
          <w:tcPr>
            <w:tcW w:w="597" w:type="dxa"/>
            <w:vAlign w:val="center"/>
            <w:hideMark/>
          </w:tcPr>
          <w:p w14:paraId="50B803EC"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8</w:t>
            </w:r>
          </w:p>
        </w:tc>
        <w:tc>
          <w:tcPr>
            <w:tcW w:w="3384" w:type="dxa"/>
            <w:hideMark/>
          </w:tcPr>
          <w:p w14:paraId="3E7B613B"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11: Potenciar la comunicación de los servicios virtuales disponibles a la ciudadanía.</w:t>
            </w:r>
          </w:p>
        </w:tc>
        <w:tc>
          <w:tcPr>
            <w:tcW w:w="1533" w:type="dxa"/>
            <w:vAlign w:val="center"/>
            <w:hideMark/>
          </w:tcPr>
          <w:p w14:paraId="1E4DEEE0"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3</w:t>
            </w:r>
          </w:p>
        </w:tc>
        <w:tc>
          <w:tcPr>
            <w:tcW w:w="1508" w:type="dxa"/>
            <w:vAlign w:val="center"/>
            <w:hideMark/>
          </w:tcPr>
          <w:p w14:paraId="2ED1C411"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4</w:t>
            </w:r>
          </w:p>
        </w:tc>
        <w:tc>
          <w:tcPr>
            <w:tcW w:w="1757" w:type="dxa"/>
            <w:vAlign w:val="center"/>
            <w:hideMark/>
          </w:tcPr>
          <w:p w14:paraId="405B9EF6"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6605A0A8" w14:textId="77777777" w:rsidTr="006D7BCD">
        <w:trPr>
          <w:trHeight w:val="780"/>
        </w:trPr>
        <w:tc>
          <w:tcPr>
            <w:tcW w:w="597" w:type="dxa"/>
            <w:vAlign w:val="center"/>
            <w:hideMark/>
          </w:tcPr>
          <w:p w14:paraId="6998BACC"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lastRenderedPageBreak/>
              <w:t>9</w:t>
            </w:r>
          </w:p>
        </w:tc>
        <w:tc>
          <w:tcPr>
            <w:tcW w:w="3384" w:type="dxa"/>
            <w:hideMark/>
          </w:tcPr>
          <w:p w14:paraId="23430B10"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12: Propuesta reincorporación progresiva de personal vulnerable.</w:t>
            </w:r>
          </w:p>
        </w:tc>
        <w:tc>
          <w:tcPr>
            <w:tcW w:w="1533" w:type="dxa"/>
            <w:vAlign w:val="center"/>
            <w:hideMark/>
          </w:tcPr>
          <w:p w14:paraId="5E0C2E51"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508" w:type="dxa"/>
            <w:vAlign w:val="center"/>
            <w:hideMark/>
          </w:tcPr>
          <w:p w14:paraId="1459BA89"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20</w:t>
            </w:r>
          </w:p>
        </w:tc>
        <w:tc>
          <w:tcPr>
            <w:tcW w:w="1757" w:type="dxa"/>
            <w:vAlign w:val="center"/>
            <w:hideMark/>
          </w:tcPr>
          <w:p w14:paraId="5155DCD4"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1BA23E01" w14:textId="77777777" w:rsidTr="006D7BCD">
        <w:trPr>
          <w:trHeight w:val="780"/>
        </w:trPr>
        <w:tc>
          <w:tcPr>
            <w:tcW w:w="597" w:type="dxa"/>
            <w:vAlign w:val="center"/>
            <w:hideMark/>
          </w:tcPr>
          <w:p w14:paraId="00F13F9A"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w:t>
            </w:r>
          </w:p>
        </w:tc>
        <w:tc>
          <w:tcPr>
            <w:tcW w:w="3384" w:type="dxa"/>
            <w:hideMark/>
          </w:tcPr>
          <w:p w14:paraId="4221A002"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13: Evaluación del Riesgo de Exposición del Personal al COVID-19.</w:t>
            </w:r>
          </w:p>
        </w:tc>
        <w:tc>
          <w:tcPr>
            <w:tcW w:w="1533" w:type="dxa"/>
            <w:vAlign w:val="center"/>
            <w:hideMark/>
          </w:tcPr>
          <w:p w14:paraId="1F0434E3"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2</w:t>
            </w:r>
          </w:p>
        </w:tc>
        <w:tc>
          <w:tcPr>
            <w:tcW w:w="1508" w:type="dxa"/>
            <w:vAlign w:val="center"/>
            <w:hideMark/>
          </w:tcPr>
          <w:p w14:paraId="7F6DA454"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4</w:t>
            </w:r>
          </w:p>
        </w:tc>
        <w:tc>
          <w:tcPr>
            <w:tcW w:w="1757" w:type="dxa"/>
            <w:vAlign w:val="center"/>
            <w:hideMark/>
          </w:tcPr>
          <w:p w14:paraId="2C462FBD"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122438A9" w14:textId="77777777" w:rsidTr="006D7BCD">
        <w:trPr>
          <w:trHeight w:val="520"/>
        </w:trPr>
        <w:tc>
          <w:tcPr>
            <w:tcW w:w="597" w:type="dxa"/>
            <w:vAlign w:val="center"/>
            <w:hideMark/>
          </w:tcPr>
          <w:p w14:paraId="3A3165C2"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11</w:t>
            </w:r>
          </w:p>
        </w:tc>
        <w:tc>
          <w:tcPr>
            <w:tcW w:w="3384" w:type="dxa"/>
            <w:hideMark/>
          </w:tcPr>
          <w:p w14:paraId="1419A290"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14: Gestión de riesgos institucionales.</w:t>
            </w:r>
          </w:p>
        </w:tc>
        <w:tc>
          <w:tcPr>
            <w:tcW w:w="1533" w:type="dxa"/>
            <w:vAlign w:val="center"/>
            <w:hideMark/>
          </w:tcPr>
          <w:p w14:paraId="367E350C"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3</w:t>
            </w:r>
          </w:p>
        </w:tc>
        <w:tc>
          <w:tcPr>
            <w:tcW w:w="1508" w:type="dxa"/>
            <w:vAlign w:val="center"/>
            <w:hideMark/>
          </w:tcPr>
          <w:p w14:paraId="22C5D2D2"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6</w:t>
            </w:r>
          </w:p>
        </w:tc>
        <w:tc>
          <w:tcPr>
            <w:tcW w:w="1757" w:type="dxa"/>
            <w:vAlign w:val="center"/>
            <w:hideMark/>
          </w:tcPr>
          <w:p w14:paraId="1A358461"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729B0A7D" w14:textId="77777777" w:rsidTr="006D7BCD">
        <w:trPr>
          <w:trHeight w:val="520"/>
        </w:trPr>
        <w:tc>
          <w:tcPr>
            <w:tcW w:w="597" w:type="dxa"/>
            <w:vAlign w:val="center"/>
            <w:hideMark/>
          </w:tcPr>
          <w:p w14:paraId="129E6072"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12</w:t>
            </w:r>
          </w:p>
        </w:tc>
        <w:tc>
          <w:tcPr>
            <w:tcW w:w="3384" w:type="dxa"/>
            <w:hideMark/>
          </w:tcPr>
          <w:p w14:paraId="60E6BFF7"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15: Modificación de horarios.</w:t>
            </w:r>
          </w:p>
        </w:tc>
        <w:tc>
          <w:tcPr>
            <w:tcW w:w="1533" w:type="dxa"/>
            <w:vAlign w:val="center"/>
            <w:hideMark/>
          </w:tcPr>
          <w:p w14:paraId="0F5F5CAC"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508" w:type="dxa"/>
            <w:vAlign w:val="center"/>
            <w:hideMark/>
          </w:tcPr>
          <w:p w14:paraId="5872E236"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757" w:type="dxa"/>
            <w:vAlign w:val="center"/>
            <w:hideMark/>
          </w:tcPr>
          <w:p w14:paraId="4A5D2681"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07F7C0FC" w14:textId="77777777" w:rsidTr="006D7BCD">
        <w:trPr>
          <w:trHeight w:val="520"/>
        </w:trPr>
        <w:tc>
          <w:tcPr>
            <w:tcW w:w="597" w:type="dxa"/>
            <w:vAlign w:val="center"/>
            <w:hideMark/>
          </w:tcPr>
          <w:p w14:paraId="40EE3F44"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13</w:t>
            </w:r>
          </w:p>
        </w:tc>
        <w:tc>
          <w:tcPr>
            <w:tcW w:w="3384" w:type="dxa"/>
            <w:hideMark/>
          </w:tcPr>
          <w:p w14:paraId="0EFDF63D"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16: Ampliación de convenios interinstitucionales.</w:t>
            </w:r>
          </w:p>
        </w:tc>
        <w:tc>
          <w:tcPr>
            <w:tcW w:w="1533" w:type="dxa"/>
            <w:vAlign w:val="center"/>
            <w:hideMark/>
          </w:tcPr>
          <w:p w14:paraId="3FDC302B"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508" w:type="dxa"/>
            <w:vAlign w:val="center"/>
            <w:hideMark/>
          </w:tcPr>
          <w:p w14:paraId="7D30A953"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757" w:type="dxa"/>
            <w:vAlign w:val="center"/>
            <w:hideMark/>
          </w:tcPr>
          <w:p w14:paraId="4EDCCED6"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3613DE6F" w14:textId="77777777" w:rsidTr="006D7BCD">
        <w:trPr>
          <w:trHeight w:val="1300"/>
        </w:trPr>
        <w:tc>
          <w:tcPr>
            <w:tcW w:w="597" w:type="dxa"/>
            <w:vAlign w:val="center"/>
            <w:hideMark/>
          </w:tcPr>
          <w:p w14:paraId="46B343D6"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14</w:t>
            </w:r>
          </w:p>
        </w:tc>
        <w:tc>
          <w:tcPr>
            <w:tcW w:w="3384" w:type="dxa"/>
            <w:hideMark/>
          </w:tcPr>
          <w:p w14:paraId="663E3CBC"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17: Actualización de los mecanismos de recolección de información y monitoreo de las acciones implementadas mediante indicadores específicos.</w:t>
            </w:r>
          </w:p>
        </w:tc>
        <w:tc>
          <w:tcPr>
            <w:tcW w:w="1533" w:type="dxa"/>
            <w:vAlign w:val="center"/>
            <w:hideMark/>
          </w:tcPr>
          <w:p w14:paraId="7CACE9E3"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3</w:t>
            </w:r>
          </w:p>
        </w:tc>
        <w:tc>
          <w:tcPr>
            <w:tcW w:w="1508" w:type="dxa"/>
            <w:vAlign w:val="center"/>
            <w:hideMark/>
          </w:tcPr>
          <w:p w14:paraId="10959165"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18</w:t>
            </w:r>
          </w:p>
        </w:tc>
        <w:tc>
          <w:tcPr>
            <w:tcW w:w="1757" w:type="dxa"/>
            <w:vAlign w:val="center"/>
            <w:hideMark/>
          </w:tcPr>
          <w:p w14:paraId="54F780C5"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4A429765" w14:textId="77777777" w:rsidTr="006D7BCD">
        <w:trPr>
          <w:trHeight w:val="520"/>
        </w:trPr>
        <w:tc>
          <w:tcPr>
            <w:tcW w:w="597" w:type="dxa"/>
            <w:vAlign w:val="center"/>
            <w:hideMark/>
          </w:tcPr>
          <w:p w14:paraId="33490C23"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15</w:t>
            </w:r>
          </w:p>
        </w:tc>
        <w:tc>
          <w:tcPr>
            <w:tcW w:w="3384" w:type="dxa"/>
            <w:hideMark/>
          </w:tcPr>
          <w:p w14:paraId="14635CF4"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18: Gestión de Servicios Críticos.</w:t>
            </w:r>
          </w:p>
        </w:tc>
        <w:tc>
          <w:tcPr>
            <w:tcW w:w="1533" w:type="dxa"/>
            <w:vAlign w:val="center"/>
            <w:hideMark/>
          </w:tcPr>
          <w:p w14:paraId="42F1C5FF"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508" w:type="dxa"/>
            <w:vAlign w:val="center"/>
            <w:hideMark/>
          </w:tcPr>
          <w:p w14:paraId="50459ACE"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757" w:type="dxa"/>
            <w:vAlign w:val="center"/>
            <w:hideMark/>
          </w:tcPr>
          <w:p w14:paraId="1950C281"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21CAFE8D" w14:textId="77777777" w:rsidTr="006D7BCD">
        <w:trPr>
          <w:trHeight w:val="1560"/>
        </w:trPr>
        <w:tc>
          <w:tcPr>
            <w:tcW w:w="597" w:type="dxa"/>
            <w:vAlign w:val="center"/>
            <w:hideMark/>
          </w:tcPr>
          <w:p w14:paraId="77B6D0EF"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16</w:t>
            </w:r>
          </w:p>
        </w:tc>
        <w:tc>
          <w:tcPr>
            <w:tcW w:w="3384" w:type="dxa"/>
            <w:hideMark/>
          </w:tcPr>
          <w:p w14:paraId="3B7A5976"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19: Lineamientos de Corte Plena y Consejo Superior, en atención a la declaratoria de emergencia nacional, debido a la situación de emergencia sanitaria provocada por la enfermedad COVID-19.</w:t>
            </w:r>
          </w:p>
        </w:tc>
        <w:tc>
          <w:tcPr>
            <w:tcW w:w="1533" w:type="dxa"/>
            <w:vAlign w:val="center"/>
            <w:hideMark/>
          </w:tcPr>
          <w:p w14:paraId="5FC6C86D"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3</w:t>
            </w:r>
          </w:p>
        </w:tc>
        <w:tc>
          <w:tcPr>
            <w:tcW w:w="1508" w:type="dxa"/>
            <w:vAlign w:val="center"/>
            <w:hideMark/>
          </w:tcPr>
          <w:p w14:paraId="6803DF27"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8</w:t>
            </w:r>
          </w:p>
        </w:tc>
        <w:tc>
          <w:tcPr>
            <w:tcW w:w="1757" w:type="dxa"/>
            <w:vAlign w:val="center"/>
            <w:hideMark/>
          </w:tcPr>
          <w:p w14:paraId="7794C809"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598C3709" w14:textId="77777777" w:rsidTr="006D7BCD">
        <w:trPr>
          <w:trHeight w:val="780"/>
        </w:trPr>
        <w:tc>
          <w:tcPr>
            <w:tcW w:w="597" w:type="dxa"/>
            <w:vAlign w:val="center"/>
            <w:hideMark/>
          </w:tcPr>
          <w:p w14:paraId="039435AD"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17</w:t>
            </w:r>
          </w:p>
        </w:tc>
        <w:tc>
          <w:tcPr>
            <w:tcW w:w="3384" w:type="dxa"/>
            <w:hideMark/>
          </w:tcPr>
          <w:p w14:paraId="67DBE824"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21: Seguimiento de los alcances de las acciones realizadas.</w:t>
            </w:r>
          </w:p>
        </w:tc>
        <w:tc>
          <w:tcPr>
            <w:tcW w:w="1533" w:type="dxa"/>
            <w:vAlign w:val="center"/>
            <w:hideMark/>
          </w:tcPr>
          <w:p w14:paraId="7A65930D"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508" w:type="dxa"/>
            <w:vAlign w:val="center"/>
            <w:hideMark/>
          </w:tcPr>
          <w:p w14:paraId="25C76218"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w:t>
            </w:r>
          </w:p>
        </w:tc>
        <w:tc>
          <w:tcPr>
            <w:tcW w:w="1757" w:type="dxa"/>
            <w:vAlign w:val="center"/>
            <w:hideMark/>
          </w:tcPr>
          <w:p w14:paraId="6D0AFCAC"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100.00 %</w:t>
            </w:r>
          </w:p>
        </w:tc>
      </w:tr>
      <w:tr w:rsidR="00D106C9" w:rsidRPr="00D106C9" w14:paraId="3FE8B28C" w14:textId="77777777" w:rsidTr="006D7BCD">
        <w:trPr>
          <w:trHeight w:val="1040"/>
        </w:trPr>
        <w:tc>
          <w:tcPr>
            <w:tcW w:w="597" w:type="dxa"/>
            <w:vAlign w:val="center"/>
            <w:hideMark/>
          </w:tcPr>
          <w:p w14:paraId="73284B7A"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lastRenderedPageBreak/>
              <w:t>18</w:t>
            </w:r>
          </w:p>
        </w:tc>
        <w:tc>
          <w:tcPr>
            <w:tcW w:w="3384" w:type="dxa"/>
            <w:hideMark/>
          </w:tcPr>
          <w:p w14:paraId="6BE48725"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6: Promover reuniones, capacitaciones, congresos, sesiones de trabajo y talleres en modalidad virtual.</w:t>
            </w:r>
          </w:p>
        </w:tc>
        <w:tc>
          <w:tcPr>
            <w:tcW w:w="1533" w:type="dxa"/>
            <w:vAlign w:val="center"/>
            <w:hideMark/>
          </w:tcPr>
          <w:p w14:paraId="39219226"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6</w:t>
            </w:r>
          </w:p>
        </w:tc>
        <w:tc>
          <w:tcPr>
            <w:tcW w:w="1508" w:type="dxa"/>
            <w:vAlign w:val="center"/>
            <w:hideMark/>
          </w:tcPr>
          <w:p w14:paraId="57F09172"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7</w:t>
            </w:r>
          </w:p>
        </w:tc>
        <w:tc>
          <w:tcPr>
            <w:tcW w:w="1757" w:type="dxa"/>
            <w:vAlign w:val="center"/>
            <w:hideMark/>
          </w:tcPr>
          <w:p w14:paraId="4308B3DB"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83.33 %</w:t>
            </w:r>
          </w:p>
        </w:tc>
      </w:tr>
      <w:tr w:rsidR="00D106C9" w:rsidRPr="00D106C9" w14:paraId="67A6D483" w14:textId="77777777" w:rsidTr="006D7BCD">
        <w:trPr>
          <w:trHeight w:val="780"/>
        </w:trPr>
        <w:tc>
          <w:tcPr>
            <w:tcW w:w="597" w:type="dxa"/>
            <w:vAlign w:val="center"/>
            <w:hideMark/>
          </w:tcPr>
          <w:p w14:paraId="5D168477"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19</w:t>
            </w:r>
          </w:p>
        </w:tc>
        <w:tc>
          <w:tcPr>
            <w:tcW w:w="3384" w:type="dxa"/>
            <w:hideMark/>
          </w:tcPr>
          <w:p w14:paraId="43E4C0BE"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Plan de Acción COVID-19. Estrategia 5: Apoyo de las Comisiones Institucionales en promover los servicios virtuales.</w:t>
            </w:r>
          </w:p>
        </w:tc>
        <w:tc>
          <w:tcPr>
            <w:tcW w:w="1533" w:type="dxa"/>
            <w:vAlign w:val="center"/>
            <w:hideMark/>
          </w:tcPr>
          <w:p w14:paraId="39C30800"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3</w:t>
            </w:r>
          </w:p>
        </w:tc>
        <w:tc>
          <w:tcPr>
            <w:tcW w:w="1508" w:type="dxa"/>
            <w:vAlign w:val="center"/>
            <w:hideMark/>
          </w:tcPr>
          <w:p w14:paraId="0A16ACB6"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9</w:t>
            </w:r>
          </w:p>
        </w:tc>
        <w:tc>
          <w:tcPr>
            <w:tcW w:w="1757" w:type="dxa"/>
            <w:vAlign w:val="center"/>
            <w:hideMark/>
          </w:tcPr>
          <w:p w14:paraId="22EC8B40"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66.67 %</w:t>
            </w:r>
          </w:p>
        </w:tc>
      </w:tr>
      <w:tr w:rsidR="00D106C9" w:rsidRPr="00D106C9" w14:paraId="1051FD28" w14:textId="77777777" w:rsidTr="006D7BCD">
        <w:trPr>
          <w:trHeight w:val="290"/>
        </w:trPr>
        <w:tc>
          <w:tcPr>
            <w:tcW w:w="597" w:type="dxa"/>
            <w:hideMark/>
          </w:tcPr>
          <w:p w14:paraId="0633A3A0" w14:textId="77777777" w:rsidR="00D106C9" w:rsidRPr="00D106C9" w:rsidRDefault="00D106C9" w:rsidP="00D106C9">
            <w:pPr>
              <w:widowControl w:val="0"/>
              <w:suppressAutoHyphens w:val="0"/>
              <w:autoSpaceDE w:val="0"/>
              <w:autoSpaceDN w:val="0"/>
              <w:adjustRightInd w:val="0"/>
              <w:rPr>
                <w:lang w:eastAsia="es-ES"/>
              </w:rPr>
            </w:pPr>
            <w:r w:rsidRPr="00D106C9">
              <w:rPr>
                <w:lang w:eastAsia="es-ES"/>
              </w:rPr>
              <w:t> </w:t>
            </w:r>
          </w:p>
        </w:tc>
        <w:tc>
          <w:tcPr>
            <w:tcW w:w="3384" w:type="dxa"/>
            <w:hideMark/>
          </w:tcPr>
          <w:p w14:paraId="0618D22C"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TOTALES</w:t>
            </w:r>
          </w:p>
        </w:tc>
        <w:tc>
          <w:tcPr>
            <w:tcW w:w="1533" w:type="dxa"/>
            <w:vAlign w:val="center"/>
            <w:hideMark/>
          </w:tcPr>
          <w:p w14:paraId="0143996F"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52</w:t>
            </w:r>
          </w:p>
        </w:tc>
        <w:tc>
          <w:tcPr>
            <w:tcW w:w="1508" w:type="dxa"/>
            <w:vAlign w:val="center"/>
            <w:hideMark/>
          </w:tcPr>
          <w:p w14:paraId="1961FAB0"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185</w:t>
            </w:r>
          </w:p>
        </w:tc>
        <w:tc>
          <w:tcPr>
            <w:tcW w:w="1757" w:type="dxa"/>
            <w:vAlign w:val="center"/>
            <w:hideMark/>
          </w:tcPr>
          <w:p w14:paraId="5EDAF0BA"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93.33%</w:t>
            </w:r>
          </w:p>
        </w:tc>
      </w:tr>
    </w:tbl>
    <w:p w14:paraId="3469A0C7" w14:textId="77777777" w:rsidR="00D106C9" w:rsidRPr="00D106C9" w:rsidRDefault="00D106C9" w:rsidP="00D106C9">
      <w:pPr>
        <w:widowControl w:val="0"/>
        <w:suppressAutoHyphens w:val="0"/>
        <w:autoSpaceDE w:val="0"/>
        <w:autoSpaceDN w:val="0"/>
        <w:adjustRightInd w:val="0"/>
        <w:rPr>
          <w:lang w:eastAsia="es-ES"/>
        </w:rPr>
      </w:pPr>
      <w:r w:rsidRPr="00D106C9">
        <w:rPr>
          <w:rFonts w:eastAsia="Calibri"/>
          <w:b/>
          <w:bCs/>
          <w:lang w:eastAsia="es-ES"/>
        </w:rPr>
        <w:t>Fuente:</w:t>
      </w:r>
      <w:r w:rsidRPr="00D106C9">
        <w:rPr>
          <w:rFonts w:eastAsia="Calibri"/>
          <w:lang w:eastAsia="es-ES"/>
        </w:rPr>
        <w:t xml:space="preserve"> Sistema PEI al 19 de enero del 2022</w:t>
      </w:r>
    </w:p>
    <w:p w14:paraId="5349C37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b/>
          <w:bCs/>
          <w:lang w:eastAsia="es-ES"/>
        </w:rPr>
        <w:t xml:space="preserve">Del cuadro anterior, se puede observar como </w:t>
      </w:r>
      <w:bookmarkStart w:id="32" w:name="_Hlk98415543"/>
      <w:r w:rsidRPr="00D106C9">
        <w:rPr>
          <w:b/>
          <w:bCs/>
          <w:lang w:eastAsia="es-ES"/>
        </w:rPr>
        <w:t>17 Planes de Acción Covid-19 se encuentran con un 100% del cumplimiento, mientas que solo dos planes de Acción Covid-19 se encuentran con un porcentaje inferior al 100%</w:t>
      </w:r>
      <w:bookmarkEnd w:id="32"/>
      <w:r w:rsidRPr="00D106C9">
        <w:rPr>
          <w:b/>
          <w:bCs/>
          <w:lang w:eastAsia="es-ES"/>
        </w:rPr>
        <w:t>, los cuales son la estrategia 6 denominada “Promover reuniones, capacitaciones, congresos, sesiones de trabajo y talleres en modalidad virtual” con un 83,33% y la estrategia 5 llamada “Apoyo de las Comisiones Institucionales en promover los servicios virtuales” con un 66,67%.</w:t>
      </w:r>
    </w:p>
    <w:p w14:paraId="4FDB950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En relación con lo anterior, la estrategia número 6 del Plan de Acción Covid-19 denominada “Promover reuniones, capacitaciones, congresos, sesiones de trabajo y talleres en modalidad virtual.”, está compuesta por seis metas estratégicas y siete metas operativas, las cual tiene un cumplimiento para el 2021 del 83,33% (</w:t>
      </w:r>
      <w:r w:rsidRPr="00D106C9">
        <w:rPr>
          <w:b/>
          <w:bCs/>
          <w:lang w:eastAsia="es-ES"/>
        </w:rPr>
        <w:t>ver anexo 15</w:t>
      </w:r>
      <w:r w:rsidRPr="00D106C9">
        <w:rPr>
          <w:lang w:eastAsia="es-ES"/>
        </w:rPr>
        <w:t>).</w:t>
      </w:r>
    </w:p>
    <w:p w14:paraId="35F0F24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En el caso de la Biblioteca Judicial no realizó el avance esperado para la meta operativa “</w:t>
      </w:r>
      <w:r w:rsidRPr="00D106C9">
        <w:rPr>
          <w:i/>
          <w:iCs/>
          <w:lang w:eastAsia="es-ES"/>
        </w:rPr>
        <w:t>Que al 31/12/2021 se hayan elaborado un plan de trabajo para la ejecución de los roles establecidos conforme cronograma</w:t>
      </w:r>
      <w:r w:rsidRPr="00D106C9">
        <w:rPr>
          <w:lang w:eastAsia="es-ES"/>
        </w:rPr>
        <w:t>”, por lo anterior, se requiere un mayor nivel de atención por parte de la Biblioteca Judicial, en la consecución de las metas operativas asociadas, de manera tal que se alcancen los mayores porcentajes posibles de cumplimiento para el 2022.</w:t>
      </w:r>
    </w:p>
    <w:p w14:paraId="778A70B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En el caso de la meta estrategia número 5 del Plan de Acción Covid-19 denominada “</w:t>
      </w:r>
      <w:r w:rsidRPr="00D106C9">
        <w:rPr>
          <w:i/>
          <w:iCs/>
          <w:lang w:eastAsia="es-ES"/>
        </w:rPr>
        <w:t>Apoyo de las Comisiones Institucionales en promover los servicios virtuales</w:t>
      </w:r>
      <w:r w:rsidRPr="00D106C9">
        <w:rPr>
          <w:lang w:eastAsia="es-ES"/>
        </w:rPr>
        <w:t>”, está compuesta por tres metas estratégicas y nueve metas operativas, las cual tiene un cumplimiento para el 2021 del 66.67% (</w:t>
      </w:r>
      <w:r w:rsidRPr="00D106C9">
        <w:rPr>
          <w:b/>
          <w:bCs/>
          <w:lang w:eastAsia="es-ES"/>
        </w:rPr>
        <w:t>ver anexo 14</w:t>
      </w:r>
      <w:r w:rsidRPr="00D106C9">
        <w:rPr>
          <w:lang w:eastAsia="es-ES"/>
        </w:rPr>
        <w:t>).</w:t>
      </w:r>
    </w:p>
    <w:p w14:paraId="15140DA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En este caso, la Comisión de la Jurisdicción Agrario y Agroambiental, no realizó los avances esperados para las metas operativas </w:t>
      </w:r>
      <w:r w:rsidRPr="00D106C9">
        <w:rPr>
          <w:i/>
          <w:iCs/>
          <w:lang w:eastAsia="es-ES"/>
        </w:rPr>
        <w:t xml:space="preserve">“Que al finalizar el 2021, la Comisión de la Jurisdicción Agraria haya aprobado el Plan de Capacitación Agraria propuesto por la Escuela Judicial, asociado a la implementación del Código Procesal Agrario, el cual debe estar ajustado con ocasión de los requerimientos propios de la pandemia Covid19”, “Que al finalizar el 2021, se haya capacitado al 100% de la población definida en el plan de capacitación”, </w:t>
      </w:r>
      <w:r w:rsidRPr="00D106C9">
        <w:rPr>
          <w:i/>
          <w:iCs/>
          <w:lang w:eastAsia="es-ES"/>
        </w:rPr>
        <w:lastRenderedPageBreak/>
        <w:t>Que al finalizar el 2021, se haya completado la capacitación sobre el uso de la herramienta tecnológica “</w:t>
      </w:r>
      <w:proofErr w:type="spellStart"/>
      <w:r w:rsidRPr="00D106C9">
        <w:rPr>
          <w:i/>
          <w:iCs/>
          <w:lang w:eastAsia="es-ES"/>
        </w:rPr>
        <w:t>drone</w:t>
      </w:r>
      <w:proofErr w:type="spellEnd"/>
      <w:r w:rsidRPr="00D106C9">
        <w:rPr>
          <w:i/>
          <w:iCs/>
          <w:lang w:eastAsia="es-ES"/>
        </w:rPr>
        <w:t>” al 100% de las personas juzgadoras y al menos 2 personas técnicas de la jurisdicción agraria” y “Que al finalizar el 2021, se haya revisado e identificado oportunidades de mejora del Protocolo de Audiencias Virtuales de la Jurisdicción Agraria”</w:t>
      </w:r>
      <w:r w:rsidRPr="00D106C9">
        <w:rPr>
          <w:lang w:eastAsia="es-ES"/>
        </w:rPr>
        <w:t>, obteniendo un 0% de avance de cumplimiento para el 2021, por lo anterior, se requiere un mayor nivel de atención por parte de la Comisión, en la consecución de las metas operativas asociadas, de manera tal que se alcancen los mayores porcentajes posibles de cumplimiento para el 2022.</w:t>
      </w:r>
    </w:p>
    <w:p w14:paraId="3D5C976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24296586" w14:textId="77777777" w:rsidR="00D106C9" w:rsidRPr="00D106C9" w:rsidRDefault="00D106C9" w:rsidP="00D106C9">
      <w:pPr>
        <w:widowControl w:val="0"/>
        <w:suppressAutoHyphens w:val="0"/>
        <w:autoSpaceDE w:val="0"/>
        <w:autoSpaceDN w:val="0"/>
        <w:adjustRightInd w:val="0"/>
        <w:ind w:left="851" w:right="851" w:firstLine="709"/>
        <w:jc w:val="both"/>
        <w:rPr>
          <w:bCs/>
          <w:lang w:eastAsia="es-ES"/>
        </w:rPr>
      </w:pPr>
      <w:r w:rsidRPr="00D106C9">
        <w:rPr>
          <w:lang w:eastAsia="es-ES"/>
        </w:rPr>
        <w:t xml:space="preserve">Adicionalmente, es importante indicar que dos estrategias del Plan de Acción asociadas </w:t>
      </w:r>
      <w:r w:rsidRPr="00D106C9">
        <w:rPr>
          <w:bCs/>
          <w:lang w:eastAsia="es-ES"/>
        </w:rPr>
        <w:t xml:space="preserve">a la materia tecnológica </w:t>
      </w:r>
      <w:r w:rsidRPr="00D106C9">
        <w:rPr>
          <w:lang w:eastAsia="es-ES"/>
        </w:rPr>
        <w:t>no se le formularon objetivos operativos y por lo anterior no se le puede dar una evaluación de cumplimiento. Se considera desde la perspectiva del Plan de continuidad del servicio, la importancia de evidenciar cuáles acciones se encuentra directamente relacionadas</w:t>
      </w:r>
      <w:r w:rsidRPr="00D106C9">
        <w:rPr>
          <w:bCs/>
          <w:lang w:eastAsia="es-ES"/>
        </w:rPr>
        <w:t xml:space="preserve"> a contribuir en la atención de la emergencia sanitaria COVID-19, dado que se considera como un activo estratégico para la continuidad de los servicios institucionales. Las estrategias citadas son las siguientes: Estrategia 10 – Ampliación de los servicios de la Mesa de Ayuda (DTI) y Estrategia 20 – Gestión de las Tecnologías de la Información y Transformación Digital.</w:t>
      </w:r>
    </w:p>
    <w:p w14:paraId="6328790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bCs/>
          <w:lang w:eastAsia="es-ES"/>
        </w:rPr>
        <w:t>Con el fin de presentar la información minuciosa</w:t>
      </w:r>
      <w:r w:rsidRPr="00D106C9">
        <w:rPr>
          <w:lang w:eastAsia="es-ES"/>
        </w:rPr>
        <w:t>, se procede a remitir el detalle de los resultados obtenidos durante 2021 para este plan, la fue obtenida directamente el Sistema PAO con corte al 19 de enero del 2022 y que es actualizado por las oficinas y despachos judiciales que participaron en el mismo.</w:t>
      </w:r>
    </w:p>
    <w:p w14:paraId="22B70577" w14:textId="77777777" w:rsidR="00D106C9" w:rsidRPr="00D106C9" w:rsidRDefault="00D106C9" w:rsidP="00D106C9">
      <w:pPr>
        <w:widowControl w:val="0"/>
        <w:suppressAutoHyphens w:val="0"/>
        <w:autoSpaceDE w:val="0"/>
        <w:autoSpaceDN w:val="0"/>
        <w:adjustRightInd w:val="0"/>
        <w:ind w:left="851" w:right="851" w:firstLine="709"/>
        <w:jc w:val="both"/>
        <w:rPr>
          <w:snapToGrid w:val="0"/>
          <w:lang w:eastAsia="es-ES"/>
        </w:rPr>
      </w:pPr>
    </w:p>
    <w:p w14:paraId="6259617F"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 Plan de Acción COVID-19. Estrategia 1: Reprogramación de Objetivos y Metas del PEI y PAO 2021.</w:t>
      </w:r>
    </w:p>
    <w:p w14:paraId="19FE38FA"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48DCA19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bookmarkStart w:id="33" w:name="_Hlk98245012"/>
      <w:r w:rsidRPr="00D106C9">
        <w:rPr>
          <w:lang w:eastAsia="es-ES"/>
        </w:rPr>
        <w:t xml:space="preserve">La estrategia número 1 del Plan de Acción Covid-19 denominada </w:t>
      </w:r>
      <w:r w:rsidRPr="00D106C9">
        <w:rPr>
          <w:i/>
          <w:iCs/>
          <w:lang w:eastAsia="es-ES"/>
        </w:rPr>
        <w:t>“Reprogramación de Objetivos y Metas del PEI y PAO 2021”</w:t>
      </w:r>
      <w:r w:rsidRPr="00D106C9">
        <w:rPr>
          <w:lang w:eastAsia="es-ES"/>
        </w:rPr>
        <w:t>, está compuesta por una meta estratégica y seis metas operativas, las cuales tienen un cumplimiento para el 2021 del 100% (</w:t>
      </w:r>
      <w:r w:rsidRPr="00D106C9">
        <w:rPr>
          <w:b/>
          <w:bCs/>
          <w:lang w:eastAsia="es-ES"/>
        </w:rPr>
        <w:t>ver anexo 10</w:t>
      </w:r>
      <w:r w:rsidRPr="00D106C9">
        <w:rPr>
          <w:lang w:eastAsia="es-ES"/>
        </w:rPr>
        <w:t>).</w:t>
      </w:r>
    </w:p>
    <w:p w14:paraId="5330F93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operativo al Subproceso de Planeación Estratégica de la Dirección de Planificación, la cual realizó las siguientes actividades para alcanzar el cumplimiento citado:</w:t>
      </w:r>
    </w:p>
    <w:bookmarkEnd w:id="33"/>
    <w:p w14:paraId="18D5DCD8" w14:textId="77777777" w:rsidR="00D106C9" w:rsidRPr="00D106C9" w:rsidRDefault="00D106C9" w:rsidP="003B2E9B">
      <w:pPr>
        <w:widowControl w:val="0"/>
        <w:numPr>
          <w:ilvl w:val="0"/>
          <w:numId w:val="62"/>
        </w:numPr>
        <w:suppressAutoHyphens w:val="0"/>
        <w:autoSpaceDE w:val="0"/>
        <w:autoSpaceDN w:val="0"/>
        <w:adjustRightInd w:val="0"/>
        <w:ind w:left="851" w:right="851" w:firstLine="709"/>
        <w:contextualSpacing/>
        <w:jc w:val="both"/>
        <w:rPr>
          <w:lang w:eastAsia="es-ES"/>
        </w:rPr>
      </w:pPr>
      <w:r w:rsidRPr="00D106C9">
        <w:rPr>
          <w:lang w:eastAsia="es-ES"/>
        </w:rPr>
        <w:t>Se elaboró el informe 1293-PLA-PE-2021 sobre el seguimiento al Plan Acción Covid-19 del 2021, el cual se remitió a Corte Plena. Con esta acción se cumplió con la meta operativa “</w:t>
      </w:r>
      <w:proofErr w:type="gramStart"/>
      <w:r w:rsidRPr="00D106C9">
        <w:rPr>
          <w:i/>
          <w:iCs/>
          <w:lang w:eastAsia="es-ES"/>
        </w:rPr>
        <w:t>Que</w:t>
      </w:r>
      <w:proofErr w:type="gramEnd"/>
      <w:r w:rsidRPr="00D106C9">
        <w:rPr>
          <w:i/>
          <w:iCs/>
          <w:lang w:eastAsia="es-ES"/>
        </w:rPr>
        <w:t xml:space="preserve"> al finalizar diciembre del 2021, se haya elaborado y dado seguimiento al Plan de Acción Institucional COVID19, para el periodo 2021, como respuesta a los efectos de la emergencia sanitaria</w:t>
      </w:r>
      <w:r w:rsidRPr="00D106C9">
        <w:rPr>
          <w:lang w:eastAsia="es-ES"/>
        </w:rPr>
        <w:t>.”</w:t>
      </w:r>
    </w:p>
    <w:p w14:paraId="5F861BD7" w14:textId="77777777" w:rsidR="00D106C9" w:rsidRPr="00D106C9" w:rsidRDefault="00D106C9" w:rsidP="003B2E9B">
      <w:pPr>
        <w:widowControl w:val="0"/>
        <w:numPr>
          <w:ilvl w:val="0"/>
          <w:numId w:val="62"/>
        </w:numPr>
        <w:suppressAutoHyphens w:val="0"/>
        <w:autoSpaceDE w:val="0"/>
        <w:autoSpaceDN w:val="0"/>
        <w:adjustRightInd w:val="0"/>
        <w:ind w:left="851" w:right="851" w:firstLine="709"/>
        <w:contextualSpacing/>
        <w:jc w:val="both"/>
        <w:rPr>
          <w:lang w:eastAsia="es-ES"/>
        </w:rPr>
      </w:pPr>
      <w:r w:rsidRPr="00D106C9">
        <w:rPr>
          <w:lang w:eastAsia="es-ES"/>
        </w:rPr>
        <w:lastRenderedPageBreak/>
        <w:t>Se realizó la revisión de los PAOS 2022 de las oficinas que formularon para ese periodo, se adjunta el reporte del sistema PAO, con esta acción se cumplió con la meta operativa “</w:t>
      </w:r>
      <w:proofErr w:type="gramStart"/>
      <w:r w:rsidRPr="00D106C9">
        <w:rPr>
          <w:i/>
          <w:iCs/>
          <w:lang w:eastAsia="es-ES"/>
        </w:rPr>
        <w:t>Que</w:t>
      </w:r>
      <w:proofErr w:type="gramEnd"/>
      <w:r w:rsidRPr="00D106C9">
        <w:rPr>
          <w:i/>
          <w:iCs/>
          <w:lang w:eastAsia="es-ES"/>
        </w:rPr>
        <w:t xml:space="preserve"> al finalizar marzo del 2021, se hayan revisado los Planes Anuales Operativos 2022 recibidos</w:t>
      </w:r>
      <w:r w:rsidRPr="00D106C9">
        <w:rPr>
          <w:lang w:eastAsia="es-ES"/>
        </w:rPr>
        <w:t>.”</w:t>
      </w:r>
    </w:p>
    <w:p w14:paraId="36E6EAFC" w14:textId="77777777" w:rsidR="00D106C9" w:rsidRPr="00D106C9" w:rsidRDefault="00D106C9" w:rsidP="003B2E9B">
      <w:pPr>
        <w:widowControl w:val="0"/>
        <w:numPr>
          <w:ilvl w:val="0"/>
          <w:numId w:val="62"/>
        </w:numPr>
        <w:suppressAutoHyphens w:val="0"/>
        <w:autoSpaceDE w:val="0"/>
        <w:autoSpaceDN w:val="0"/>
        <w:adjustRightInd w:val="0"/>
        <w:ind w:left="851" w:right="851" w:firstLine="709"/>
        <w:contextualSpacing/>
        <w:jc w:val="both"/>
        <w:rPr>
          <w:bCs/>
          <w:lang w:eastAsia="es-ES"/>
        </w:rPr>
      </w:pPr>
      <w:r w:rsidRPr="00D106C9">
        <w:rPr>
          <w:lang w:eastAsia="es-ES"/>
        </w:rPr>
        <w:t xml:space="preserve">La Dirección de Planificación confeccionó la circular 5-2021 relacionada </w:t>
      </w:r>
      <w:r w:rsidRPr="00D106C9">
        <w:rPr>
          <w:bCs/>
          <w:lang w:eastAsia="es-ES"/>
        </w:rPr>
        <w:t>Recordatorio de reprogramación de objetivos y metas de los Planes Anuales Operativos (PAO) 2021, con esta acción se cumplió con la meta operativa “</w:t>
      </w:r>
      <w:proofErr w:type="gramStart"/>
      <w:r w:rsidRPr="00D106C9">
        <w:rPr>
          <w:bCs/>
          <w:i/>
          <w:iCs/>
          <w:lang w:eastAsia="es-ES"/>
        </w:rPr>
        <w:t>Que</w:t>
      </w:r>
      <w:proofErr w:type="gramEnd"/>
      <w:r w:rsidRPr="00D106C9">
        <w:rPr>
          <w:bCs/>
          <w:i/>
          <w:iCs/>
          <w:lang w:eastAsia="es-ES"/>
        </w:rPr>
        <w:t xml:space="preserve"> al finalizar el primer trimestre del 2021, se haya gestionado el proceso de reprogramación de Planes Anuales Operativos 2021, mediante la publicación de la Circular</w:t>
      </w:r>
      <w:r w:rsidRPr="00D106C9">
        <w:rPr>
          <w:bCs/>
          <w:lang w:eastAsia="es-ES"/>
        </w:rPr>
        <w:t>.”</w:t>
      </w:r>
    </w:p>
    <w:p w14:paraId="53D1A441" w14:textId="77777777" w:rsidR="00D106C9" w:rsidRPr="00D106C9" w:rsidRDefault="00D106C9" w:rsidP="003B2E9B">
      <w:pPr>
        <w:widowControl w:val="0"/>
        <w:numPr>
          <w:ilvl w:val="0"/>
          <w:numId w:val="62"/>
        </w:numPr>
        <w:suppressAutoHyphens w:val="0"/>
        <w:autoSpaceDE w:val="0"/>
        <w:autoSpaceDN w:val="0"/>
        <w:adjustRightInd w:val="0"/>
        <w:ind w:left="851" w:right="851" w:firstLine="709"/>
        <w:contextualSpacing/>
        <w:jc w:val="both"/>
        <w:rPr>
          <w:bCs/>
          <w:lang w:eastAsia="es-ES"/>
        </w:rPr>
      </w:pPr>
      <w:r w:rsidRPr="00D106C9">
        <w:rPr>
          <w:bCs/>
          <w:lang w:eastAsia="es-ES"/>
        </w:rPr>
        <w:t>Mediante oficio 640-PLA-PE-2021 del 10 de junio de 2021, se remite a la Secretaría General de la Corte el informe sobre el resultado de los procesos de formulación de los planes anuales operativos 2022 y de reformulación o reprogramación de objetivos y metas para el 2021, con esta acción se cumplió con la meta operativa “</w:t>
      </w:r>
      <w:r w:rsidRPr="00D106C9">
        <w:rPr>
          <w:bCs/>
          <w:i/>
          <w:iCs/>
          <w:lang w:eastAsia="es-ES"/>
        </w:rPr>
        <w:t>Que, al finalizar abril del 2021, se haya elaborado y remitido al Consejo Superior el informe de labores de los Planes Anuales Operativos 2022</w:t>
      </w:r>
      <w:r w:rsidRPr="00D106C9">
        <w:rPr>
          <w:bCs/>
          <w:lang w:eastAsia="es-ES"/>
        </w:rPr>
        <w:t>.”</w:t>
      </w:r>
    </w:p>
    <w:p w14:paraId="2C97423B" w14:textId="77777777" w:rsidR="00D106C9" w:rsidRPr="00D106C9" w:rsidRDefault="00D106C9" w:rsidP="00D106C9">
      <w:pPr>
        <w:suppressAutoHyphens w:val="0"/>
        <w:ind w:left="851" w:right="851" w:firstLine="709"/>
        <w:jc w:val="both"/>
        <w:rPr>
          <w:bCs/>
          <w:lang w:eastAsia="es-ES"/>
        </w:rPr>
      </w:pPr>
    </w:p>
    <w:p w14:paraId="41D4AB7F" w14:textId="77777777" w:rsidR="00D106C9" w:rsidRPr="00D106C9" w:rsidRDefault="00D106C9" w:rsidP="003B2E9B">
      <w:pPr>
        <w:widowControl w:val="0"/>
        <w:numPr>
          <w:ilvl w:val="0"/>
          <w:numId w:val="62"/>
        </w:numPr>
        <w:suppressAutoHyphens w:val="0"/>
        <w:autoSpaceDE w:val="0"/>
        <w:autoSpaceDN w:val="0"/>
        <w:adjustRightInd w:val="0"/>
        <w:ind w:left="851" w:right="851" w:firstLine="709"/>
        <w:contextualSpacing/>
        <w:jc w:val="both"/>
        <w:rPr>
          <w:bCs/>
          <w:lang w:eastAsia="es-ES"/>
        </w:rPr>
      </w:pPr>
      <w:r w:rsidRPr="00D106C9">
        <w:rPr>
          <w:bCs/>
          <w:lang w:eastAsia="es-ES"/>
        </w:rPr>
        <w:t>La Dirección de Planificación confeccionó la circular 10-2021 respectiva para inicio de proceso de formulación de los Planes Anuales Operativos 2023, con esta acción se cumplió con la meta operativa “</w:t>
      </w:r>
      <w:r w:rsidRPr="00D106C9">
        <w:rPr>
          <w:bCs/>
          <w:i/>
          <w:iCs/>
          <w:lang w:eastAsia="es-ES"/>
        </w:rPr>
        <w:t>Que al finalizar el 2021, se haya gestionado el proceso de formulación de los Planes Anuales Operativos 2023</w:t>
      </w:r>
      <w:r w:rsidRPr="00D106C9">
        <w:rPr>
          <w:bCs/>
          <w:lang w:eastAsia="es-ES"/>
        </w:rPr>
        <w:t>.”</w:t>
      </w:r>
    </w:p>
    <w:p w14:paraId="16C40DB7" w14:textId="77777777" w:rsidR="00D106C9" w:rsidRPr="00D106C9" w:rsidRDefault="00D106C9" w:rsidP="003B2E9B">
      <w:pPr>
        <w:widowControl w:val="0"/>
        <w:numPr>
          <w:ilvl w:val="0"/>
          <w:numId w:val="62"/>
        </w:numPr>
        <w:suppressAutoHyphens w:val="0"/>
        <w:autoSpaceDE w:val="0"/>
        <w:autoSpaceDN w:val="0"/>
        <w:adjustRightInd w:val="0"/>
        <w:ind w:left="851" w:right="851" w:firstLine="709"/>
        <w:contextualSpacing/>
        <w:jc w:val="both"/>
        <w:rPr>
          <w:lang w:eastAsia="es-ES"/>
        </w:rPr>
      </w:pPr>
      <w:r w:rsidRPr="00D106C9">
        <w:rPr>
          <w:bCs/>
          <w:lang w:eastAsia="es-ES"/>
        </w:rPr>
        <w:t>El Subproceso de Planeación Estratégica realizó una presentación del oficio 921-PLA-PE-2021, con esta acción se cumplió con la meta operativa “</w:t>
      </w:r>
      <w:proofErr w:type="gramStart"/>
      <w:r w:rsidRPr="00D106C9">
        <w:rPr>
          <w:bCs/>
          <w:i/>
          <w:iCs/>
          <w:lang w:eastAsia="es-ES"/>
        </w:rPr>
        <w:t>Que</w:t>
      </w:r>
      <w:proofErr w:type="gramEnd"/>
      <w:r w:rsidRPr="00D106C9">
        <w:rPr>
          <w:bCs/>
          <w:i/>
          <w:iCs/>
          <w:lang w:eastAsia="es-ES"/>
        </w:rPr>
        <w:t xml:space="preserve"> al finalizar el mes de marzo 2021, se haya elaborado una propuesta sobre el ajuste de las metas relacionadas a casos terminados de los PAO 2021, como efecto de la emergencia sanitaria COVID19</w:t>
      </w:r>
      <w:r w:rsidRPr="00D106C9">
        <w:rPr>
          <w:bCs/>
          <w:lang w:eastAsia="es-ES"/>
        </w:rPr>
        <w:t>.”</w:t>
      </w:r>
    </w:p>
    <w:p w14:paraId="7A4EF281" w14:textId="77777777" w:rsidR="00D106C9" w:rsidRPr="00D106C9" w:rsidRDefault="00D106C9" w:rsidP="00D106C9">
      <w:pPr>
        <w:suppressAutoHyphens w:val="0"/>
        <w:ind w:left="851" w:right="851" w:firstLine="709"/>
        <w:rPr>
          <w:lang w:eastAsia="es-ES"/>
        </w:rPr>
      </w:pPr>
    </w:p>
    <w:p w14:paraId="41BA3493"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11.2.2. Plan de Acción COVID-19. Estrategia 2: Alineamiento del Portafolio de Proyectos Estratégico.</w:t>
      </w:r>
    </w:p>
    <w:p w14:paraId="1F7FD308"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05CF956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2 del Plan de Acción Covid-19 denominada “Alineamiento del Portafolio de Proyectos Estratégico.”, está compuesta por una meta estratégica y una meta operativa, las cual tiene un cumplimiento para el 2021 del 100% (</w:t>
      </w:r>
      <w:r w:rsidRPr="00D106C9">
        <w:rPr>
          <w:b/>
          <w:bCs/>
          <w:lang w:eastAsia="es-ES"/>
        </w:rPr>
        <w:t>ver anexo 11</w:t>
      </w:r>
      <w:r w:rsidRPr="00D106C9">
        <w:rPr>
          <w:lang w:eastAsia="es-ES"/>
        </w:rPr>
        <w:t>).</w:t>
      </w:r>
    </w:p>
    <w:p w14:paraId="07A34C7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al Subproceso de Formulación de Presupuesto y Portafolio de Proyectos Institucionales de la Dirección de Planificación, la cual realizó la siguiente actividad para alcanzar el cumplimiento citado:</w:t>
      </w:r>
    </w:p>
    <w:p w14:paraId="1EB82B1F"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i/>
          <w:iCs/>
          <w:lang w:eastAsia="es-ES"/>
        </w:rPr>
      </w:pPr>
      <w:r w:rsidRPr="00D106C9">
        <w:rPr>
          <w:lang w:eastAsia="es-ES"/>
        </w:rPr>
        <w:lastRenderedPageBreak/>
        <w:t xml:space="preserve">Se elaboraron los siguientes informes: 222-PLA-PP-2021, 519-PLA-PP-2021, 715-PLA-PP-2021 y 1384-PLA-PP-2021, relacionados seguimiento del portafolio de proyectos estratégicos contribuyendo al cumplimiento de las Metas Estratégicas del Poder Judicial Transparencia y un mejor uso de los recursos disponibles, con esta acción </w:t>
      </w:r>
      <w:r w:rsidRPr="00D106C9">
        <w:rPr>
          <w:bCs/>
          <w:lang w:eastAsia="es-ES"/>
        </w:rPr>
        <w:t xml:space="preserve">se cumplió con la meta operativa </w:t>
      </w:r>
      <w:r w:rsidRPr="00D106C9">
        <w:rPr>
          <w:bCs/>
          <w:i/>
          <w:iCs/>
          <w:lang w:eastAsia="es-ES"/>
        </w:rPr>
        <w:t>“Que al finalizar el 2021, se haya elaborado al menos 4 informes de seguimiento del estado de portafolio de los proyectos estratégicos.”</w:t>
      </w:r>
    </w:p>
    <w:p w14:paraId="1A5B143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3232E30"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11.2.3. Plan de Acción COVID-19. Estrategia 3: Adecuación de modelos de trabajo en modalidad virtual en todas las oficinas y despachos judiciales.</w:t>
      </w:r>
    </w:p>
    <w:p w14:paraId="67AFC7B8"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5D8DC75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La estrategia número 3 del Plan de Acción Covid-19 denominada </w:t>
      </w:r>
      <w:r w:rsidRPr="00D106C9">
        <w:rPr>
          <w:i/>
          <w:iCs/>
          <w:lang w:eastAsia="es-ES"/>
        </w:rPr>
        <w:t>“Adecuación de modelos de trabajo en modalidad virtual en todas las oficinas y despachos judiciales.”,</w:t>
      </w:r>
      <w:r w:rsidRPr="00D106C9">
        <w:rPr>
          <w:lang w:eastAsia="es-ES"/>
        </w:rPr>
        <w:t xml:space="preserve"> está compuesta por diez metas estratégicas y cuarenta y ocho metas operativas, las cual tiene un cumplimiento para el 2021 del 100% (</w:t>
      </w:r>
      <w:r w:rsidRPr="00D106C9">
        <w:rPr>
          <w:b/>
          <w:bCs/>
          <w:lang w:eastAsia="es-ES"/>
        </w:rPr>
        <w:t>ver anexo 12</w:t>
      </w:r>
      <w:r w:rsidRPr="00D106C9">
        <w:rPr>
          <w:lang w:eastAsia="es-ES"/>
        </w:rPr>
        <w:t>).</w:t>
      </w:r>
    </w:p>
    <w:p w14:paraId="23254B3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Este Plan de Acción, tiene como responsable a la sección de Reclutamiento y Selección de Personal, Sección de la Administración de la Carrera Judicial, Unidad de Supervisores, Secretaría Técnica de Género y Acceso a la Justicia, Subproceso de Modernización Institucional, Jefatura de la Defensa Pública, Subproceso de Evaluación, Subproceso de Organización Institucional, </w:t>
      </w:r>
      <w:bookmarkStart w:id="34" w:name="_Hlk98162299"/>
      <w:r w:rsidRPr="00D106C9">
        <w:rPr>
          <w:lang w:eastAsia="es-ES"/>
        </w:rPr>
        <w:t>Administraciones Regionales del país</w:t>
      </w:r>
      <w:bookmarkEnd w:id="34"/>
      <w:r w:rsidRPr="00D106C9">
        <w:rPr>
          <w:lang w:eastAsia="es-ES"/>
        </w:rPr>
        <w:t xml:space="preserve"> y Centro de Gestión de la Calidad, los cuales realizaron las siguientes actividades para alcanzar el cumplimiento citado:</w:t>
      </w:r>
    </w:p>
    <w:p w14:paraId="68C36B6C"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lang w:eastAsia="es-ES"/>
        </w:rPr>
        <w:t xml:space="preserve">La Selección de Reclutamiento y Selección de Personal realizó un documento con el detalle de la implementación de la virtualidad, cuyo fin es contrarrestar los efectos sobre las modalidades de trabajo, a raíz de la pandemia por Covid-19, con esta acción </w:t>
      </w:r>
      <w:r w:rsidRPr="00D106C9">
        <w:rPr>
          <w:bCs/>
          <w:lang w:eastAsia="es-ES"/>
        </w:rPr>
        <w:t>se cumplió con la meta operativa “Adecuar, las técnicas selectivas siempre que así lo permitan, a modalidades virtuales, con la finalidad de resguardar la salud de los oferentes y los funcionarios de las oficinas que reclutan personal”.</w:t>
      </w:r>
    </w:p>
    <w:p w14:paraId="2BFD0466"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 xml:space="preserve">La Sección de la Administración de la Carrera Judicial implementó la modalidad virtual para la atención de los oferentes en aspectos relativos a las entrevistas y aplicación de pruebas en los casos que requiere bajo esta modalidad, </w:t>
      </w:r>
      <w:r w:rsidRPr="00D106C9">
        <w:rPr>
          <w:lang w:eastAsia="es-ES"/>
        </w:rPr>
        <w:t xml:space="preserve">con esta acción </w:t>
      </w:r>
      <w:r w:rsidRPr="00D106C9">
        <w:rPr>
          <w:bCs/>
          <w:lang w:eastAsia="es-ES"/>
        </w:rPr>
        <w:t>se cumplió con la meta operativa “Adecuar, las técnicas selectivas siempre que así lo permitan, a modalidades virtuales, con la finalidad de resguardar la salud de los oferentes y los funcionarios de las oficinas que reclutan personal”.</w:t>
      </w:r>
    </w:p>
    <w:p w14:paraId="249E81B1"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 xml:space="preserve">La Unidad de Supervisores realizó supervisiones mediante la herramienta SISCOA en las 78 oficinas del OIJ que tiene esta herramienta; así </w:t>
      </w:r>
      <w:r w:rsidRPr="00D106C9">
        <w:rPr>
          <w:bCs/>
          <w:lang w:eastAsia="es-ES"/>
        </w:rPr>
        <w:lastRenderedPageBreak/>
        <w:t xml:space="preserve">como, de su cumplimiento, con </w:t>
      </w:r>
      <w:bookmarkStart w:id="35" w:name="_Hlk98164949"/>
      <w:r w:rsidRPr="00D106C9">
        <w:rPr>
          <w:lang w:eastAsia="es-ES"/>
        </w:rPr>
        <w:t xml:space="preserve">esta acción </w:t>
      </w:r>
      <w:r w:rsidRPr="00D106C9">
        <w:rPr>
          <w:bCs/>
          <w:lang w:eastAsia="es-ES"/>
        </w:rPr>
        <w:t>se cumplió con la meta operativa “</w:t>
      </w:r>
      <w:bookmarkEnd w:id="35"/>
      <w:proofErr w:type="gramStart"/>
      <w:r w:rsidRPr="00D106C9">
        <w:rPr>
          <w:bCs/>
          <w:lang w:eastAsia="es-ES"/>
        </w:rPr>
        <w:t>Que</w:t>
      </w:r>
      <w:proofErr w:type="gramEnd"/>
      <w:r w:rsidRPr="00D106C9">
        <w:rPr>
          <w:bCs/>
          <w:lang w:eastAsia="es-ES"/>
        </w:rPr>
        <w:t xml:space="preserve"> al 31 de diciembre de 2021, se haya revisado y supervisado mediante la herramienta tecnológica SISCOA, las 78 oficinas de OIJ que utilizan el SISCOA”.</w:t>
      </w:r>
    </w:p>
    <w:p w14:paraId="6FE22576"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 xml:space="preserve">La Secretaría Técnica de Género y Acceso a la Justicia estableció diferentes horarios de modalidad mixta para atender las personas usuarias (roles), adicionalmente realizaron un reacomodo en la oficina para mantener la distancia y la cantidad de personas que indican las circulares ( fotografías), por otro lado, brindó capacitaciones por parte del Área Legal y al personal de manera virtual, llevó a cabo las reuniones de PISAV virtualmente, con </w:t>
      </w:r>
      <w:r w:rsidRPr="00D106C9">
        <w:rPr>
          <w:lang w:eastAsia="es-ES"/>
        </w:rPr>
        <w:t xml:space="preserve">esta acción </w:t>
      </w:r>
      <w:r w:rsidRPr="00D106C9">
        <w:rPr>
          <w:bCs/>
          <w:lang w:eastAsia="es-ES"/>
        </w:rPr>
        <w:t>se cumplió con la meta operativa “</w:t>
      </w:r>
      <w:r w:rsidRPr="00D106C9">
        <w:rPr>
          <w:bCs/>
          <w:i/>
          <w:iCs/>
          <w:lang w:eastAsia="es-ES"/>
        </w:rPr>
        <w:t>Que, al 31 de diciembre de 2021, se hayan implementado y documentado el cien por ciento de las propuestas de los cambios o adaptaciones necesarias en los procedimientos actuales, que permitan dar continuidad del servicio público de manera virtual</w:t>
      </w:r>
      <w:r w:rsidRPr="00D106C9">
        <w:rPr>
          <w:bCs/>
          <w:lang w:eastAsia="es-ES"/>
        </w:rPr>
        <w:t>.”</w:t>
      </w:r>
    </w:p>
    <w:p w14:paraId="51C4089E"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El Subproceso de Modernización Institucional realizó el seguimiento a las 22 oficinas que tramitan la materia de Pensiones Alimentarias, con esta acción se cumplió con la meta operativa “</w:t>
      </w:r>
      <w:proofErr w:type="gramStart"/>
      <w:r w:rsidRPr="00D106C9">
        <w:rPr>
          <w:bCs/>
          <w:i/>
          <w:iCs/>
          <w:lang w:eastAsia="es-ES"/>
        </w:rPr>
        <w:t>Que</w:t>
      </w:r>
      <w:proofErr w:type="gramEnd"/>
      <w:r w:rsidRPr="00D106C9">
        <w:rPr>
          <w:bCs/>
          <w:i/>
          <w:iCs/>
          <w:lang w:eastAsia="es-ES"/>
        </w:rPr>
        <w:t xml:space="preserve"> al 31 de diciembre del 2021, se haya revisado el modelo de indicadores y sostenibilidad de los doce Juzgados Especializados de Pensiones Alimentarias como parte del proyecto de Reforma de Familia con al menos 22 informes</w:t>
      </w:r>
      <w:r w:rsidRPr="00D106C9">
        <w:rPr>
          <w:bCs/>
          <w:lang w:eastAsia="es-ES"/>
        </w:rPr>
        <w:t>.”</w:t>
      </w:r>
    </w:p>
    <w:p w14:paraId="688B6CD6"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La Jefatura de la Defensa Pública, cumplió en su totalidad la propuesta de virtualización de los servicios en pensiones alimentarias la cual fue plasmada en un proyecto de virtualización del servicio en materia de pensiones alimentarias, con esta acción se cumplió con la meta operativa “</w:t>
      </w:r>
      <w:r w:rsidRPr="00D106C9">
        <w:rPr>
          <w:bCs/>
          <w:i/>
          <w:iCs/>
          <w:lang w:eastAsia="es-ES"/>
        </w:rPr>
        <w:t>Que, al 31 de diciembre de 2021, se haya planteado una propuesta de virtualización de los servicios en pensiones alimentarias</w:t>
      </w:r>
      <w:r w:rsidRPr="00D106C9">
        <w:rPr>
          <w:bCs/>
          <w:lang w:eastAsia="es-ES"/>
        </w:rPr>
        <w:t>”.</w:t>
      </w:r>
    </w:p>
    <w:p w14:paraId="47DB4CF8"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 xml:space="preserve">El Subproceso de Modernización realizó diferentes actividades entre ellas se cuenta se avanzó en el cronograma en la Mejora Integral del Proceso Penal en el OIJ, por otro lado, para la Defensa Pública los estudios están pendientes de la validación con la Dirección de Planificación con un 60% tanto en el Segundo Circuito Judicial de San José como en el Tercer Circuito Judicial de San José, adicionalmente, en el Ministerio Público se han realizado un total de 144 seguimiento a las oficinas del Ministerio Público y finalmente, para el Proyecto de Mejora Integral del Proceso Penal, se puede indicar que se han realizado avances importantes logrando un 60% del cronograma establecido. </w:t>
      </w:r>
    </w:p>
    <w:p w14:paraId="4324B044"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 xml:space="preserve">El Subproceso de Evaluación logró alcanzar la ejecución no solo del 80% como se encuentra la meta, si no del 100% del cronograma de trabajo del Modelo de Sostenibilidad, adicionalmente, se elaboraron los informes sobre el seguimiento a los circuitos judiciales del Modelo de Sostenibilidad para 2021 donde se logró realizar planes de trabajo conjuntamente con la Administración </w:t>
      </w:r>
      <w:r w:rsidRPr="00D106C9">
        <w:rPr>
          <w:bCs/>
          <w:lang w:eastAsia="es-ES"/>
        </w:rPr>
        <w:lastRenderedPageBreak/>
        <w:t>Regional informando mensualmente a los Consejos de Administración Regional, finalmente es importante indicar que los trabajos realizados por los profesionales del Modelo de Sostenibilidad han contribuido a mejorar la situación de los despachos judiciales originado por diversas variables, entre ellas el impacto por el COVID-19.</w:t>
      </w:r>
    </w:p>
    <w:p w14:paraId="718B094D"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El Subproceso de Modernización Institucional realizó estudios varios, referentes a referencias ordinarias asignadas al Subproceso y seguimiento de indicadores, cargas de trabajo, infraestructuras tecnológicas, especialización de despachos, planes de trabajo y referencias de la Auditoría Judicial; adicionalmente, se logró reducir al menos en un 50% el circulante de referencias en trámite con más de tres años de antigüedad del Subproceso.</w:t>
      </w:r>
    </w:p>
    <w:p w14:paraId="7DF0BEB0"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Por otro lado, el Subproceso de Organización Institucional cumplió con las metas establecidas, redujo el circulante que maneja el Subproceso y finalizó trabajos prioritarios.</w:t>
      </w:r>
    </w:p>
    <w:p w14:paraId="17D05F8D"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Las Administraciones Regionales implementaron grupos de trabajos alternos en la modalidad presencial y de teletrabajo de manera semanal, que no coincidan los grupos con los roles de trabajo presenciales, con el fin de dar continuidad a la prestación del servicio en la emisión de certificaciones de antecedentes penales y de pensión alimentaria.</w:t>
      </w:r>
    </w:p>
    <w:p w14:paraId="2FEE5035" w14:textId="77777777" w:rsidR="00D106C9" w:rsidRPr="00D106C9" w:rsidRDefault="00D106C9" w:rsidP="003B2E9B">
      <w:pPr>
        <w:widowControl w:val="0"/>
        <w:numPr>
          <w:ilvl w:val="0"/>
          <w:numId w:val="63"/>
        </w:numPr>
        <w:suppressAutoHyphens w:val="0"/>
        <w:autoSpaceDE w:val="0"/>
        <w:autoSpaceDN w:val="0"/>
        <w:adjustRightInd w:val="0"/>
        <w:ind w:left="851" w:right="851" w:firstLine="709"/>
        <w:contextualSpacing/>
        <w:jc w:val="both"/>
        <w:rPr>
          <w:bCs/>
          <w:lang w:eastAsia="es-ES"/>
        </w:rPr>
      </w:pPr>
      <w:r w:rsidRPr="00D106C9">
        <w:rPr>
          <w:bCs/>
          <w:lang w:eastAsia="es-ES"/>
        </w:rPr>
        <w:t>Finalmente, el Centro de Gestión de la Calidad, realizó la mayoría de las actividades operativas y sesiones de trabajo en los procesos de acreditación manera virtual.</w:t>
      </w:r>
    </w:p>
    <w:p w14:paraId="6487CCA1" w14:textId="77777777" w:rsidR="00D106C9" w:rsidRPr="00D106C9" w:rsidRDefault="00D106C9" w:rsidP="00D106C9">
      <w:pPr>
        <w:widowControl w:val="0"/>
        <w:suppressAutoHyphens w:val="0"/>
        <w:autoSpaceDE w:val="0"/>
        <w:autoSpaceDN w:val="0"/>
        <w:adjustRightInd w:val="0"/>
        <w:ind w:left="851" w:right="851" w:firstLine="709"/>
        <w:rPr>
          <w:bCs/>
          <w:lang w:eastAsia="es-ES"/>
        </w:rPr>
      </w:pPr>
    </w:p>
    <w:p w14:paraId="48C2325A"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11.2.4. Plan de Acción COVID-19. Estrategia 4: Estrategias para mantener y extender el teletrabajo.</w:t>
      </w:r>
    </w:p>
    <w:p w14:paraId="5D1275D1"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283ECBF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4 del Plan de Acción Covid-19 denominada “</w:t>
      </w:r>
      <w:r w:rsidRPr="00D106C9">
        <w:rPr>
          <w:i/>
          <w:iCs/>
          <w:lang w:eastAsia="es-ES"/>
        </w:rPr>
        <w:t>Estrategias para mantener y extender el teletrabajo.”,</w:t>
      </w:r>
      <w:r w:rsidRPr="00D106C9">
        <w:rPr>
          <w:lang w:eastAsia="es-ES"/>
        </w:rPr>
        <w:t xml:space="preserve"> está compuesta por cuatro metas estratégicas y siete metas operativas, las cual tiene un cumplimiento para el 2021 del 100% (</w:t>
      </w:r>
      <w:r w:rsidRPr="00D106C9">
        <w:rPr>
          <w:b/>
          <w:bCs/>
          <w:lang w:eastAsia="es-ES"/>
        </w:rPr>
        <w:t>ver anexo 13</w:t>
      </w:r>
      <w:r w:rsidRPr="00D106C9">
        <w:rPr>
          <w:lang w:eastAsia="es-ES"/>
        </w:rPr>
        <w:t>).</w:t>
      </w:r>
    </w:p>
    <w:p w14:paraId="0C227714"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Este Plan de Acción, tiene como responsable a la Secretaría Técnico de Género y Acceso a la Justicia, Sección de Análisis de Puestos, Sección de la Gestión de la Capacitación y la Unidad de Inspección Fiscal, los cuales realizaron las siguientes actividades para alcanzar el cumplimiento:</w:t>
      </w:r>
    </w:p>
    <w:p w14:paraId="213EF948" w14:textId="77777777" w:rsidR="00D106C9" w:rsidRPr="00D106C9" w:rsidRDefault="00D106C9" w:rsidP="003B2E9B">
      <w:pPr>
        <w:widowControl w:val="0"/>
        <w:numPr>
          <w:ilvl w:val="0"/>
          <w:numId w:val="62"/>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Secretaría Técnico de Género y Acceso a la Justicia, cumplió con los lineamientos establecidos por la declaratoria de Emergencia Nacional por COVID-19, como por ejemplo realizaron solicitudes de insumos para prevenir el Covid-19, elaboraron roles para laborar en modalidad de teletrabajo, esto en concordancia a las circulares, reacomodaron el personal en las que se requerían para mantener distanciamiento, solicitaron mamparas y solicitaron mascarillas de </w:t>
      </w:r>
      <w:r w:rsidRPr="00D106C9">
        <w:rPr>
          <w:lang w:eastAsia="es-ES"/>
        </w:rPr>
        <w:lastRenderedPageBreak/>
        <w:t xml:space="preserve">tela y caretas,  con estas acciones, cumplieron con la meta operativa </w:t>
      </w:r>
      <w:r w:rsidRPr="00D106C9">
        <w:rPr>
          <w:i/>
          <w:iCs/>
          <w:lang w:eastAsia="es-ES"/>
        </w:rPr>
        <w:t>“Que al 30 de junio de 2021, se haya dado lectura y cumplimiento en un cien por ciento a lo que se solicita mediante las circulares institucionales emitidas por la declaratoria de Emergencia Nacional por COVID19.”</w:t>
      </w:r>
    </w:p>
    <w:p w14:paraId="07EE0FC8" w14:textId="77777777" w:rsidR="00D106C9" w:rsidRPr="00D106C9" w:rsidRDefault="00D106C9" w:rsidP="003B2E9B">
      <w:pPr>
        <w:widowControl w:val="0"/>
        <w:numPr>
          <w:ilvl w:val="0"/>
          <w:numId w:val="64"/>
        </w:numPr>
        <w:suppressAutoHyphens w:val="0"/>
        <w:autoSpaceDE w:val="0"/>
        <w:autoSpaceDN w:val="0"/>
        <w:adjustRightInd w:val="0"/>
        <w:ind w:left="851" w:right="851" w:firstLine="709"/>
        <w:contextualSpacing/>
        <w:jc w:val="both"/>
        <w:rPr>
          <w:lang w:eastAsia="es-ES"/>
        </w:rPr>
      </w:pPr>
      <w:r w:rsidRPr="00D106C9">
        <w:rPr>
          <w:lang w:eastAsia="es-ES"/>
        </w:rPr>
        <w:t>Por otro lado, la Sección de Análisis de Puestos realizó el informe PJ-DGH-SAP-2020-409-2020, esto con el fin de analizar y ampliar los puestos de naturaleza profesional y técnica que puedan laborar bajo la modalidad de Teletrabajo, adicionalmente; en el mes de diciembre se trasladó una encuesta en coordinación con la Comisión de Gestión Ambiental para medir la emisión de CO2.</w:t>
      </w:r>
    </w:p>
    <w:p w14:paraId="52E03037" w14:textId="77777777" w:rsidR="00D106C9" w:rsidRPr="00D106C9" w:rsidRDefault="00D106C9" w:rsidP="003B2E9B">
      <w:pPr>
        <w:widowControl w:val="0"/>
        <w:numPr>
          <w:ilvl w:val="0"/>
          <w:numId w:val="64"/>
        </w:numPr>
        <w:suppressAutoHyphens w:val="0"/>
        <w:autoSpaceDE w:val="0"/>
        <w:autoSpaceDN w:val="0"/>
        <w:adjustRightInd w:val="0"/>
        <w:ind w:left="851" w:right="851" w:firstLine="709"/>
        <w:contextualSpacing/>
        <w:jc w:val="both"/>
        <w:rPr>
          <w:bCs/>
          <w:lang w:eastAsia="es-ES"/>
        </w:rPr>
      </w:pPr>
      <w:r w:rsidRPr="00D106C9">
        <w:rPr>
          <w:lang w:eastAsia="es-ES"/>
        </w:rPr>
        <w:t xml:space="preserve">La Sección de Gestión de la Capacitación, realizaron actividad como el diseño curricular del programa de teletrabajo con especificaciones para jefaturas y personal subalterno, actualmente en conocimiento de la Comisión de Tele Trabajo, adicionalmente, se hizo un cronograma de charlas “Reglamento de teletrabajo del Poder Judicial: aspectos administrativos y condiciones laborales y finalmente la divulgación de consulta masiva a nivel institucional sobre necesidades de capacitación en relación con la herramienta Microsoft </w:t>
      </w:r>
      <w:proofErr w:type="spellStart"/>
      <w:r w:rsidRPr="00D106C9">
        <w:rPr>
          <w:lang w:eastAsia="es-ES"/>
        </w:rPr>
        <w:t>Teams</w:t>
      </w:r>
      <w:proofErr w:type="spellEnd"/>
      <w:r w:rsidRPr="00D106C9">
        <w:rPr>
          <w:lang w:eastAsia="es-ES"/>
        </w:rPr>
        <w:t>.</w:t>
      </w:r>
    </w:p>
    <w:p w14:paraId="7DA68F89" w14:textId="77777777" w:rsidR="00D106C9" w:rsidRPr="00D106C9" w:rsidRDefault="00D106C9" w:rsidP="003B2E9B">
      <w:pPr>
        <w:widowControl w:val="0"/>
        <w:numPr>
          <w:ilvl w:val="0"/>
          <w:numId w:val="64"/>
        </w:numPr>
        <w:suppressAutoHyphens w:val="0"/>
        <w:autoSpaceDE w:val="0"/>
        <w:autoSpaceDN w:val="0"/>
        <w:adjustRightInd w:val="0"/>
        <w:ind w:left="851" w:right="851" w:firstLine="709"/>
        <w:contextualSpacing/>
        <w:jc w:val="both"/>
        <w:rPr>
          <w:bCs/>
          <w:lang w:eastAsia="es-ES"/>
        </w:rPr>
      </w:pPr>
      <w:r w:rsidRPr="00D106C9">
        <w:rPr>
          <w:bCs/>
          <w:lang w:eastAsia="es-ES"/>
        </w:rPr>
        <w:t>Adicionalmente, la Sección de Análisis de Puestos, comunicó a la población judicial mediante cápsulas informáticas sobre el Programa de Teletrabajo, con esta acción se cumplió la meta operativa “</w:t>
      </w:r>
      <w:r w:rsidRPr="00D106C9">
        <w:rPr>
          <w:bCs/>
          <w:i/>
          <w:iCs/>
          <w:lang w:eastAsia="es-ES"/>
        </w:rPr>
        <w:t>Que al finalizar el 2021, se haya comunicado cuatro cápsulas a la población judicial</w:t>
      </w:r>
      <w:r w:rsidRPr="00D106C9">
        <w:rPr>
          <w:bCs/>
          <w:lang w:eastAsia="es-ES"/>
        </w:rPr>
        <w:t>.”</w:t>
      </w:r>
    </w:p>
    <w:p w14:paraId="79DD67A3" w14:textId="77777777" w:rsidR="00D106C9" w:rsidRPr="00D106C9" w:rsidRDefault="00D106C9" w:rsidP="003B2E9B">
      <w:pPr>
        <w:widowControl w:val="0"/>
        <w:numPr>
          <w:ilvl w:val="0"/>
          <w:numId w:val="64"/>
        </w:numPr>
        <w:suppressAutoHyphens w:val="0"/>
        <w:autoSpaceDE w:val="0"/>
        <w:autoSpaceDN w:val="0"/>
        <w:adjustRightInd w:val="0"/>
        <w:ind w:left="851" w:right="851" w:firstLine="709"/>
        <w:contextualSpacing/>
        <w:jc w:val="both"/>
        <w:rPr>
          <w:bCs/>
          <w:i/>
          <w:iCs/>
          <w:lang w:eastAsia="es-ES"/>
        </w:rPr>
      </w:pPr>
      <w:r w:rsidRPr="00D106C9">
        <w:rPr>
          <w:bCs/>
          <w:lang w:eastAsia="es-ES"/>
        </w:rPr>
        <w:t xml:space="preserve">Finalmente, la Unidad de Inspección Fiscal, </w:t>
      </w:r>
      <w:r w:rsidRPr="00D106C9">
        <w:rPr>
          <w:lang w:eastAsia="es-ES"/>
        </w:rPr>
        <w:t xml:space="preserve"> comunicó a la jefatura el oficio número 92-UIF-2021, donde se incluyó un apartado sobre el comportamiento estadístico de enero a setiembre del 2021, se revisó el cumplimiento de porcentaje de resolución para cada puesto, cumpliéndose a la fecha con el plan de resolución de casos: Al 30/06/2021 se haya resuelto el 70% de los casos disciplinarios iniciados en el año 2020 y el 31/12/2021 se haya resuelto el 50% de los casos disciplinarios ingresados en el 2021, con estas actividades se cumplió la meta operativa </w:t>
      </w:r>
      <w:r w:rsidRPr="00D106C9">
        <w:rPr>
          <w:i/>
          <w:iCs/>
          <w:lang w:eastAsia="es-ES"/>
        </w:rPr>
        <w:t>“Que al 31 de diciembre del 2021 se haya logrado la contención del circulante activo de la Inspección Fiscal”.</w:t>
      </w:r>
    </w:p>
    <w:p w14:paraId="3DDDD592" w14:textId="77777777" w:rsidR="00D106C9" w:rsidRPr="00D106C9" w:rsidRDefault="00D106C9" w:rsidP="00D106C9">
      <w:pPr>
        <w:suppressAutoHyphens w:val="0"/>
        <w:ind w:left="851" w:right="851" w:firstLine="709"/>
        <w:rPr>
          <w:bCs/>
          <w:i/>
          <w:iCs/>
          <w:lang w:eastAsia="es-ES"/>
        </w:rPr>
      </w:pPr>
    </w:p>
    <w:p w14:paraId="02571789" w14:textId="77777777" w:rsidR="00D106C9" w:rsidRPr="00D106C9" w:rsidRDefault="00D106C9" w:rsidP="00D106C9">
      <w:pPr>
        <w:suppressAutoHyphens w:val="0"/>
        <w:ind w:left="851" w:right="851" w:firstLine="709"/>
        <w:jc w:val="both"/>
        <w:rPr>
          <w:bCs/>
          <w:lang w:eastAsia="es-ES"/>
        </w:rPr>
      </w:pPr>
    </w:p>
    <w:p w14:paraId="622E9FE9"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11.2.5. Plan de Acción COVID-19. Estrategia 5: Apoyo de las Comisiones Institucionales en promover los servicios virtuales.</w:t>
      </w:r>
    </w:p>
    <w:p w14:paraId="31B98FE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6D17A3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5 del Plan de Acción Covid-19 denominada “Apoyo de las Comisiones Institucionales en promover los servicios virtuales”, está compuesta por tres metas estratégicas y nueve metas operativas, las cual tiene un cumplimiento para el 2021 del 66.67% (</w:t>
      </w:r>
      <w:r w:rsidRPr="00D106C9">
        <w:rPr>
          <w:b/>
          <w:bCs/>
          <w:lang w:eastAsia="es-ES"/>
        </w:rPr>
        <w:t>ver anexo 14</w:t>
      </w:r>
      <w:r w:rsidRPr="00D106C9">
        <w:rPr>
          <w:lang w:eastAsia="es-ES"/>
        </w:rPr>
        <w:t>).</w:t>
      </w:r>
    </w:p>
    <w:p w14:paraId="1D4B454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Este Plan de Acción, tiene como responsable a la Comisión de la </w:t>
      </w:r>
      <w:r w:rsidRPr="00D106C9">
        <w:rPr>
          <w:lang w:eastAsia="es-ES"/>
        </w:rPr>
        <w:lastRenderedPageBreak/>
        <w:t>Jurisdicción Agrario y Agroambiental, Comisión de Asuntos Penales, Comisión de la Jurisdicción Laboral, Centro de Apoyo, Coordinación y Mejoramiento de la Función Jurisdiccional, Subproceso de Modernización Institucional y Comisión de la Jurisdicción Civil, los cuales realizaron las siguientes actividades para alcanzar el cumplimiento:</w:t>
      </w:r>
    </w:p>
    <w:p w14:paraId="6BADD42A"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lang w:eastAsia="es-ES"/>
        </w:rPr>
      </w:pPr>
      <w:r w:rsidRPr="00D106C9">
        <w:rPr>
          <w:lang w:eastAsia="es-ES"/>
        </w:rPr>
        <w:t xml:space="preserve">La Comisión de la Jurisdicción Agrario y Agroambiental no realizó los avances esperados para las metas operativas </w:t>
      </w:r>
      <w:r w:rsidRPr="00D106C9">
        <w:rPr>
          <w:i/>
          <w:iCs/>
          <w:lang w:eastAsia="es-ES"/>
        </w:rPr>
        <w:t>“Que al finalizar el 2021, la Comisión de la Jurisdicción Agraria haya aprobado el Plan de Capacitación Agraria propuesto por la Escuela Judicial, asociado a la implementación del Código Procesal Agrario, el cual debe estar ajustado con ocasión de los requerimientos propios de la pandemia Covid19”, “Que al finalizar el 2021, se haya capacitado al 100% de la población definida en el plan de capacitación”, Que al finalizar el 2021, se haya completado la capacitación sobre el uso de la herramienta tecnológica “</w:t>
      </w:r>
      <w:proofErr w:type="spellStart"/>
      <w:r w:rsidRPr="00D106C9">
        <w:rPr>
          <w:i/>
          <w:iCs/>
          <w:lang w:eastAsia="es-ES"/>
        </w:rPr>
        <w:t>drone</w:t>
      </w:r>
      <w:proofErr w:type="spellEnd"/>
      <w:r w:rsidRPr="00D106C9">
        <w:rPr>
          <w:i/>
          <w:iCs/>
          <w:lang w:eastAsia="es-ES"/>
        </w:rPr>
        <w:t>” al 100% de las personas juzgadoras y al menos 2 personas técnicas de la jurisdicción agraria” y “Que al finalizar el 2021, se haya revisado e identificado oportunidades de mejora del Protocolo de Audiencias Virtuales de la Jurisdicción Agraria”</w:t>
      </w:r>
      <w:r w:rsidRPr="00D106C9">
        <w:rPr>
          <w:lang w:eastAsia="es-ES"/>
        </w:rPr>
        <w:t>, obteniendo un 0% de avance de cumplimiento para el 2021, por lo anterior, se requiere un mayor nivel de atención por parte de la Comisión, en la consecución de las metas operativas asociadas, de manera tal que se alcancen los mayores porcentajes posibles de cumplimiento para el 2022.</w:t>
      </w:r>
    </w:p>
    <w:p w14:paraId="06B13683"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i/>
          <w:iCs/>
          <w:lang w:eastAsia="es-ES"/>
        </w:rPr>
      </w:pPr>
      <w:r w:rsidRPr="00D106C9">
        <w:rPr>
          <w:lang w:eastAsia="es-ES"/>
        </w:rPr>
        <w:t xml:space="preserve">Por otro lado, la Comisión de Asuntos Penales realizó pronunciamientos a los lineamientos para la continuidad del servicio ante la declaratoria de la emergencia por COVID-19 (CJP059-2021, CJP072-2021, CJP116-2021, CJP197-2021, CJP206-2021, CJP207-2021, CJP251-2021, CJP253-2021, CJP266-2021 y CJP273-2021), con esta actividad se cumplió la meta operativa </w:t>
      </w:r>
      <w:r w:rsidRPr="00D106C9">
        <w:rPr>
          <w:i/>
          <w:iCs/>
          <w:lang w:eastAsia="es-ES"/>
        </w:rPr>
        <w:t>“Que al 31 de diciembre de 2021 se hayan remitido para aprobación del Consejo Superior propuestas concretas con lineamientos en materia penal para la continuidad de los servicios”.</w:t>
      </w:r>
    </w:p>
    <w:p w14:paraId="5784FEC1"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lang w:eastAsia="es-ES"/>
        </w:rPr>
      </w:pPr>
      <w:r w:rsidRPr="00D106C9">
        <w:rPr>
          <w:lang w:eastAsia="es-ES"/>
        </w:rPr>
        <w:t>El Centro de Apoyo, Coordinación y Mejoramiento de la Función Jurisdiccional brindó seguimiento a los despachos a nivel nacional, en la utilización del protocolo de audiencias virtuales (</w:t>
      </w:r>
      <w:r w:rsidRPr="00D106C9">
        <w:rPr>
          <w:lang w:eastAsia="es-CR"/>
        </w:rPr>
        <w:t xml:space="preserve">076-CACMFJ-JEF-2021,108-CACMFJ-JEF-2021, 131-CACMFJ-JEF-2021, 132-CACMFJ-JEF-2021, 199-CACMFJ-JEF-2021, </w:t>
      </w:r>
      <w:r w:rsidRPr="00D106C9">
        <w:rPr>
          <w:lang w:eastAsia="es-ES"/>
        </w:rPr>
        <w:t xml:space="preserve">208-CACMFJ-JEF-2021, 214-CACMFJ-JEF-2021, 241-CACMFJ-JEF-2021, 244-CACMFJ-JEF-2021, 263-CACMFJ-JEF-2021, 312-CACMFJ-JEF-2021, 350-CACMFJ-AGA-2021 y 392-CACMFJ-AGA-2021), con esta actividad se cumplió la meta operativa </w:t>
      </w:r>
      <w:r w:rsidRPr="00D106C9">
        <w:rPr>
          <w:i/>
          <w:iCs/>
          <w:lang w:eastAsia="es-ES"/>
        </w:rPr>
        <w:t>“Que al 2021, se haya brindado seguimiento a los despachos del país, en la utilización del protocolo de audiencias virtuales y el protocolo de alerta.”</w:t>
      </w:r>
    </w:p>
    <w:p w14:paraId="242E10AD"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i/>
          <w:iCs/>
          <w:lang w:eastAsia="es-ES"/>
        </w:rPr>
      </w:pPr>
      <w:r w:rsidRPr="00D106C9">
        <w:rPr>
          <w:lang w:eastAsia="es-ES"/>
        </w:rPr>
        <w:t xml:space="preserve">Adicionalmente, el Subproceso de Modernización Institucional </w:t>
      </w:r>
      <w:r w:rsidRPr="00D106C9">
        <w:rPr>
          <w:lang w:eastAsia="es-ES"/>
        </w:rPr>
        <w:lastRenderedPageBreak/>
        <w:t xml:space="preserve">confeccionó el informe 91-PLA-MI-2021 "Virtualización de servicios Jurisdiccionales Poder Judicial", proyecto que tuvo como objetivo general diseñar e implementar acciones para virtualizar los servicios jurisdiccionales que presta el Poder Judicial y a partir de los recursos tecnológicos disponibles hasta normalizar su uso en la institución, con esta acción se cumplió con la meta operativa </w:t>
      </w:r>
      <w:r w:rsidRPr="00D106C9">
        <w:rPr>
          <w:i/>
          <w:iCs/>
          <w:lang w:eastAsia="es-ES"/>
        </w:rPr>
        <w:t>“Que al 2021, se haya brindado seguimiento a los despachos del país, en la utilización del protocolo de audiencias virtuales y el protocolo de alerta.”</w:t>
      </w:r>
    </w:p>
    <w:p w14:paraId="1642792B"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lang w:eastAsia="es-ES"/>
        </w:rPr>
      </w:pPr>
      <w:r w:rsidRPr="00D106C9">
        <w:rPr>
          <w:lang w:eastAsia="es-ES"/>
        </w:rPr>
        <w:t xml:space="preserve">Finalmente, la Comisión de la Jurisdicción Civil les encargó a los jueces Farith Suárez y Carlos González la revisión del Protocolo de Audiencias Virtuales Civiles a fin de hagan propuestas de mejoras y de actualización para análisis de la Comisión de la Jurisdicción Civil una vez se estabilice la situación de las medidas establecidas con ocasión de la pandemia Covid-19, con esta actividad se cumple la meta operativa </w:t>
      </w:r>
      <w:r w:rsidRPr="00D106C9">
        <w:rPr>
          <w:i/>
          <w:iCs/>
          <w:lang w:eastAsia="es-ES"/>
        </w:rPr>
        <w:t>“Que al finalizar el 2021, se haya revisado e identificado oportunidades de mejora del Protocolo de Audiencias Virtuales de la Jurisdicción Civil.”</w:t>
      </w:r>
    </w:p>
    <w:p w14:paraId="0F2F2291" w14:textId="77777777" w:rsidR="00D106C9" w:rsidRPr="00D106C9" w:rsidRDefault="00D106C9" w:rsidP="00D106C9">
      <w:pPr>
        <w:suppressAutoHyphens w:val="0"/>
        <w:ind w:left="851" w:right="851" w:firstLine="709"/>
        <w:jc w:val="both"/>
        <w:rPr>
          <w:lang w:eastAsia="es-ES"/>
        </w:rPr>
      </w:pPr>
    </w:p>
    <w:p w14:paraId="1E4DD424"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11.2.6. Plan de Acción COVID-19. Estrategia 6: Promover reuniones, capacitaciones, congresos, sesiones de trabajo y talleres en modalidad virtual.</w:t>
      </w:r>
    </w:p>
    <w:p w14:paraId="2AD03D2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1C6AD0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6 del Plan de Acción Covid-19 denominada “Promover reuniones, capacitaciones, congresos, sesiones de trabajo y talleres en modalidad virtual.”, está compuesta por seis metas estratégicas y siete metas operativas, las cual tiene un cumplimiento para el 2021 del 83,33% (</w:t>
      </w:r>
      <w:r w:rsidRPr="00D106C9">
        <w:rPr>
          <w:b/>
          <w:bCs/>
          <w:lang w:eastAsia="es-ES"/>
        </w:rPr>
        <w:t>ver anexo 15</w:t>
      </w:r>
      <w:r w:rsidRPr="00D106C9">
        <w:rPr>
          <w:lang w:eastAsia="es-ES"/>
        </w:rPr>
        <w:t>).</w:t>
      </w:r>
    </w:p>
    <w:p w14:paraId="0DE7BCC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a la Biblioteca Judicial, Sección Gestión de la Capacitación, Secretaría Técnica de Género y Acceso a la Justicia, Centro Gestión de la Calidad y Oficina Rectora de Justicia Restaurativa, los cuales realizaron las siguientes actividades para alcanzar el cumplimiento:</w:t>
      </w:r>
    </w:p>
    <w:p w14:paraId="0E430295"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lang w:eastAsia="es-ES"/>
        </w:rPr>
      </w:pPr>
      <w:r w:rsidRPr="00D106C9">
        <w:rPr>
          <w:lang w:eastAsia="es-ES"/>
        </w:rPr>
        <w:t>La Biblioteca Judicial no realizó el avance esperado para la meta operativa “Que al 31/12/2021 se hayan elaborado un plan de trabajo para la ejecución de los roles establecidos conforme cronograma”, por lo anterior, se requiere un mayor nivel de atención por parte de la Biblioteca Judicial, en la consecución de las metas operativas asociadas, de manera tal que se alcancen los mayores porcentajes posibles de cumplimiento para el 2022.</w:t>
      </w:r>
    </w:p>
    <w:p w14:paraId="3BC6B624"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i/>
          <w:iCs/>
          <w:lang w:eastAsia="es-ES"/>
        </w:rPr>
      </w:pPr>
      <w:r w:rsidRPr="00D106C9">
        <w:rPr>
          <w:lang w:eastAsia="es-ES"/>
        </w:rPr>
        <w:t xml:space="preserve">Por otro lado, la Sección de Gestión de la Capacitación realizó diferentes charlas (charla sobre la aplicación de los protocolos institucionales por COVID19 dirigida a jefaturas y coordinaciones,  Charla “Estafas informáticas, manténgase a salvo”, Curso virtual de autoaprendizaje “Proceso Administrativo Sancionatorio”, Taller “Gestionando el cambio, con la meta en la mente”, entre otros) contado con participación de personas procedentes de todas las sedes </w:t>
      </w:r>
      <w:r w:rsidRPr="00D106C9">
        <w:rPr>
          <w:lang w:eastAsia="es-ES"/>
        </w:rPr>
        <w:lastRenderedPageBreak/>
        <w:t xml:space="preserve">regionales a nivel nacional, con esta actividad se cumple la meta operativa </w:t>
      </w:r>
      <w:r w:rsidRPr="00D106C9">
        <w:rPr>
          <w:i/>
          <w:iCs/>
          <w:lang w:eastAsia="es-ES"/>
        </w:rPr>
        <w:t>“Que al 31 de diciembre del 2021, se hayan ejecutado una actividad de capacitación por sede regional.”</w:t>
      </w:r>
    </w:p>
    <w:p w14:paraId="51465CC4"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Secretaría Técnica de Género y Acceso a la Justicia brindó capacitaciones requeridas impartiéndose por medio de la herramienta </w:t>
      </w:r>
      <w:proofErr w:type="spellStart"/>
      <w:r w:rsidRPr="00D106C9">
        <w:rPr>
          <w:lang w:eastAsia="es-ES"/>
        </w:rPr>
        <w:t>Teams</w:t>
      </w:r>
      <w:proofErr w:type="spellEnd"/>
      <w:r w:rsidRPr="00D106C9">
        <w:rPr>
          <w:lang w:eastAsia="es-ES"/>
        </w:rPr>
        <w:t xml:space="preserve"> del Área Legal, con esta actividad se cumple la meta operativa </w:t>
      </w:r>
      <w:r w:rsidRPr="00D106C9">
        <w:rPr>
          <w:i/>
          <w:iCs/>
          <w:lang w:eastAsia="es-ES"/>
        </w:rPr>
        <w:t>“</w:t>
      </w:r>
      <w:proofErr w:type="gramStart"/>
      <w:r w:rsidRPr="00D106C9">
        <w:rPr>
          <w:i/>
          <w:iCs/>
          <w:lang w:eastAsia="es-ES"/>
        </w:rPr>
        <w:t>Que</w:t>
      </w:r>
      <w:proofErr w:type="gramEnd"/>
      <w:r w:rsidRPr="00D106C9">
        <w:rPr>
          <w:i/>
          <w:iCs/>
          <w:lang w:eastAsia="es-ES"/>
        </w:rPr>
        <w:t xml:space="preserve"> al 31 de diciembre del 2021, se hayan brindado el 100 % de las capacitaciones por medio de Microsoft </w:t>
      </w:r>
      <w:proofErr w:type="spellStart"/>
      <w:r w:rsidRPr="00D106C9">
        <w:rPr>
          <w:i/>
          <w:iCs/>
          <w:lang w:eastAsia="es-ES"/>
        </w:rPr>
        <w:t>Teams</w:t>
      </w:r>
      <w:proofErr w:type="spellEnd"/>
      <w:r w:rsidRPr="00D106C9">
        <w:rPr>
          <w:i/>
          <w:iCs/>
          <w:lang w:eastAsia="es-ES"/>
        </w:rPr>
        <w:t xml:space="preserve"> a los diferentes Circuitos Judiciales que lo solicitan y las reuniones de coordinación”.</w:t>
      </w:r>
    </w:p>
    <w:p w14:paraId="1361B54E"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lang w:eastAsia="es-ES"/>
        </w:rPr>
      </w:pPr>
      <w:r w:rsidRPr="00D106C9">
        <w:rPr>
          <w:lang w:eastAsia="es-ES"/>
        </w:rPr>
        <w:t xml:space="preserve">Adicionalmente, la Biblioteca Judicial impartió un total de 8 capacitaciones durante los meses de junio, julio, agosto y setiembre del 2021, capacitando a 98 personas, con esta acción se cumple la meta operativa </w:t>
      </w:r>
      <w:r w:rsidRPr="00D106C9">
        <w:rPr>
          <w:i/>
          <w:iCs/>
          <w:lang w:eastAsia="es-ES"/>
        </w:rPr>
        <w:t xml:space="preserve">“Que al 31 de diciembre del 2021 se haya podido impartir al menos 8 capacitaciones virtuales por medio de la herramienta </w:t>
      </w:r>
      <w:proofErr w:type="spellStart"/>
      <w:r w:rsidRPr="00D106C9">
        <w:rPr>
          <w:i/>
          <w:iCs/>
          <w:lang w:eastAsia="es-ES"/>
        </w:rPr>
        <w:t>Teams</w:t>
      </w:r>
      <w:proofErr w:type="spellEnd"/>
      <w:r w:rsidRPr="00D106C9">
        <w:rPr>
          <w:i/>
          <w:iCs/>
          <w:lang w:eastAsia="es-ES"/>
        </w:rPr>
        <w:t xml:space="preserve"> a la población judicial que se inscriba cuando se programen las fechas de dichas capacitaciones”.</w:t>
      </w:r>
    </w:p>
    <w:p w14:paraId="26752C9B"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i/>
          <w:iCs/>
          <w:lang w:eastAsia="es-ES"/>
        </w:rPr>
      </w:pPr>
      <w:r w:rsidRPr="00D106C9">
        <w:rPr>
          <w:lang w:eastAsia="es-ES"/>
        </w:rPr>
        <w:t xml:space="preserve">Adicionalmente el Centro de Gestión de Calidad, realizó talleres durante el 2021 (Taller de Sensibilización General, Taller de Sensibilización Específica, Taller Gestión del Tiempo, Taller Trabajo en equipo desde un enfoque de liderazgo personal, entre otros), con esta acción se cumple la meta operativa </w:t>
      </w:r>
      <w:r w:rsidRPr="00D106C9">
        <w:rPr>
          <w:i/>
          <w:iCs/>
          <w:lang w:eastAsia="es-ES"/>
        </w:rPr>
        <w:t>“Que al finalizar el 2021 el 95% de las actividades relacionadas con capacitaciones como talleres y charlas se realicen virtualmente”.</w:t>
      </w:r>
    </w:p>
    <w:p w14:paraId="783D03C8" w14:textId="77777777" w:rsidR="00D106C9" w:rsidRPr="00D106C9" w:rsidRDefault="00D106C9" w:rsidP="003B2E9B">
      <w:pPr>
        <w:widowControl w:val="0"/>
        <w:numPr>
          <w:ilvl w:val="0"/>
          <w:numId w:val="65"/>
        </w:numPr>
        <w:suppressAutoHyphens w:val="0"/>
        <w:autoSpaceDE w:val="0"/>
        <w:autoSpaceDN w:val="0"/>
        <w:adjustRightInd w:val="0"/>
        <w:ind w:left="851" w:right="851" w:firstLine="709"/>
        <w:contextualSpacing/>
        <w:jc w:val="both"/>
        <w:rPr>
          <w:i/>
          <w:iCs/>
          <w:lang w:eastAsia="es-ES"/>
        </w:rPr>
      </w:pPr>
      <w:r w:rsidRPr="00D106C9">
        <w:rPr>
          <w:lang w:eastAsia="es-ES"/>
        </w:rPr>
        <w:t xml:space="preserve">Finalmente, la Oficina Rectora de Justicia Restaurativa de manera virtual realizó una serie de capacitaciones sobre Justicia Restaurativa, incluso con participación de personas expertas internacionales, donde se han abarcado los ámbitos de aplicación que establece la ley, con esta acción se cumple la meta operativa “Que al finalizar el 2021 se realice de manera virtual, al menos una capacitación de Justicia Restaurativa en: Penal, Penal Juvenil, Contravenciones, Ejecución de la Pena y Programa de Tratamiento de Drogas bajo Supervisión Judicial (PTDJ); así mismo, se realizaron 2 seguimientos de forma virtual a cada equipo interdisciplinario, con esta actividad cumplió con la meta operativa </w:t>
      </w:r>
      <w:r w:rsidRPr="00D106C9">
        <w:rPr>
          <w:i/>
          <w:iCs/>
          <w:lang w:eastAsia="es-ES"/>
        </w:rPr>
        <w:t>“Que al finalizar el año 2021 se realice de manera virtual al menos 1 de los seguimientos a las oficinas con Justicia Restaurativa.”</w:t>
      </w:r>
    </w:p>
    <w:p w14:paraId="57C708D0" w14:textId="77777777" w:rsidR="00D106C9" w:rsidRPr="00D106C9" w:rsidRDefault="00D106C9" w:rsidP="00D106C9">
      <w:pPr>
        <w:suppressAutoHyphens w:val="0"/>
        <w:ind w:left="851" w:right="851" w:firstLine="709"/>
        <w:rPr>
          <w:lang w:eastAsia="es-ES"/>
        </w:rPr>
      </w:pPr>
    </w:p>
    <w:p w14:paraId="09AA08D4" w14:textId="77777777" w:rsidR="00D106C9" w:rsidRPr="00D106C9" w:rsidRDefault="00D106C9" w:rsidP="00D106C9">
      <w:pPr>
        <w:suppressAutoHyphens w:val="0"/>
        <w:ind w:left="851" w:right="851" w:firstLine="709"/>
        <w:rPr>
          <w:lang w:eastAsia="es-ES"/>
        </w:rPr>
      </w:pPr>
    </w:p>
    <w:p w14:paraId="5B216AC1"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11.2.7. Plan de Acción COVID-19. Estrategia 7: Adecuación de protocolos de salud en relación con la prevención del contagio de COVID-19.</w:t>
      </w:r>
    </w:p>
    <w:p w14:paraId="2C0961BB"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EF700D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La estrategia número 7 del Plan de Acción Covid-19 denominada “Adecuación de protocolos de salud en relación con la prevención del contagio de COVID-19”, está compuesta por cinco metas estratégicas y treinta y un metas </w:t>
      </w:r>
      <w:r w:rsidRPr="00D106C9">
        <w:rPr>
          <w:lang w:eastAsia="es-ES"/>
        </w:rPr>
        <w:lastRenderedPageBreak/>
        <w:t>operativas, las cual tiene un cumplimiento para el 2021 del 100,00% (ver anexo 15).</w:t>
      </w:r>
    </w:p>
    <w:p w14:paraId="64E779D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a la Oficina de Información y Prensa, Dirección General, Unidad de Servicio de Salud para Empleados I Circuito Judicial de San José, Unidad de Salud e Higiene Ocupacional, Sección Patología Forense, Administración del Organismo de Investigación Judicial, Sección Transportes Administrativos, Sección de Mantenimiento y Construcción, Unidad de Correo Interno, Departamento de Servicios Generales, Sección de Limpieza y Jardinería y todas las Administraciones Regionales a nivel nacional las cuales realizaron las siguientes actividades para alcanzar el cumplimiento:</w:t>
      </w:r>
    </w:p>
    <w:p w14:paraId="1F3A0932"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Oficina de Información y Prensa realizó cápsulas mensuales correspondientes a los protocolos de salud en relación con el COVID-19, con esta acción se cumplió con la meta operativa </w:t>
      </w:r>
      <w:r w:rsidRPr="00D106C9">
        <w:rPr>
          <w:i/>
          <w:iCs/>
          <w:lang w:eastAsia="es-ES"/>
        </w:rPr>
        <w:t>“Que para el 30 de diciembre de 2021 se hayan elaborado y publicado por el correo interno del OIJ y por las redes sociales como WhatsApp seis cápsulas informativas para prevenir el contagio del Covid19”.</w:t>
      </w:r>
    </w:p>
    <w:p w14:paraId="107F7FB6" w14:textId="77777777" w:rsidR="00D106C9" w:rsidRPr="00D106C9" w:rsidRDefault="00D106C9" w:rsidP="00D106C9">
      <w:pPr>
        <w:suppressAutoHyphens w:val="0"/>
        <w:ind w:left="851" w:right="851" w:firstLine="709"/>
        <w:jc w:val="both"/>
        <w:rPr>
          <w:lang w:eastAsia="es-ES"/>
        </w:rPr>
      </w:pPr>
    </w:p>
    <w:p w14:paraId="0653139B"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lang w:eastAsia="es-ES"/>
        </w:rPr>
      </w:pPr>
      <w:r w:rsidRPr="00D106C9">
        <w:rPr>
          <w:lang w:eastAsia="es-ES"/>
        </w:rPr>
        <w:t>Por otro lado, la Dirección General elaboró un informe (175-SUP-2021) en donde se describen todas las acciones realizadas para que el personal policial que ejecuta funciones operativas de las medidas sanitarias antes, durante y después de cualquier operativo realizado por el personal del Organismo de Investigación Judicial evite el contagio del COVID-19, con esta actividad se cumplió la meta operativa “</w:t>
      </w:r>
      <w:r w:rsidRPr="00D106C9">
        <w:rPr>
          <w:i/>
          <w:iCs/>
          <w:lang w:eastAsia="es-ES"/>
        </w:rPr>
        <w:t>Que al 31 de diciembre de 2021, se haya revisado y actualizado la guía o protocolo de actuación sobre las medidas sanitarias antes, durante y después de cualquier función o labor operativa realizada”.</w:t>
      </w:r>
    </w:p>
    <w:p w14:paraId="3C23D469" w14:textId="77777777" w:rsidR="00D106C9" w:rsidRPr="00D106C9" w:rsidRDefault="00D106C9" w:rsidP="00D106C9">
      <w:pPr>
        <w:suppressAutoHyphens w:val="0"/>
        <w:ind w:left="851" w:right="851" w:firstLine="709"/>
        <w:rPr>
          <w:lang w:eastAsia="es-ES"/>
        </w:rPr>
      </w:pPr>
    </w:p>
    <w:p w14:paraId="45989557"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Adicionalmente, la Unidad Servicio de Salud para Empleados del I Circuito Judicial de San José revisó y actualizó los siguientes Protocolos: 1. Protocolo COVID-19 gimnasio del Circuito Judicial de San José 2. Actualización del Protocolos DGH-003 de Limpieza y desinfección 3. Actualización del Protocolo DGH-005 Protocolo de actuación ante caso confirmado, con esta actividad se cumplió con la meta operativa </w:t>
      </w:r>
      <w:r w:rsidRPr="00D106C9">
        <w:rPr>
          <w:i/>
          <w:iCs/>
          <w:lang w:eastAsia="es-ES"/>
        </w:rPr>
        <w:t>“</w:t>
      </w:r>
      <w:proofErr w:type="gramStart"/>
      <w:r w:rsidRPr="00D106C9">
        <w:rPr>
          <w:i/>
          <w:iCs/>
          <w:lang w:eastAsia="es-ES"/>
        </w:rPr>
        <w:t>Que</w:t>
      </w:r>
      <w:proofErr w:type="gramEnd"/>
      <w:r w:rsidRPr="00D106C9">
        <w:rPr>
          <w:i/>
          <w:iCs/>
          <w:lang w:eastAsia="es-ES"/>
        </w:rPr>
        <w:t xml:space="preserve"> al 31 de diciembre del 2021, se hayan actualizado y gestionado para aprobación los protocolos institucionales para proteger la salud y la vida de las personas trabajadoras y usuarias, de acuerdo con los lineamientos emitidos por el Ministerio de Salud en caso de actualización”.</w:t>
      </w:r>
    </w:p>
    <w:p w14:paraId="09A5F23E" w14:textId="77777777" w:rsidR="00D106C9" w:rsidRPr="00D106C9" w:rsidRDefault="00D106C9" w:rsidP="00D106C9">
      <w:pPr>
        <w:suppressAutoHyphens w:val="0"/>
        <w:ind w:left="851" w:right="851" w:firstLine="709"/>
        <w:rPr>
          <w:lang w:eastAsia="es-ES"/>
        </w:rPr>
      </w:pPr>
    </w:p>
    <w:p w14:paraId="3E4ADA83"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Unidad de Salud e Higiene Ocupacional, realizó la circular la circular 38-2021: Protocolo DGH-004, condiciones de trabajo por COVID-19., </w:t>
      </w:r>
      <w:r w:rsidRPr="00D106C9">
        <w:rPr>
          <w:lang w:eastAsia="es-ES"/>
        </w:rPr>
        <w:lastRenderedPageBreak/>
        <w:t xml:space="preserve">adicionalmente realizó una revisión de actualización de lineamientos emitidos por el Ministerio de Salud para efectos de determinar si corresponde una actualización a nivel de protocolos y por último se procedió con la </w:t>
      </w:r>
      <w:proofErr w:type="spellStart"/>
      <w:r w:rsidRPr="00D106C9">
        <w:rPr>
          <w:lang w:eastAsia="es-ES"/>
        </w:rPr>
        <w:t>re-certificación</w:t>
      </w:r>
      <w:proofErr w:type="spellEnd"/>
      <w:r w:rsidRPr="00D106C9">
        <w:rPr>
          <w:lang w:eastAsia="es-ES"/>
        </w:rPr>
        <w:t xml:space="preserve"> de "Sello COVID" con validez del 08/11/2021 al 08/03/2022, con estas acciones se cumplió la meta operativa </w:t>
      </w:r>
      <w:r w:rsidRPr="00D106C9">
        <w:rPr>
          <w:i/>
          <w:iCs/>
          <w:lang w:eastAsia="es-ES"/>
        </w:rPr>
        <w:t>“Que al 31 de diciembre del 2021, se hayan actualizado y gestionado para aprobación los protocolos institucionales para proteger la salud y la vida de las personas trabajadoras y usuarias, de acuerdo con los lineamientos emitidos por el Ministerio de Salud en caso de actualización”.</w:t>
      </w:r>
    </w:p>
    <w:p w14:paraId="58ADB0F3" w14:textId="77777777" w:rsidR="00D106C9" w:rsidRPr="00D106C9" w:rsidRDefault="00D106C9" w:rsidP="00D106C9">
      <w:pPr>
        <w:suppressAutoHyphens w:val="0"/>
        <w:ind w:left="851" w:right="851" w:firstLine="709"/>
        <w:rPr>
          <w:lang w:eastAsia="es-ES"/>
        </w:rPr>
      </w:pPr>
    </w:p>
    <w:p w14:paraId="1A6A408F"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Sección Patología Forense dio continuidad al protocolo de análisis de personas fallecidas, por medio de la revisión de casos que realiza la SPF; así mismo, se mantienen los controles y acciones tendientes al manejo adecuado de casos COVID, se adjunta reporte de casos realizado al tercer trimestre 2021, con esta acción se cumplió la meta operativa </w:t>
      </w:r>
      <w:r w:rsidRPr="00D106C9">
        <w:rPr>
          <w:i/>
          <w:iCs/>
          <w:lang w:eastAsia="es-ES"/>
        </w:rPr>
        <w:t>“</w:t>
      </w:r>
      <w:proofErr w:type="gramStart"/>
      <w:r w:rsidRPr="00D106C9">
        <w:rPr>
          <w:i/>
          <w:iCs/>
          <w:lang w:eastAsia="es-ES"/>
        </w:rPr>
        <w:t>Que</w:t>
      </w:r>
      <w:proofErr w:type="gramEnd"/>
      <w:r w:rsidRPr="00D106C9">
        <w:rPr>
          <w:i/>
          <w:iCs/>
          <w:lang w:eastAsia="es-ES"/>
        </w:rPr>
        <w:t xml:space="preserve"> al 31 de diciembre de 2021, se haya elaborado al menos tres revisiones de los casos atendidos bajo el protocolo de atención vigente.”</w:t>
      </w:r>
    </w:p>
    <w:p w14:paraId="793B5F19" w14:textId="77777777" w:rsidR="00D106C9" w:rsidRPr="00D106C9" w:rsidRDefault="00D106C9" w:rsidP="00D106C9">
      <w:pPr>
        <w:suppressAutoHyphens w:val="0"/>
        <w:ind w:left="851" w:right="851" w:firstLine="709"/>
        <w:rPr>
          <w:lang w:eastAsia="es-ES"/>
        </w:rPr>
      </w:pPr>
    </w:p>
    <w:p w14:paraId="75BC4847"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lang w:eastAsia="es-ES"/>
        </w:rPr>
      </w:pPr>
      <w:r w:rsidRPr="00D106C9">
        <w:rPr>
          <w:lang w:eastAsia="es-ES"/>
        </w:rPr>
        <w:t xml:space="preserve">Administración del Organismo de Investigación Judicial, entregó equipo básico de protección, para evitar el contagio del personal de contraer el virus del COVID-19, con esta acción se cumplió la meta operativa </w:t>
      </w:r>
      <w:r w:rsidRPr="00D106C9">
        <w:rPr>
          <w:i/>
          <w:iCs/>
          <w:lang w:eastAsia="es-ES"/>
        </w:rPr>
        <w:t>“</w:t>
      </w:r>
      <w:proofErr w:type="gramStart"/>
      <w:r w:rsidRPr="00D106C9">
        <w:rPr>
          <w:i/>
          <w:iCs/>
          <w:lang w:eastAsia="es-ES"/>
        </w:rPr>
        <w:t>Que</w:t>
      </w:r>
      <w:proofErr w:type="gramEnd"/>
      <w:r w:rsidRPr="00D106C9">
        <w:rPr>
          <w:i/>
          <w:iCs/>
          <w:lang w:eastAsia="es-ES"/>
        </w:rPr>
        <w:t xml:space="preserve"> al 31 de diciembre de 2021, se haya hecho el cien por ciento de las entregas periódicas de suministros de protección contra el COVID19 en todo el país”.</w:t>
      </w:r>
    </w:p>
    <w:p w14:paraId="532DB1EB" w14:textId="77777777" w:rsidR="00D106C9" w:rsidRPr="00D106C9" w:rsidRDefault="00D106C9" w:rsidP="00D106C9">
      <w:pPr>
        <w:suppressAutoHyphens w:val="0"/>
        <w:ind w:left="851" w:right="851" w:firstLine="709"/>
        <w:rPr>
          <w:lang w:eastAsia="es-ES"/>
        </w:rPr>
      </w:pPr>
    </w:p>
    <w:p w14:paraId="1B0F7464"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Es importante indicar que la Sección Transportes Administrativos elaboró un protocolo con el objetivo de garantizar el transporte seguro de las y los servidores judiciales que requieran hacer uso del Servicio de la Sección de Transportes Administrativos y Magistrados, con el fin de disminuir la posibilidad de contagio de Covid-19, con esta acción se cumplió la meta operativa </w:t>
      </w:r>
      <w:r w:rsidRPr="00D106C9">
        <w:rPr>
          <w:i/>
          <w:iCs/>
          <w:lang w:eastAsia="es-ES"/>
        </w:rPr>
        <w:t>“Que al 31 de diciembre 2021 se hayan definido el plan de trabajo para la ejecución protocolos de limpieza para el uso de los vehículos institucionales durante las situaciones riesgo o emergencia que se presenten en el periodo.”</w:t>
      </w:r>
    </w:p>
    <w:p w14:paraId="3AF0E902" w14:textId="77777777" w:rsidR="00D106C9" w:rsidRPr="00D106C9" w:rsidRDefault="00D106C9" w:rsidP="00D106C9">
      <w:pPr>
        <w:suppressAutoHyphens w:val="0"/>
        <w:ind w:left="851" w:right="851" w:firstLine="709"/>
        <w:rPr>
          <w:lang w:eastAsia="es-ES"/>
        </w:rPr>
      </w:pPr>
    </w:p>
    <w:p w14:paraId="4727D2E9"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Sección de Mantenimiento y Construcción, indicó que no se presentaron casos que impidieran la atención de boletas, así mismo se realizó la circular 146-MC-2021, donde se le comunico a los compañeros la importancia de reportar y dar seguimiento a los casos que se presentaran, con esta actividad se cumplió con la meta operativa </w:t>
      </w:r>
      <w:r w:rsidRPr="00D106C9">
        <w:rPr>
          <w:i/>
          <w:iCs/>
          <w:lang w:eastAsia="es-ES"/>
        </w:rPr>
        <w:t xml:space="preserve">“Que al 31 de diciembre 2021 se hayan dado seguimiento al cien por ciento de las ordenes de trabajo que no se atendieron por motivo de cierre de oficinas, limpieza u orden sanitaria causadas por el </w:t>
      </w:r>
      <w:r w:rsidRPr="00D106C9">
        <w:rPr>
          <w:i/>
          <w:iCs/>
          <w:lang w:eastAsia="es-ES"/>
        </w:rPr>
        <w:lastRenderedPageBreak/>
        <w:t>COVID19.”</w:t>
      </w:r>
    </w:p>
    <w:p w14:paraId="5DD2FEAC"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Así mismo, la Unidad de Correo Interno realizó la implementación de protocolos para las visitas de choferes a la Unidad de Correo Interno, con la colaboración tanto de la Jefatura del Departamento de Servicios Generales, como del Departamento de Proveeduría, así como del departamento de Artes Gráficas, que nos suministraron alcohol, alfombras, guantes, toallas, el medidor de temperatura, los comunicados y recordatorios que se encuentran en la recepción de la Unidad de Correo Interno. Con estas acciones se cumplió con la meta operativa </w:t>
      </w:r>
      <w:r w:rsidRPr="00D106C9">
        <w:rPr>
          <w:i/>
          <w:iCs/>
          <w:lang w:eastAsia="es-ES"/>
        </w:rPr>
        <w:t>“Que al 31 de diciembre 2021 se haya ejecutado el plan de trabajo para la definición e implementación de los protocolos para choferes que visitan la Unidad de Correo Interno.”</w:t>
      </w:r>
    </w:p>
    <w:p w14:paraId="0280F803" w14:textId="77777777" w:rsidR="00D106C9" w:rsidRPr="00D106C9" w:rsidRDefault="00D106C9" w:rsidP="00D106C9">
      <w:pPr>
        <w:suppressAutoHyphens w:val="0"/>
        <w:ind w:left="851" w:right="851" w:firstLine="709"/>
        <w:rPr>
          <w:lang w:eastAsia="es-ES"/>
        </w:rPr>
      </w:pPr>
    </w:p>
    <w:p w14:paraId="28B7314E"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Por otro lado, el Departamento de Servicios Generales logró aplicar el protocolo en todas las oficinas que tenían un caso sospecho o confirmado de Covid-19, permitiendo que se mantuviera la atención de los usuarios una vez que se realizó la limpieza requerida, con esta acción se cumplió la meta operativa </w:t>
      </w:r>
      <w:r w:rsidRPr="00D106C9">
        <w:rPr>
          <w:i/>
          <w:iCs/>
          <w:lang w:eastAsia="es-ES"/>
        </w:rPr>
        <w:t>“Que al 31 de diciembre 2021 se haya definido un plan de trabajo para la implementación  de los protocolos de limpieza establecidos, durante las situaciones riesgo o emergencia que se presenten en el periodo.”</w:t>
      </w:r>
    </w:p>
    <w:p w14:paraId="16EB493E" w14:textId="77777777" w:rsidR="00D106C9" w:rsidRPr="00D106C9" w:rsidRDefault="00D106C9" w:rsidP="00D106C9">
      <w:pPr>
        <w:suppressAutoHyphens w:val="0"/>
        <w:ind w:left="851" w:right="851" w:firstLine="709"/>
        <w:rPr>
          <w:lang w:eastAsia="es-ES"/>
        </w:rPr>
      </w:pPr>
    </w:p>
    <w:p w14:paraId="5B659A13"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Adicionalmente, la Sección de Limpieza y Jardinería realizó el seguimiento del protocolo para aplicación en el Poder Judicial, en concordancia con los procesos de desinfección y limpieza en las instalaciones judiciales, con esta acción se cumplió la meta operativa </w:t>
      </w:r>
      <w:r w:rsidRPr="00D106C9">
        <w:rPr>
          <w:i/>
          <w:iCs/>
          <w:lang w:eastAsia="es-ES"/>
        </w:rPr>
        <w:t>“Que al 31 de diciembre 2021 se haya definido un plan de trabajo para la implementación de los protocolos de limpieza establecidos, durante las situaciones riesgo o emergencia que se presenten en el periodo”.</w:t>
      </w:r>
    </w:p>
    <w:p w14:paraId="63D4C0D6" w14:textId="77777777" w:rsidR="00D106C9" w:rsidRPr="00D106C9" w:rsidRDefault="00D106C9" w:rsidP="00D106C9">
      <w:pPr>
        <w:suppressAutoHyphens w:val="0"/>
        <w:ind w:left="851" w:right="851" w:firstLine="709"/>
        <w:rPr>
          <w:lang w:eastAsia="es-ES"/>
        </w:rPr>
      </w:pPr>
    </w:p>
    <w:p w14:paraId="73F6CE32" w14:textId="77777777" w:rsidR="00D106C9" w:rsidRPr="00D106C9" w:rsidRDefault="00D106C9" w:rsidP="003B2E9B">
      <w:pPr>
        <w:widowControl w:val="0"/>
        <w:numPr>
          <w:ilvl w:val="0"/>
          <w:numId w:val="66"/>
        </w:numPr>
        <w:suppressAutoHyphens w:val="0"/>
        <w:autoSpaceDE w:val="0"/>
        <w:autoSpaceDN w:val="0"/>
        <w:adjustRightInd w:val="0"/>
        <w:ind w:left="851" w:right="851" w:firstLine="709"/>
        <w:contextualSpacing/>
        <w:jc w:val="both"/>
        <w:rPr>
          <w:i/>
          <w:iCs/>
          <w:lang w:eastAsia="es-ES"/>
        </w:rPr>
      </w:pPr>
      <w:r w:rsidRPr="00D106C9">
        <w:rPr>
          <w:lang w:eastAsia="es-ES"/>
        </w:rPr>
        <w:t xml:space="preserve">Finalmente, las Administraciones Regionales realizaron un seguimiento a la ejecución de los protocolos de limpieza establecidos por la institución ante posibles situaciones de riesgo o emergencia que se presenten, con estas acciones se cumplió con la meta operativa </w:t>
      </w:r>
      <w:r w:rsidRPr="00D106C9">
        <w:rPr>
          <w:i/>
          <w:iCs/>
          <w:lang w:eastAsia="es-ES"/>
        </w:rPr>
        <w:t>“Que al 31 de diciembre 2021 se haya definido un plan de trabajo para la implementación de los protocolos de limpieza establecidos, durante las situaciones riesgo o emergencia que se presenten en el periodo.”</w:t>
      </w:r>
    </w:p>
    <w:p w14:paraId="5E51490D" w14:textId="77777777" w:rsidR="00D106C9" w:rsidRPr="00D106C9" w:rsidRDefault="00D106C9" w:rsidP="00D106C9">
      <w:pPr>
        <w:suppressAutoHyphens w:val="0"/>
        <w:ind w:left="851" w:right="851" w:firstLine="709"/>
        <w:rPr>
          <w:lang w:eastAsia="es-ES"/>
        </w:rPr>
      </w:pPr>
    </w:p>
    <w:p w14:paraId="6F6C5F59"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11.2.8. Plan de Acción COVID-19. Estrategia 8: Revisión del presupuesto 2020 para su ejecución, la formulación del presupuesto 2021 y programación del presupuesto 2022.</w:t>
      </w:r>
    </w:p>
    <w:p w14:paraId="2B92BB3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72402F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lastRenderedPageBreak/>
        <w:t>La estrategia número 8 del Plan de Acción Covid-19 denominada “Revisión del presupuesto 2020 para su ejecución, la formulación del presupuesto 2021 y programación del presupuesto 2022”, está compuesta por dos metas estratégicas y once metas operativas, las cuales tienen un cumplimiento para el 2021 del 100% (</w:t>
      </w:r>
      <w:r w:rsidRPr="00D106C9">
        <w:rPr>
          <w:b/>
          <w:bCs/>
          <w:lang w:eastAsia="es-ES"/>
        </w:rPr>
        <w:t>ver anexo 17</w:t>
      </w:r>
      <w:r w:rsidRPr="00D106C9">
        <w:rPr>
          <w:lang w:eastAsia="es-ES"/>
        </w:rPr>
        <w:t>).</w:t>
      </w:r>
    </w:p>
    <w:p w14:paraId="7B92B876"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responsables operativos al Departamento Financiero, Subproceso Formulación de Presupuesto y Portafolio de Proyectos Institucionales y la Jefatura de la Defensa Pública las cuales realizaron las siguientes actividades para alcanzar el cumplimiento citado:</w:t>
      </w:r>
    </w:p>
    <w:p w14:paraId="46BB74F0" w14:textId="77777777" w:rsidR="00D106C9" w:rsidRPr="00D106C9" w:rsidRDefault="00D106C9" w:rsidP="003B2E9B">
      <w:pPr>
        <w:widowControl w:val="0"/>
        <w:numPr>
          <w:ilvl w:val="0"/>
          <w:numId w:val="68"/>
        </w:numPr>
        <w:suppressAutoHyphens w:val="0"/>
        <w:autoSpaceDE w:val="0"/>
        <w:autoSpaceDN w:val="0"/>
        <w:adjustRightInd w:val="0"/>
        <w:ind w:left="851" w:right="851" w:firstLine="709"/>
        <w:contextualSpacing/>
        <w:jc w:val="both"/>
        <w:rPr>
          <w:i/>
          <w:iCs/>
          <w:lang w:eastAsia="es-ES"/>
        </w:rPr>
      </w:pPr>
      <w:r w:rsidRPr="00D106C9">
        <w:rPr>
          <w:lang w:eastAsia="es-ES"/>
        </w:rPr>
        <w:t xml:space="preserve">El Departamento Financiero Contable realizó el oficio 2091-DE-2021 de fecha 28 de junio de 2021, donde informó al Consejo Superior la necesidad de recursos para el Fondo de Emergencias, siendo que, en la Modificación Externa número 06 se incorporó recursos para dar contendido a dicho Fondo, con esta acción se cumplió la meta operativa </w:t>
      </w:r>
      <w:r w:rsidRPr="00D106C9">
        <w:rPr>
          <w:i/>
          <w:iCs/>
          <w:lang w:eastAsia="es-ES"/>
        </w:rPr>
        <w:t>“Que al 31 de setiembre de 2021, se haya informado al Consejo Superior  la necesidad de incorporar recursos para cubrir el faltante en el Fondo de Emergencias para  y ajustarlo al porcentaje establecido en la ley.”</w:t>
      </w:r>
    </w:p>
    <w:p w14:paraId="2081EE96" w14:textId="77777777" w:rsidR="00D106C9" w:rsidRPr="00D106C9" w:rsidRDefault="00D106C9" w:rsidP="00D106C9">
      <w:pPr>
        <w:suppressAutoHyphens w:val="0"/>
        <w:ind w:left="851" w:right="851" w:firstLine="709"/>
        <w:jc w:val="both"/>
        <w:rPr>
          <w:lang w:eastAsia="es-ES"/>
        </w:rPr>
      </w:pPr>
    </w:p>
    <w:p w14:paraId="33AAAA57" w14:textId="77777777" w:rsidR="00D106C9" w:rsidRPr="00D106C9" w:rsidRDefault="00D106C9" w:rsidP="003B2E9B">
      <w:pPr>
        <w:widowControl w:val="0"/>
        <w:numPr>
          <w:ilvl w:val="0"/>
          <w:numId w:val="68"/>
        </w:numPr>
        <w:suppressAutoHyphens w:val="0"/>
        <w:autoSpaceDE w:val="0"/>
        <w:autoSpaceDN w:val="0"/>
        <w:adjustRightInd w:val="0"/>
        <w:ind w:left="851" w:right="851" w:firstLine="709"/>
        <w:contextualSpacing/>
        <w:jc w:val="both"/>
        <w:rPr>
          <w:lang w:eastAsia="es-ES"/>
        </w:rPr>
      </w:pPr>
      <w:r w:rsidRPr="00D106C9">
        <w:rPr>
          <w:lang w:eastAsia="es-ES"/>
        </w:rPr>
        <w:t xml:space="preserve">Por otro lado, el Subproceso Formulación de Presupuesto y Portafolio de Proyectos Institucionales fortaleció la Planificación Institucional mediante la coordinación del proceso de elaboración del anteproyecto de presupuesto para brindar recursos presupuestarios para el 2022 en atención de la pandemia, </w:t>
      </w:r>
    </w:p>
    <w:p w14:paraId="355587C6" w14:textId="77777777" w:rsidR="00D106C9" w:rsidRPr="00D106C9" w:rsidRDefault="00D106C9" w:rsidP="003B2E9B">
      <w:pPr>
        <w:widowControl w:val="0"/>
        <w:numPr>
          <w:ilvl w:val="0"/>
          <w:numId w:val="68"/>
        </w:numPr>
        <w:suppressAutoHyphens w:val="0"/>
        <w:autoSpaceDE w:val="0"/>
        <w:autoSpaceDN w:val="0"/>
        <w:adjustRightInd w:val="0"/>
        <w:ind w:left="851" w:right="851" w:firstLine="709"/>
        <w:contextualSpacing/>
        <w:jc w:val="both"/>
        <w:rPr>
          <w:i/>
          <w:iCs/>
          <w:lang w:eastAsia="es-ES"/>
        </w:rPr>
      </w:pPr>
      <w:r w:rsidRPr="00D106C9">
        <w:rPr>
          <w:lang w:eastAsia="es-ES"/>
        </w:rPr>
        <w:t xml:space="preserve">Finalmente, la Jefatura de la Defensa Pública indicó que se realizaron 5 revisiones con el propósito de ajustar el presupuesto para cubrir necesidades prioritarias, con estas acciones se cumplió la meta operativa </w:t>
      </w:r>
      <w:r w:rsidRPr="00D106C9">
        <w:rPr>
          <w:i/>
          <w:iCs/>
          <w:lang w:eastAsia="es-ES"/>
        </w:rPr>
        <w:t>“</w:t>
      </w:r>
      <w:proofErr w:type="gramStart"/>
      <w:r w:rsidRPr="00D106C9">
        <w:rPr>
          <w:i/>
          <w:iCs/>
          <w:lang w:eastAsia="es-ES"/>
        </w:rPr>
        <w:t>Que</w:t>
      </w:r>
      <w:proofErr w:type="gramEnd"/>
      <w:r w:rsidRPr="00D106C9">
        <w:rPr>
          <w:i/>
          <w:iCs/>
          <w:lang w:eastAsia="es-ES"/>
        </w:rPr>
        <w:t xml:space="preserve"> al 31 de diciembre de 2021, se haya realizado 3 revisiones de las subpartidas presupuestarias y sus respectivos ajustes.”</w:t>
      </w:r>
    </w:p>
    <w:p w14:paraId="2D468B4D" w14:textId="77777777" w:rsidR="00D106C9" w:rsidRPr="00D106C9" w:rsidRDefault="00D106C9" w:rsidP="00D106C9">
      <w:pPr>
        <w:suppressAutoHyphens w:val="0"/>
        <w:ind w:left="851" w:right="851" w:firstLine="709"/>
        <w:rPr>
          <w:lang w:eastAsia="es-ES"/>
        </w:rPr>
      </w:pPr>
    </w:p>
    <w:p w14:paraId="065AD0AF"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11.2.9. Plan de Acción COVID-19. Estrategia 9: Ampliación de los servicios de la Línea 800.</w:t>
      </w:r>
    </w:p>
    <w:p w14:paraId="65047687"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74418A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9 del Plan de Acción Covid-19 denominada “Ampliación de los servicios de la Línea 800”, está compuesta por una meta estratégica y una meta operativa, la cual tiene un cumplimiento para el 2021 del 100% (</w:t>
      </w:r>
      <w:r w:rsidRPr="00D106C9">
        <w:rPr>
          <w:b/>
          <w:bCs/>
          <w:lang w:eastAsia="es-ES"/>
        </w:rPr>
        <w:t>ver anexo 18</w:t>
      </w:r>
      <w:r w:rsidRPr="00D106C9">
        <w:rPr>
          <w:lang w:eastAsia="es-ES"/>
        </w:rPr>
        <w:t>).</w:t>
      </w:r>
    </w:p>
    <w:p w14:paraId="0A72589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operativo a la Contraloría de Servicios (Sede Central) la cual realizó la siguiente actividad para alcanzar el cumplimiento citado:</w:t>
      </w:r>
    </w:p>
    <w:p w14:paraId="5FBD935D" w14:textId="77777777" w:rsidR="00D106C9" w:rsidRPr="00D106C9" w:rsidRDefault="00D106C9" w:rsidP="003B2E9B">
      <w:pPr>
        <w:widowControl w:val="0"/>
        <w:numPr>
          <w:ilvl w:val="0"/>
          <w:numId w:val="69"/>
        </w:numPr>
        <w:suppressAutoHyphens w:val="0"/>
        <w:autoSpaceDE w:val="0"/>
        <w:autoSpaceDN w:val="0"/>
        <w:adjustRightInd w:val="0"/>
        <w:ind w:left="851" w:right="851" w:firstLine="709"/>
        <w:contextualSpacing/>
        <w:jc w:val="both"/>
        <w:rPr>
          <w:lang w:eastAsia="es-ES"/>
        </w:rPr>
      </w:pPr>
      <w:r w:rsidRPr="00D106C9">
        <w:rPr>
          <w:lang w:eastAsia="es-ES"/>
        </w:rPr>
        <w:t xml:space="preserve">La Contraloría de Servicios indicó que se cuenta con un </w:t>
      </w:r>
      <w:proofErr w:type="spellStart"/>
      <w:r w:rsidRPr="00D106C9">
        <w:rPr>
          <w:lang w:eastAsia="es-ES"/>
        </w:rPr>
        <w:t>Power</w:t>
      </w:r>
      <w:proofErr w:type="spellEnd"/>
      <w:r w:rsidRPr="00D106C9">
        <w:rPr>
          <w:lang w:eastAsia="es-ES"/>
        </w:rPr>
        <w:t xml:space="preserve"> Bi </w:t>
      </w:r>
      <w:r w:rsidRPr="00D106C9">
        <w:rPr>
          <w:lang w:eastAsia="es-ES"/>
        </w:rPr>
        <w:lastRenderedPageBreak/>
        <w:t xml:space="preserve">que permite determinar el tipo de consultas que son atendidas desde la línea 800-8003000, con esta actividad se cumplió la meta operativa </w:t>
      </w:r>
      <w:r w:rsidRPr="00D106C9">
        <w:rPr>
          <w:i/>
          <w:iCs/>
          <w:lang w:eastAsia="es-ES"/>
        </w:rPr>
        <w:t>“</w:t>
      </w:r>
      <w:proofErr w:type="gramStart"/>
      <w:r w:rsidRPr="00D106C9">
        <w:rPr>
          <w:i/>
          <w:iCs/>
          <w:lang w:eastAsia="es-ES"/>
        </w:rPr>
        <w:t>Que</w:t>
      </w:r>
      <w:proofErr w:type="gramEnd"/>
      <w:r w:rsidRPr="00D106C9">
        <w:rPr>
          <w:i/>
          <w:iCs/>
          <w:lang w:eastAsia="es-ES"/>
        </w:rPr>
        <w:t xml:space="preserve"> al 31 de diciembre de 2021, se haya implementado un sistema para el registro y categorización de las consultas atendidas por la línea gratuita 8008003000 orientadas a la prestación de los servicios durante la emergencia por COVID 19.”</w:t>
      </w:r>
    </w:p>
    <w:p w14:paraId="06CB2FF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BFB5CF6"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11.2.10. Plan de Acción COVID-19. Estrategia 11: Potenciar la comunicación de los servicios virtuales disponibles a la ciudadanía.</w:t>
      </w:r>
    </w:p>
    <w:p w14:paraId="352A217C"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2C535CE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11 del Plan de Acción Covid-19 denominada “Potenciar la comunicación de los servicios virtuales disponibles a la ciudadanía”, está compuesta por tres metas estratégicas y cuatro metas operativas, la cual tiene un cumplimiento para el 2021 del 100% (</w:t>
      </w:r>
      <w:r w:rsidRPr="00D106C9">
        <w:rPr>
          <w:b/>
          <w:bCs/>
          <w:lang w:eastAsia="es-ES"/>
        </w:rPr>
        <w:t>ver anexo 19</w:t>
      </w:r>
      <w:r w:rsidRPr="00D106C9">
        <w:rPr>
          <w:lang w:eastAsia="es-ES"/>
        </w:rPr>
        <w:t>).</w:t>
      </w:r>
    </w:p>
    <w:p w14:paraId="151FCF0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responsables operativos a la Unidad de Inspección Fiscal, el Departamento de Prensa y Comunicación, Contraloría de Servicios (Sede Central) y a la Jefatura de la Defensa Pública, los cuales realizaron las siguientes actividades para alcanzar el cumplimiento citado:</w:t>
      </w:r>
    </w:p>
    <w:p w14:paraId="00551EFA" w14:textId="77777777" w:rsidR="00D106C9" w:rsidRPr="00D106C9" w:rsidRDefault="00D106C9" w:rsidP="003B2E9B">
      <w:pPr>
        <w:widowControl w:val="0"/>
        <w:numPr>
          <w:ilvl w:val="0"/>
          <w:numId w:val="69"/>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Unidad de Inspección Fiscal realizó una mejora a la página web de la Inspección Fiscal, para la presentación de las denuncias o quejas, por medio de los canales digitales (página web), con esta acción se cumplió la meta operativa </w:t>
      </w:r>
      <w:r w:rsidRPr="00D106C9">
        <w:rPr>
          <w:i/>
          <w:iCs/>
          <w:lang w:eastAsia="es-ES"/>
        </w:rPr>
        <w:t>“Que al 31 de diciembre del 2021 se cuente con instrumentos e información oportuna para la presentación de quejas por medios digitales.”</w:t>
      </w:r>
    </w:p>
    <w:p w14:paraId="5C92067B" w14:textId="77777777" w:rsidR="00D106C9" w:rsidRPr="00D106C9" w:rsidRDefault="00D106C9" w:rsidP="00D106C9">
      <w:pPr>
        <w:suppressAutoHyphens w:val="0"/>
        <w:ind w:left="851" w:right="851" w:firstLine="709"/>
        <w:jc w:val="both"/>
        <w:rPr>
          <w:lang w:eastAsia="es-ES"/>
        </w:rPr>
      </w:pPr>
    </w:p>
    <w:p w14:paraId="690F7639" w14:textId="77777777" w:rsidR="00D106C9" w:rsidRPr="00D106C9" w:rsidRDefault="00D106C9" w:rsidP="003B2E9B">
      <w:pPr>
        <w:widowControl w:val="0"/>
        <w:numPr>
          <w:ilvl w:val="0"/>
          <w:numId w:val="69"/>
        </w:numPr>
        <w:suppressAutoHyphens w:val="0"/>
        <w:autoSpaceDE w:val="0"/>
        <w:autoSpaceDN w:val="0"/>
        <w:adjustRightInd w:val="0"/>
        <w:ind w:left="851" w:right="851" w:firstLine="709"/>
        <w:contextualSpacing/>
        <w:jc w:val="both"/>
        <w:rPr>
          <w:i/>
          <w:iCs/>
          <w:lang w:eastAsia="es-ES"/>
        </w:rPr>
      </w:pPr>
      <w:r w:rsidRPr="00D106C9">
        <w:rPr>
          <w:lang w:eastAsia="es-ES"/>
        </w:rPr>
        <w:t xml:space="preserve">Por otro lado, el Departamento de Prensa y Comunicación divulgó todos los acuerdos sobre el Covid-19 y se hicieron todas las campañas solicitadas por Corte Plena, Consejo Superior, Comisión de Emergencias y demás instancias relacionadas con el Covid-19, adicionalmente, se trabajaron múltiples campañas para prevención, tanto de medidas de seguridad, como para el proceso de vacunación del personal, con estas actividades se cumplió con la meta operativa </w:t>
      </w:r>
      <w:r w:rsidRPr="00D106C9">
        <w:rPr>
          <w:i/>
          <w:iCs/>
          <w:lang w:eastAsia="es-ES"/>
        </w:rPr>
        <w:t>“Que al finalizar el 2021 se haya cumplido con el plan de medios y cronograma que se definió para la implementación de la estrategia de comunicación Campaña de institucionalidad del Poder Judicial. Se puntúan las actividades operativas”.</w:t>
      </w:r>
    </w:p>
    <w:p w14:paraId="11375342" w14:textId="77777777" w:rsidR="00D106C9" w:rsidRPr="00D106C9" w:rsidRDefault="00D106C9" w:rsidP="00D106C9">
      <w:pPr>
        <w:suppressAutoHyphens w:val="0"/>
        <w:ind w:left="851" w:right="851" w:firstLine="709"/>
        <w:rPr>
          <w:lang w:eastAsia="es-ES"/>
        </w:rPr>
      </w:pPr>
    </w:p>
    <w:p w14:paraId="1281C9B2" w14:textId="77777777" w:rsidR="00D106C9" w:rsidRPr="00D106C9" w:rsidRDefault="00D106C9" w:rsidP="003B2E9B">
      <w:pPr>
        <w:widowControl w:val="0"/>
        <w:numPr>
          <w:ilvl w:val="0"/>
          <w:numId w:val="69"/>
        </w:numPr>
        <w:suppressAutoHyphens w:val="0"/>
        <w:autoSpaceDE w:val="0"/>
        <w:autoSpaceDN w:val="0"/>
        <w:adjustRightInd w:val="0"/>
        <w:ind w:left="851" w:right="851" w:firstLine="709"/>
        <w:contextualSpacing/>
        <w:jc w:val="both"/>
        <w:rPr>
          <w:i/>
          <w:iCs/>
          <w:lang w:eastAsia="es-ES"/>
        </w:rPr>
      </w:pPr>
      <w:r w:rsidRPr="00D106C9">
        <w:rPr>
          <w:lang w:eastAsia="es-ES"/>
        </w:rPr>
        <w:t xml:space="preserve">Así mismo, la Contraloría de Servicios (Sede Central) coordinó con la Defensa Pública una campaña orientada a promover la realización de audiencias virtuales, así como los beneficios que conlleva realizarlas de esa forma; adicionalmente, se gestionó la impresión de los materiales, con estas acciones se cumplió la meta operativa </w:t>
      </w:r>
      <w:r w:rsidRPr="00D106C9">
        <w:rPr>
          <w:i/>
          <w:iCs/>
          <w:lang w:eastAsia="es-ES"/>
        </w:rPr>
        <w:t xml:space="preserve">“Que al 31 de diciembre del año 2021 la </w:t>
      </w:r>
      <w:r w:rsidRPr="00D106C9">
        <w:rPr>
          <w:i/>
          <w:iCs/>
          <w:lang w:eastAsia="es-ES"/>
        </w:rPr>
        <w:lastRenderedPageBreak/>
        <w:t>Contraloría de Servicios haya creado material informativo que permita brindar mayor publicidad de la  realización de audiencias virtuales en el Poder Judicial a nivel nacional.”</w:t>
      </w:r>
    </w:p>
    <w:p w14:paraId="1823666B" w14:textId="77777777" w:rsidR="00D106C9" w:rsidRPr="00D106C9" w:rsidRDefault="00D106C9" w:rsidP="00D106C9">
      <w:pPr>
        <w:suppressAutoHyphens w:val="0"/>
        <w:ind w:left="851" w:right="851" w:firstLine="709"/>
        <w:rPr>
          <w:lang w:eastAsia="es-ES"/>
        </w:rPr>
      </w:pPr>
    </w:p>
    <w:p w14:paraId="211CC58E" w14:textId="77777777" w:rsidR="00D106C9" w:rsidRPr="00D106C9" w:rsidRDefault="00D106C9" w:rsidP="003B2E9B">
      <w:pPr>
        <w:widowControl w:val="0"/>
        <w:numPr>
          <w:ilvl w:val="0"/>
          <w:numId w:val="69"/>
        </w:numPr>
        <w:suppressAutoHyphens w:val="0"/>
        <w:autoSpaceDE w:val="0"/>
        <w:autoSpaceDN w:val="0"/>
        <w:adjustRightInd w:val="0"/>
        <w:ind w:left="851" w:right="851" w:firstLine="709"/>
        <w:contextualSpacing/>
        <w:jc w:val="both"/>
        <w:rPr>
          <w:i/>
          <w:iCs/>
          <w:lang w:eastAsia="es-ES"/>
        </w:rPr>
      </w:pPr>
      <w:r w:rsidRPr="00D106C9">
        <w:rPr>
          <w:lang w:eastAsia="es-ES"/>
        </w:rPr>
        <w:t xml:space="preserve">Finalmente, La Jefatura de la Defensa Pública indicó que la campaña de comunicación para dar a conocer los servicios virtuales que ofrece la Defensa Pública en sus distintas sedes se diseñó y se publicó por distintos medios, con esta acción se cumplió con la meta operativa </w:t>
      </w:r>
      <w:r w:rsidRPr="00D106C9">
        <w:rPr>
          <w:i/>
          <w:iCs/>
          <w:lang w:eastAsia="es-ES"/>
        </w:rPr>
        <w:t>“</w:t>
      </w:r>
      <w:proofErr w:type="gramStart"/>
      <w:r w:rsidRPr="00D106C9">
        <w:rPr>
          <w:i/>
          <w:iCs/>
          <w:lang w:eastAsia="es-ES"/>
        </w:rPr>
        <w:t>Que</w:t>
      </w:r>
      <w:proofErr w:type="gramEnd"/>
      <w:r w:rsidRPr="00D106C9">
        <w:rPr>
          <w:i/>
          <w:iCs/>
          <w:lang w:eastAsia="es-ES"/>
        </w:rPr>
        <w:t xml:space="preserve"> al 31 de diciembre de 2021, se haya diseñado y publicado una campaña de comunicación para dar a conocer los servicios virtuales que ofrece la Defensa Pública en sus distintas sedes.”</w:t>
      </w:r>
    </w:p>
    <w:p w14:paraId="67D39247" w14:textId="77777777" w:rsidR="00D106C9" w:rsidRPr="00D106C9" w:rsidRDefault="00D106C9" w:rsidP="00D106C9">
      <w:pPr>
        <w:suppressAutoHyphens w:val="0"/>
        <w:ind w:left="851" w:right="851" w:firstLine="709"/>
        <w:rPr>
          <w:lang w:eastAsia="es-ES"/>
        </w:rPr>
      </w:pPr>
    </w:p>
    <w:p w14:paraId="3A9FA8C0"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11.2.11. Plan de Acción COVID-19. Estrategia 12: Propuesta reincorporación progresiva de personal vulnerable.</w:t>
      </w:r>
    </w:p>
    <w:p w14:paraId="1A19AA5D"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65A978B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12 del Plan de Acción Covid-19 denominada “Propuesta reincorporación progresiva de personal vulnerable”, está compuesta por una meta estratégica y veinte metas operativas, la cual tiene un cumplimiento para el 2021 del 100% (</w:t>
      </w:r>
      <w:r w:rsidRPr="00D106C9">
        <w:rPr>
          <w:b/>
          <w:bCs/>
          <w:lang w:eastAsia="es-ES"/>
        </w:rPr>
        <w:t>ver anexo 20</w:t>
      </w:r>
      <w:r w:rsidRPr="00D106C9">
        <w:rPr>
          <w:lang w:eastAsia="es-ES"/>
        </w:rPr>
        <w:t>).</w:t>
      </w:r>
    </w:p>
    <w:p w14:paraId="3189EB6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responsables operativos a las Administraciones Regionales a nivel nacional, los cuales realizaron las siguientes actividades para alcanzar el cumplimiento citado:</w:t>
      </w:r>
    </w:p>
    <w:p w14:paraId="1318110E" w14:textId="77777777" w:rsidR="00D106C9" w:rsidRPr="00D106C9" w:rsidRDefault="00D106C9" w:rsidP="003B2E9B">
      <w:pPr>
        <w:widowControl w:val="0"/>
        <w:numPr>
          <w:ilvl w:val="0"/>
          <w:numId w:val="70"/>
        </w:numPr>
        <w:suppressAutoHyphens w:val="0"/>
        <w:autoSpaceDE w:val="0"/>
        <w:autoSpaceDN w:val="0"/>
        <w:adjustRightInd w:val="0"/>
        <w:ind w:left="851" w:right="851" w:firstLine="709"/>
        <w:contextualSpacing/>
        <w:jc w:val="both"/>
        <w:rPr>
          <w:i/>
          <w:iCs/>
          <w:lang w:eastAsia="es-ES"/>
        </w:rPr>
      </w:pPr>
      <w:r w:rsidRPr="00D106C9">
        <w:rPr>
          <w:lang w:eastAsia="es-ES"/>
        </w:rPr>
        <w:t xml:space="preserve">Las Administraciones Regionales realizaron visitas periódicas a los despachos judiciales con el fin de valorar las condiciones de las personas funcionarias y detectar oportunidades de mejora para fortalecer los protocolos de seguridad por COVID-19, con esta acción se cumplió la meta operativa </w:t>
      </w:r>
      <w:r w:rsidRPr="00D106C9">
        <w:rPr>
          <w:i/>
          <w:iCs/>
          <w:lang w:eastAsia="es-ES"/>
        </w:rPr>
        <w:t xml:space="preserve">“Al 31 diciembre de 2021 presentar un informe de las visitas realizadas a todos los despachos judiciales y de las acciones </w:t>
      </w:r>
      <w:proofErr w:type="gramStart"/>
      <w:r w:rsidRPr="00D106C9">
        <w:rPr>
          <w:i/>
          <w:iCs/>
          <w:lang w:eastAsia="es-ES"/>
        </w:rPr>
        <w:t>tomadas</w:t>
      </w:r>
      <w:proofErr w:type="gramEnd"/>
      <w:r w:rsidRPr="00D106C9">
        <w:rPr>
          <w:i/>
          <w:iCs/>
          <w:lang w:eastAsia="es-ES"/>
        </w:rPr>
        <w:t xml:space="preserve"> así como de su seguimiento”.</w:t>
      </w:r>
    </w:p>
    <w:p w14:paraId="1D5302A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498AB57"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11.2.12. Plan de Acción COVID-19. Estrategia 13: Evaluación del Riesgo de Exposición del Personal al COVID-19.</w:t>
      </w:r>
    </w:p>
    <w:p w14:paraId="3FF1DBB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C8683F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13 del Plan de Acción Covid-19 denominada “Evaluación del Riesgo de Exposición del Personal al COVID-19”, está compuesta por dos metas estratégicas y cuatro metas operativas, la cual tiene un cumplimiento para el 2021 del 100% (</w:t>
      </w:r>
      <w:r w:rsidRPr="00D106C9">
        <w:rPr>
          <w:b/>
          <w:bCs/>
          <w:lang w:eastAsia="es-ES"/>
        </w:rPr>
        <w:t>ver anexo 21</w:t>
      </w:r>
      <w:r w:rsidRPr="00D106C9">
        <w:rPr>
          <w:lang w:eastAsia="es-ES"/>
        </w:rPr>
        <w:t>).</w:t>
      </w:r>
    </w:p>
    <w:p w14:paraId="0F80C8E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responsables operativos a la Unidad Servicio de Salud para Empleados I Circuito Judicial de San José y Sección de Arquitectura e Ingeniería, los cuales realizaron las siguientes actividades para alcanzar el cumplimiento citado:</w:t>
      </w:r>
    </w:p>
    <w:p w14:paraId="5AA85EFF" w14:textId="77777777" w:rsidR="00D106C9" w:rsidRPr="00D106C9" w:rsidRDefault="00D106C9" w:rsidP="003B2E9B">
      <w:pPr>
        <w:widowControl w:val="0"/>
        <w:numPr>
          <w:ilvl w:val="0"/>
          <w:numId w:val="70"/>
        </w:numPr>
        <w:suppressAutoHyphens w:val="0"/>
        <w:autoSpaceDE w:val="0"/>
        <w:autoSpaceDN w:val="0"/>
        <w:adjustRightInd w:val="0"/>
        <w:ind w:left="851" w:right="851" w:firstLine="709"/>
        <w:contextualSpacing/>
        <w:jc w:val="both"/>
        <w:rPr>
          <w:lang w:eastAsia="es-ES"/>
        </w:rPr>
      </w:pPr>
      <w:r w:rsidRPr="00D106C9">
        <w:rPr>
          <w:lang w:eastAsia="es-ES"/>
        </w:rPr>
        <w:lastRenderedPageBreak/>
        <w:t>La Unidad Servicio de Salud para Empleados I Circuito Judicial de San José realizó un proceso de captura de información de vacunación a través de la plataforma GH en Línea en cumplimiento de circular 239-2021; así como, la realización de un seguimiento y control de los 1570 casos ingresados.</w:t>
      </w:r>
    </w:p>
    <w:p w14:paraId="08513A00" w14:textId="77777777" w:rsidR="00D106C9" w:rsidRPr="00D106C9" w:rsidRDefault="00D106C9" w:rsidP="003B2E9B">
      <w:pPr>
        <w:widowControl w:val="0"/>
        <w:numPr>
          <w:ilvl w:val="0"/>
          <w:numId w:val="70"/>
        </w:numPr>
        <w:suppressAutoHyphens w:val="0"/>
        <w:autoSpaceDE w:val="0"/>
        <w:autoSpaceDN w:val="0"/>
        <w:adjustRightInd w:val="0"/>
        <w:ind w:left="851" w:right="851" w:firstLine="709"/>
        <w:contextualSpacing/>
        <w:jc w:val="both"/>
        <w:rPr>
          <w:i/>
          <w:iCs/>
          <w:lang w:eastAsia="es-ES"/>
        </w:rPr>
      </w:pPr>
      <w:r w:rsidRPr="00D106C9">
        <w:rPr>
          <w:lang w:eastAsia="es-ES"/>
        </w:rPr>
        <w:t>Finalmente, la Sección de Arquitectura e Ingeniería indicó que durante el 2021 no se presentó alguna situación que amerite la intervención de este departamento, con esta acción se cumplió la meta operativa “</w:t>
      </w:r>
      <w:r w:rsidRPr="00D106C9">
        <w:rPr>
          <w:i/>
          <w:iCs/>
          <w:lang w:eastAsia="es-ES"/>
        </w:rPr>
        <w:t>Que al 31 de diciembre 2021 se haya brindado asesoramiento al cien por ciento de las solicitudes presentadas para valorar adecuaciones a la infraestructura, según las necesidades propias de la situación de emergencia.”</w:t>
      </w:r>
    </w:p>
    <w:p w14:paraId="2F2AD1E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8C3D587"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11.2.13. Plan de Acción COVID-19. Estrategia 14: Gestión de riesgos institucionales.</w:t>
      </w:r>
    </w:p>
    <w:p w14:paraId="2BE3558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B5468A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14 del Plan de Acción Covid-19 denominada “Gestión de riesgos institucionales”, está compuesta por tres metas estratégicas y seis metas operativas, la cual tiene un cumplimiento para el 2021 del 100% (</w:t>
      </w:r>
      <w:r w:rsidRPr="00D106C9">
        <w:rPr>
          <w:b/>
          <w:bCs/>
          <w:lang w:eastAsia="es-ES"/>
        </w:rPr>
        <w:t>ver anexo 22</w:t>
      </w:r>
      <w:r w:rsidRPr="00D106C9">
        <w:rPr>
          <w:lang w:eastAsia="es-ES"/>
        </w:rPr>
        <w:t>).</w:t>
      </w:r>
    </w:p>
    <w:p w14:paraId="003F448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responsables operativos a la Oficina de Cumplimiento, la Unidad de Ambiente Laboral y Oficina de Control Interno, los cuales realizaron las siguientes actividades para alcanzar el cumplimiento citado:</w:t>
      </w:r>
    </w:p>
    <w:p w14:paraId="1635C16C" w14:textId="77777777" w:rsidR="00D106C9" w:rsidRPr="00D106C9" w:rsidRDefault="00D106C9" w:rsidP="003B2E9B">
      <w:pPr>
        <w:widowControl w:val="0"/>
        <w:numPr>
          <w:ilvl w:val="0"/>
          <w:numId w:val="71"/>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Oficina de Cumplimiento, realizó la herramienta como parte del proyecto de cooperación y en coordinación con NCSC, como parte del proyecto de cooperación de reducción de las brechas de riesgo para el  fortalecimiento de la política anticorrupción del Poder Judicial, considerando los riesgos que se pueden presentar debido a los efectos de la emergencia sanitaria Covid-19, con esta acción se cumplió la meta operativa </w:t>
      </w:r>
      <w:r w:rsidRPr="00D106C9">
        <w:rPr>
          <w:i/>
          <w:iCs/>
          <w:lang w:eastAsia="es-ES"/>
        </w:rPr>
        <w:t>“Que al 31 de diciembre de 2021 se haya diseñado una herramienta para la identificación de conflicto de interés en el Poder Judicial en coordinación con el ente ejecutor del proyecto de cooperación con la Embajada de Estados Unidos.”</w:t>
      </w:r>
    </w:p>
    <w:p w14:paraId="274A0ACE" w14:textId="77777777" w:rsidR="00D106C9" w:rsidRPr="00D106C9" w:rsidRDefault="00D106C9" w:rsidP="00D106C9">
      <w:pPr>
        <w:suppressAutoHyphens w:val="0"/>
        <w:ind w:left="851" w:right="851" w:firstLine="709"/>
        <w:jc w:val="both"/>
        <w:rPr>
          <w:lang w:eastAsia="es-ES"/>
        </w:rPr>
      </w:pPr>
    </w:p>
    <w:p w14:paraId="5E8D3604" w14:textId="77777777" w:rsidR="00D106C9" w:rsidRPr="00D106C9" w:rsidRDefault="00D106C9" w:rsidP="003B2E9B">
      <w:pPr>
        <w:widowControl w:val="0"/>
        <w:numPr>
          <w:ilvl w:val="0"/>
          <w:numId w:val="71"/>
        </w:numPr>
        <w:suppressAutoHyphens w:val="0"/>
        <w:autoSpaceDE w:val="0"/>
        <w:autoSpaceDN w:val="0"/>
        <w:adjustRightInd w:val="0"/>
        <w:ind w:left="851" w:right="851" w:firstLine="709"/>
        <w:contextualSpacing/>
        <w:jc w:val="both"/>
        <w:rPr>
          <w:lang w:eastAsia="es-ES"/>
        </w:rPr>
      </w:pPr>
      <w:r w:rsidRPr="00D106C9">
        <w:rPr>
          <w:lang w:eastAsia="es-ES"/>
        </w:rPr>
        <w:t xml:space="preserve">Por otro lado, la Unidad de Ambiente Laboral realizó 5 charlas virtuales “Gestión emocional en tiempos de COVID-19” dirigidas al personal judicial de los tribunales de Pérez Zeledón y de Buenos Aires, Circuito Judicial de Heredia y Oficinas de Sarapiquí, con esta acción se cumplió la meta operativa </w:t>
      </w:r>
      <w:r w:rsidRPr="00D106C9">
        <w:rPr>
          <w:i/>
          <w:iCs/>
          <w:lang w:eastAsia="es-ES"/>
        </w:rPr>
        <w:t>“</w:t>
      </w:r>
      <w:proofErr w:type="gramStart"/>
      <w:r w:rsidRPr="00D106C9">
        <w:rPr>
          <w:i/>
          <w:iCs/>
          <w:lang w:eastAsia="es-ES"/>
        </w:rPr>
        <w:t>Que</w:t>
      </w:r>
      <w:proofErr w:type="gramEnd"/>
      <w:r w:rsidRPr="00D106C9">
        <w:rPr>
          <w:i/>
          <w:iCs/>
          <w:lang w:eastAsia="es-ES"/>
        </w:rPr>
        <w:t xml:space="preserve"> al 15 de diciembre de 2021, se haya impartido al menos dos charlas en diferentes circuitos judiciales como parte de la atención psicosocial a personal judicial afectado por la pandemia.”</w:t>
      </w:r>
    </w:p>
    <w:p w14:paraId="6A5E17CF" w14:textId="77777777" w:rsidR="00D106C9" w:rsidRPr="00D106C9" w:rsidRDefault="00D106C9" w:rsidP="00D106C9">
      <w:pPr>
        <w:suppressAutoHyphens w:val="0"/>
        <w:ind w:left="851" w:right="851" w:firstLine="709"/>
        <w:rPr>
          <w:lang w:eastAsia="es-ES"/>
        </w:rPr>
      </w:pPr>
    </w:p>
    <w:p w14:paraId="36C450AB" w14:textId="77777777" w:rsidR="00D106C9" w:rsidRPr="00D106C9" w:rsidRDefault="00D106C9" w:rsidP="003B2E9B">
      <w:pPr>
        <w:widowControl w:val="0"/>
        <w:numPr>
          <w:ilvl w:val="0"/>
          <w:numId w:val="71"/>
        </w:numPr>
        <w:suppressAutoHyphens w:val="0"/>
        <w:autoSpaceDE w:val="0"/>
        <w:autoSpaceDN w:val="0"/>
        <w:adjustRightInd w:val="0"/>
        <w:ind w:left="851" w:right="851" w:firstLine="709"/>
        <w:contextualSpacing/>
        <w:jc w:val="both"/>
        <w:rPr>
          <w:lang w:eastAsia="es-ES"/>
        </w:rPr>
      </w:pPr>
      <w:r w:rsidRPr="00D106C9">
        <w:rPr>
          <w:lang w:eastAsia="es-ES"/>
        </w:rPr>
        <w:t xml:space="preserve">Finalmente, la Oficina de Control Interno realizó la gestión ante el </w:t>
      </w:r>
      <w:r w:rsidRPr="00D106C9">
        <w:rPr>
          <w:lang w:eastAsia="es-ES"/>
        </w:rPr>
        <w:lastRenderedPageBreak/>
        <w:t>Consejo Superior el cual se aprobó la figura de Gestor de Control Interno, en las Administraciones Regionales, OIJ, Defensa Pública, Ministerio Público y Contraloría de Servicios; por otro lado, se realizaron las capacitaciones en materia de Control Interno durante el 2021 de manera virtual, adicionalmente, se elaboró y aplicó una metodología de asesoría y capacitación en temas de Control Interno mediante la modalidad virtual y finalmente se avaló la designación de un profesional que se desempeña como Gestor de Control Interno, que transmite conocimiento y entendimiento necesario para atender aquellos temas de la materia que por ley se deben cumplir en la Administración Pública.</w:t>
      </w:r>
    </w:p>
    <w:p w14:paraId="24577C4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B466BB5"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11.2.14. Plan de Acción COVID-19. Estrategia 15: Modificación de horarios.</w:t>
      </w:r>
    </w:p>
    <w:p w14:paraId="679ECB07"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51DFC84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15 del Plan de Acción Covid-19 denominada “Modificación de horarios”, está compuesta por una meta estratégica y una meta operativa, la cual tiene un cumplimiento para el 2021 del 100% (</w:t>
      </w:r>
      <w:r w:rsidRPr="00D106C9">
        <w:rPr>
          <w:b/>
          <w:bCs/>
          <w:lang w:eastAsia="es-ES"/>
        </w:rPr>
        <w:t>ver anexo 23</w:t>
      </w:r>
      <w:r w:rsidRPr="00D106C9">
        <w:rPr>
          <w:lang w:eastAsia="es-ES"/>
        </w:rPr>
        <w:t>).</w:t>
      </w:r>
    </w:p>
    <w:p w14:paraId="1113F60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operativo al Centro de Apoyo, Coordinación y Mejoramiento de la Función Jurisdiccional, el cual realizó la siguiente actividad para alcanzar el cumplimiento citado:</w:t>
      </w:r>
    </w:p>
    <w:p w14:paraId="45D181DE" w14:textId="77777777" w:rsidR="00D106C9" w:rsidRPr="00D106C9" w:rsidRDefault="00D106C9" w:rsidP="003B2E9B">
      <w:pPr>
        <w:widowControl w:val="0"/>
        <w:numPr>
          <w:ilvl w:val="0"/>
          <w:numId w:val="72"/>
        </w:numPr>
        <w:suppressAutoHyphens w:val="0"/>
        <w:autoSpaceDE w:val="0"/>
        <w:autoSpaceDN w:val="0"/>
        <w:adjustRightInd w:val="0"/>
        <w:ind w:left="851" w:right="851" w:firstLine="709"/>
        <w:contextualSpacing/>
        <w:jc w:val="both"/>
        <w:rPr>
          <w:i/>
          <w:iCs/>
          <w:lang w:eastAsia="es-ES"/>
        </w:rPr>
      </w:pPr>
      <w:r w:rsidRPr="00D106C9">
        <w:rPr>
          <w:lang w:eastAsia="es-ES"/>
        </w:rPr>
        <w:t xml:space="preserve">El Centro de Apoyo, Coordinación y Mejoramiento de la Función Jurisdiccional atendió 119 solicitudes y 81 solicitudes aprobadas para el cambio de horario de conformidad con las medidas establecidas por la pandemia COVID19, con esta acción se cumplió la meta operativa </w:t>
      </w:r>
      <w:r w:rsidRPr="00D106C9">
        <w:rPr>
          <w:i/>
          <w:iCs/>
          <w:lang w:eastAsia="es-ES"/>
        </w:rPr>
        <w:t>“Que al 31 de diciembre de 2021 se hayan revisado el 100% de las solicitudes de horario alterno enviados por los despachos judiciales del país a cargo del CACMFJ por el periodo que establezca Corte Plena de conformidad con las medidas establecidas por la pandemia COVID19”.</w:t>
      </w:r>
    </w:p>
    <w:p w14:paraId="1170050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17CCBA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B9DD32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0B996C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ADAC2B0"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11.2.15. Plan de Acción COVID-19. Estrategia 16: Ampliación de convenios interinstitucionales.</w:t>
      </w:r>
    </w:p>
    <w:p w14:paraId="556BA4C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bookmarkStart w:id="36" w:name="_Hlk98309222"/>
    </w:p>
    <w:p w14:paraId="1D9DC4D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16 del Plan de Acción Covid-19 denominada “Ampliación de convenios interinstitucionales”, está compuesta por una meta estratégica y una meta operativa, la cual tiene un cumplimiento para el 2021 del 100% (</w:t>
      </w:r>
      <w:r w:rsidRPr="00D106C9">
        <w:rPr>
          <w:b/>
          <w:bCs/>
          <w:lang w:eastAsia="es-ES"/>
        </w:rPr>
        <w:t>ver anexo 24</w:t>
      </w:r>
      <w:r w:rsidRPr="00D106C9">
        <w:rPr>
          <w:lang w:eastAsia="es-ES"/>
        </w:rPr>
        <w:t>).</w:t>
      </w:r>
    </w:p>
    <w:p w14:paraId="4894E4FD"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operativo a la Dirección Ejecutiva, la cual realizó la siguiente actividad para alcanzar el cumplimiento citado:</w:t>
      </w:r>
    </w:p>
    <w:bookmarkEnd w:id="36"/>
    <w:p w14:paraId="13218DF0" w14:textId="77777777" w:rsidR="00D106C9" w:rsidRPr="00D106C9" w:rsidRDefault="00D106C9" w:rsidP="003B2E9B">
      <w:pPr>
        <w:widowControl w:val="0"/>
        <w:numPr>
          <w:ilvl w:val="0"/>
          <w:numId w:val="72"/>
        </w:numPr>
        <w:suppressAutoHyphens w:val="0"/>
        <w:autoSpaceDE w:val="0"/>
        <w:autoSpaceDN w:val="0"/>
        <w:adjustRightInd w:val="0"/>
        <w:ind w:left="851" w:right="851" w:firstLine="709"/>
        <w:contextualSpacing/>
        <w:jc w:val="both"/>
        <w:rPr>
          <w:i/>
          <w:iCs/>
          <w:lang w:eastAsia="es-ES"/>
        </w:rPr>
      </w:pPr>
      <w:r w:rsidRPr="00D106C9">
        <w:rPr>
          <w:lang w:eastAsia="es-ES"/>
        </w:rPr>
        <w:lastRenderedPageBreak/>
        <w:t xml:space="preserve">La Dirección Ejecutiva atendió los requerimientos solicitados por los CAI, en la que se ve beneficiada población vulnerable que se encuentra recluida en los citados centros, con esta acción se cumplió con la meta operativa </w:t>
      </w:r>
      <w:r w:rsidRPr="00D106C9">
        <w:rPr>
          <w:i/>
          <w:iCs/>
          <w:lang w:eastAsia="es-ES"/>
        </w:rPr>
        <w:t xml:space="preserve">“Que al 31 de diciembre de 2021 se hayan atendido las necesidades de ampliación de espacio y equipos a solicitud de los CAI, para realizar videollamadas con el uso de Microsoft </w:t>
      </w:r>
      <w:proofErr w:type="spellStart"/>
      <w:r w:rsidRPr="00D106C9">
        <w:rPr>
          <w:i/>
          <w:iCs/>
          <w:lang w:eastAsia="es-ES"/>
        </w:rPr>
        <w:t>Teams</w:t>
      </w:r>
      <w:proofErr w:type="spellEnd"/>
      <w:r w:rsidRPr="00D106C9">
        <w:rPr>
          <w:i/>
          <w:iCs/>
          <w:lang w:eastAsia="es-ES"/>
        </w:rPr>
        <w:t>, para uso de diligencias judiciales”.</w:t>
      </w:r>
    </w:p>
    <w:p w14:paraId="094EE35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27542F3"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11.2.16. Plan de Acción COVID-19. Estrategia 17: Actualización de los mecanismos de recolección de información y monitoreo de las acciones implementadas mediante indicadores específicos.</w:t>
      </w:r>
    </w:p>
    <w:p w14:paraId="579627C9"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36813D1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17 del Plan de Acción Covid-19 denominada “Actualización de los mecanismos de recolección de información y monitoreo de las acciones implementadas mediante indicadores específicos.”, está compuesta por tres metas estratégicas y dieciocho metas operativas, la cual tiene un cumplimiento para el 2021 del 100% (</w:t>
      </w:r>
      <w:r w:rsidRPr="00D106C9">
        <w:rPr>
          <w:b/>
          <w:bCs/>
          <w:lang w:eastAsia="es-ES"/>
        </w:rPr>
        <w:t>ver anexo 25</w:t>
      </w:r>
      <w:r w:rsidRPr="00D106C9">
        <w:rPr>
          <w:lang w:eastAsia="es-ES"/>
        </w:rPr>
        <w:t>).</w:t>
      </w:r>
    </w:p>
    <w:p w14:paraId="1712350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responsables operativos a la Contraloría de Servicios (Sede Central), al Subproceso de Evaluación, al Centro de Apoyo, Coordinación, Mejoramiento de la Función Jurisdiccional y al Despacho de la Presidencia las cuales realizaron las siguientes actividades para alcanzar el cumplimiento citado:</w:t>
      </w:r>
    </w:p>
    <w:p w14:paraId="308885C3" w14:textId="77777777" w:rsidR="00D106C9" w:rsidRPr="00D106C9" w:rsidRDefault="00D106C9" w:rsidP="003B2E9B">
      <w:pPr>
        <w:widowControl w:val="0"/>
        <w:numPr>
          <w:ilvl w:val="0"/>
          <w:numId w:val="72"/>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Contraloría de Servicios realizó el oficio CSJ-530-2021 el pasado 10 de setiembre del 2021 el cual se remitió para conocimiento de Corte Plena, el mismo, presentaba una muestra comprendida entre marzo y junio del 2021 y se incorporó un apartado relacionado con la utilización de las líneas IP, con esta acción se cumple con la meta operativa </w:t>
      </w:r>
      <w:r w:rsidRPr="00D106C9">
        <w:rPr>
          <w:i/>
          <w:iCs/>
          <w:lang w:eastAsia="es-ES"/>
        </w:rPr>
        <w:t>“Que al 31 de diciembre de 2021, se haya realizado un informe actualizado de la atención telefónica en el Poder Judicial como un canal de contacto electrónico que utiliza la persona usuaria para obtener los servicios institucionales”.</w:t>
      </w:r>
    </w:p>
    <w:p w14:paraId="0080633C" w14:textId="77777777" w:rsidR="00D106C9" w:rsidRPr="00D106C9" w:rsidRDefault="00D106C9" w:rsidP="00D106C9">
      <w:pPr>
        <w:suppressAutoHyphens w:val="0"/>
        <w:ind w:left="851" w:right="851" w:firstLine="709"/>
        <w:jc w:val="both"/>
        <w:rPr>
          <w:lang w:eastAsia="es-ES"/>
        </w:rPr>
      </w:pPr>
    </w:p>
    <w:p w14:paraId="586B9CA8" w14:textId="77777777" w:rsidR="00D106C9" w:rsidRPr="00D106C9" w:rsidRDefault="00D106C9" w:rsidP="003B2E9B">
      <w:pPr>
        <w:widowControl w:val="0"/>
        <w:numPr>
          <w:ilvl w:val="0"/>
          <w:numId w:val="72"/>
        </w:numPr>
        <w:suppressAutoHyphens w:val="0"/>
        <w:autoSpaceDE w:val="0"/>
        <w:autoSpaceDN w:val="0"/>
        <w:adjustRightInd w:val="0"/>
        <w:ind w:left="851" w:right="851" w:firstLine="709"/>
        <w:contextualSpacing/>
        <w:jc w:val="both"/>
        <w:rPr>
          <w:lang w:eastAsia="es-CR"/>
        </w:rPr>
      </w:pPr>
      <w:r w:rsidRPr="00D106C9">
        <w:rPr>
          <w:lang w:eastAsia="es-ES"/>
        </w:rPr>
        <w:t>Por otro lado, el Subproceso de Evaluación brindó sostenibilidad a los "Rediseños de procesos en los Circuitos Judiciales", a través de la operacionalización de las tareas afines al "Modelo de Sostenibilidad" judicial, entre estas el seguimiento y realimentación de los Indicadores de Gestión, para lograr la efectiva optimización de la gestión judicial.</w:t>
      </w:r>
    </w:p>
    <w:p w14:paraId="3365CB26" w14:textId="77777777" w:rsidR="00D106C9" w:rsidRPr="00D106C9" w:rsidRDefault="00D106C9" w:rsidP="003B2E9B">
      <w:pPr>
        <w:widowControl w:val="0"/>
        <w:numPr>
          <w:ilvl w:val="0"/>
          <w:numId w:val="72"/>
        </w:numPr>
        <w:suppressAutoHyphens w:val="0"/>
        <w:autoSpaceDE w:val="0"/>
        <w:autoSpaceDN w:val="0"/>
        <w:adjustRightInd w:val="0"/>
        <w:ind w:left="851" w:right="851" w:firstLine="709"/>
        <w:contextualSpacing/>
        <w:jc w:val="both"/>
        <w:rPr>
          <w:lang w:eastAsia="es-CR"/>
        </w:rPr>
      </w:pPr>
      <w:r w:rsidRPr="00D106C9">
        <w:rPr>
          <w:lang w:eastAsia="es-CR"/>
        </w:rPr>
        <w:t xml:space="preserve">Adicionalmente, </w:t>
      </w:r>
      <w:r w:rsidRPr="00D106C9">
        <w:rPr>
          <w:lang w:eastAsia="es-ES"/>
        </w:rPr>
        <w:t>Centro de Apoyo, Coordinación, Mejoramiento de la Función Jurisdiccional realizó</w:t>
      </w:r>
      <w:r w:rsidRPr="00D106C9">
        <w:rPr>
          <w:lang w:eastAsia="es-CR"/>
        </w:rPr>
        <w:t xml:space="preserve"> seguimientos </w:t>
      </w:r>
      <w:proofErr w:type="spellStart"/>
      <w:r w:rsidRPr="00D106C9">
        <w:rPr>
          <w:lang w:eastAsia="es-CR"/>
        </w:rPr>
        <w:t>y</w:t>
      </w:r>
      <w:proofErr w:type="spellEnd"/>
      <w:r w:rsidRPr="00D106C9">
        <w:rPr>
          <w:lang w:eastAsia="es-CR"/>
        </w:rPr>
        <w:t xml:space="preserve"> informó las labores ejecutadas por el personal que integra los despachos judiciales a cargo del CACMFJ, por medio de las matrices de indicadores de gestión y por el reporte creado por la </w:t>
      </w:r>
      <w:r w:rsidRPr="00D106C9">
        <w:rPr>
          <w:lang w:eastAsia="es-CR"/>
        </w:rPr>
        <w:lastRenderedPageBreak/>
        <w:t>Dirección de Planificación en SIGMA.; así como se actualizó la plantilla de seguimiento de OneDrive.</w:t>
      </w:r>
    </w:p>
    <w:p w14:paraId="632F483F" w14:textId="77777777" w:rsidR="00D106C9" w:rsidRPr="00D106C9" w:rsidRDefault="00D106C9" w:rsidP="003B2E9B">
      <w:pPr>
        <w:widowControl w:val="0"/>
        <w:numPr>
          <w:ilvl w:val="0"/>
          <w:numId w:val="72"/>
        </w:numPr>
        <w:suppressAutoHyphens w:val="0"/>
        <w:autoSpaceDE w:val="0"/>
        <w:autoSpaceDN w:val="0"/>
        <w:adjustRightInd w:val="0"/>
        <w:ind w:left="851" w:right="851" w:firstLine="709"/>
        <w:contextualSpacing/>
        <w:jc w:val="both"/>
        <w:rPr>
          <w:lang w:eastAsia="es-CR"/>
        </w:rPr>
      </w:pPr>
      <w:r w:rsidRPr="00D106C9">
        <w:rPr>
          <w:lang w:eastAsia="es-CR"/>
        </w:rPr>
        <w:t xml:space="preserve">Finalmente, el Despacho de la Presidencia recabó los lineamientos de Corte Plena y Consejo Superior en atención a las declaratorias de emergencia nacional para atender consultas de otras instancias, con esta acción se cumple la meta operativa </w:t>
      </w:r>
      <w:r w:rsidRPr="00D106C9">
        <w:rPr>
          <w:i/>
          <w:iCs/>
          <w:lang w:eastAsia="es-CR"/>
        </w:rPr>
        <w:t>“</w:t>
      </w:r>
      <w:proofErr w:type="gramStart"/>
      <w:r w:rsidRPr="00D106C9">
        <w:rPr>
          <w:i/>
          <w:iCs/>
          <w:lang w:eastAsia="es-CR"/>
        </w:rPr>
        <w:t>Que</w:t>
      </w:r>
      <w:proofErr w:type="gramEnd"/>
      <w:r w:rsidRPr="00D106C9">
        <w:rPr>
          <w:i/>
          <w:iCs/>
          <w:lang w:eastAsia="es-CR"/>
        </w:rPr>
        <w:t xml:space="preserve"> al 31 de diciembre de 2021, se hayan elaborado dos informes (uno cada semestre) sobre los lineamientos de Corte Plena y Consejo Superior en atención a las declaratorias de emergencia nacional”.</w:t>
      </w:r>
    </w:p>
    <w:p w14:paraId="27F371C1" w14:textId="77777777" w:rsidR="00D106C9" w:rsidRPr="00D106C9" w:rsidRDefault="00D106C9" w:rsidP="00D106C9">
      <w:pPr>
        <w:suppressAutoHyphens w:val="0"/>
        <w:ind w:left="851" w:right="851" w:firstLine="709"/>
        <w:rPr>
          <w:lang w:eastAsia="es-CR"/>
        </w:rPr>
      </w:pPr>
    </w:p>
    <w:p w14:paraId="415FBCEC" w14:textId="77777777" w:rsidR="00D106C9" w:rsidRPr="00D106C9" w:rsidRDefault="00D106C9" w:rsidP="00D106C9">
      <w:pPr>
        <w:suppressAutoHyphens w:val="0"/>
        <w:ind w:left="851" w:right="851" w:firstLine="709"/>
        <w:rPr>
          <w:lang w:eastAsia="es-CR"/>
        </w:rPr>
      </w:pPr>
    </w:p>
    <w:p w14:paraId="10DF9256" w14:textId="77777777" w:rsidR="00D106C9" w:rsidRPr="00D106C9" w:rsidRDefault="00D106C9" w:rsidP="00D106C9">
      <w:pPr>
        <w:suppressAutoHyphens w:val="0"/>
        <w:ind w:left="851" w:right="851" w:firstLine="709"/>
        <w:rPr>
          <w:lang w:eastAsia="es-CR"/>
        </w:rPr>
      </w:pPr>
    </w:p>
    <w:p w14:paraId="6BFDB698"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11.2.17. Plan de Acción COVID-19. Estrategia 18: Gestión de Servicios Críticos.</w:t>
      </w:r>
    </w:p>
    <w:p w14:paraId="7F52DEC0" w14:textId="77777777" w:rsidR="00D106C9" w:rsidRPr="00D106C9" w:rsidRDefault="00D106C9" w:rsidP="00D106C9">
      <w:pPr>
        <w:suppressAutoHyphens w:val="0"/>
        <w:ind w:left="851" w:right="851" w:firstLine="709"/>
        <w:rPr>
          <w:lang w:eastAsia="es-CR"/>
        </w:rPr>
      </w:pPr>
    </w:p>
    <w:p w14:paraId="29385D91"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16 del Plan de Acción Covid-19 denominada “Gestión de Servicios Críticos”, está compuesta por una meta estratégica y una meta operativa, la cual tiene un cumplimiento para el 2021 del 100% (</w:t>
      </w:r>
      <w:r w:rsidRPr="00D106C9">
        <w:rPr>
          <w:b/>
          <w:bCs/>
          <w:lang w:eastAsia="es-ES"/>
        </w:rPr>
        <w:t>ver anexo 26</w:t>
      </w:r>
      <w:r w:rsidRPr="00D106C9">
        <w:rPr>
          <w:lang w:eastAsia="es-ES"/>
        </w:rPr>
        <w:t>).</w:t>
      </w:r>
    </w:p>
    <w:p w14:paraId="726A5A3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operativo a la Dirección de Gestión Humana, la cual realizó la siguiente actividad para alcanzar el cumplimiento citado:</w:t>
      </w:r>
    </w:p>
    <w:p w14:paraId="7513E850" w14:textId="77777777" w:rsidR="00D106C9" w:rsidRPr="00D106C9" w:rsidRDefault="00D106C9" w:rsidP="003B2E9B">
      <w:pPr>
        <w:widowControl w:val="0"/>
        <w:numPr>
          <w:ilvl w:val="0"/>
          <w:numId w:val="74"/>
        </w:numPr>
        <w:suppressAutoHyphens w:val="0"/>
        <w:autoSpaceDE w:val="0"/>
        <w:autoSpaceDN w:val="0"/>
        <w:adjustRightInd w:val="0"/>
        <w:ind w:left="851" w:right="851" w:firstLine="709"/>
        <w:contextualSpacing/>
        <w:jc w:val="both"/>
        <w:rPr>
          <w:lang w:eastAsia="es-CR"/>
        </w:rPr>
      </w:pPr>
      <w:r w:rsidRPr="00D106C9">
        <w:rPr>
          <w:lang w:eastAsia="es-CR"/>
        </w:rPr>
        <w:t xml:space="preserve">La Dirección de Gestión Humana, realizó el pago a los funcionarios judiciales correspondientes al 2021, considerando la situación a nivel país, con esta acción se cumple la meta operativa </w:t>
      </w:r>
      <w:r w:rsidRPr="00D106C9">
        <w:rPr>
          <w:i/>
          <w:iCs/>
          <w:lang w:eastAsia="es-CR"/>
        </w:rPr>
        <w:t>“</w:t>
      </w:r>
      <w:proofErr w:type="gramStart"/>
      <w:r w:rsidRPr="00D106C9">
        <w:rPr>
          <w:i/>
          <w:iCs/>
          <w:lang w:eastAsia="es-CR"/>
        </w:rPr>
        <w:t>Que</w:t>
      </w:r>
      <w:proofErr w:type="gramEnd"/>
      <w:r w:rsidRPr="00D106C9">
        <w:rPr>
          <w:i/>
          <w:iCs/>
          <w:lang w:eastAsia="es-CR"/>
        </w:rPr>
        <w:t xml:space="preserve"> al 31 de diciembre de 2021, se hayan realizado todas gestiones correspondientes para garantizar el pago oportuno de los funcionarios considerando la situación que se viva a nivel país”.</w:t>
      </w:r>
    </w:p>
    <w:p w14:paraId="17C43A7A" w14:textId="77777777" w:rsidR="00D106C9" w:rsidRPr="00D106C9" w:rsidRDefault="00D106C9" w:rsidP="00D106C9">
      <w:pPr>
        <w:suppressAutoHyphens w:val="0"/>
        <w:ind w:left="851" w:right="851" w:firstLine="709"/>
        <w:jc w:val="both"/>
        <w:rPr>
          <w:lang w:eastAsia="es-CR"/>
        </w:rPr>
      </w:pPr>
    </w:p>
    <w:p w14:paraId="5E042612"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11.2.18. Plan de Acción COVID-19. Estrategia 19: Lineamientos de Corte Plena y Consejo Superior, en atención a la declaratoria de emergencia nacional, debido a la situación de emergencia sanitaria provocada por la enfermedad COVID-19.</w:t>
      </w:r>
    </w:p>
    <w:p w14:paraId="603572E1"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p>
    <w:p w14:paraId="7D85029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19 del Plan de Acción Covid-19 denominada “Lineamientos de Corte Plena y Consejo Superior, en atención a la declaratoria de emergencia nacional, debido a la situación de emergencia sanitaria provocada por la enfermedad COVID-19”, está compuesta por tres metas estratégicas y ocho metas operativas, las cuales tienen un cumplimiento para el 2021 del 100% (</w:t>
      </w:r>
      <w:r w:rsidRPr="00D106C9">
        <w:rPr>
          <w:b/>
          <w:bCs/>
          <w:lang w:eastAsia="es-ES"/>
        </w:rPr>
        <w:t>ver anexo 27</w:t>
      </w:r>
      <w:r w:rsidRPr="00D106C9">
        <w:rPr>
          <w:lang w:eastAsia="es-ES"/>
        </w:rPr>
        <w:t>).</w:t>
      </w:r>
    </w:p>
    <w:p w14:paraId="72C2624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Este Plan de Acción, tiene como responsables operativos al Centro de Apoyo, Coordinación y Mejoramiento de la Función Jurisdiccional, al </w:t>
      </w:r>
      <w:r w:rsidRPr="00D106C9">
        <w:rPr>
          <w:lang w:eastAsia="es-ES"/>
        </w:rPr>
        <w:lastRenderedPageBreak/>
        <w:t>Departamento de Proveeduría, a la Sección de Egresos y a la Dirección de Ejecutiva, las cuales realizaron las siguientes actividades para alcanzar el cumplimiento citado:</w:t>
      </w:r>
    </w:p>
    <w:p w14:paraId="264139CD" w14:textId="77777777" w:rsidR="00D106C9" w:rsidRPr="00D106C9" w:rsidRDefault="00D106C9" w:rsidP="003B2E9B">
      <w:pPr>
        <w:widowControl w:val="0"/>
        <w:numPr>
          <w:ilvl w:val="0"/>
          <w:numId w:val="73"/>
        </w:numPr>
        <w:suppressAutoHyphens w:val="0"/>
        <w:autoSpaceDE w:val="0"/>
        <w:autoSpaceDN w:val="0"/>
        <w:adjustRightInd w:val="0"/>
        <w:ind w:left="851" w:right="851" w:firstLine="709"/>
        <w:contextualSpacing/>
        <w:jc w:val="both"/>
        <w:rPr>
          <w:i/>
          <w:iCs/>
          <w:lang w:eastAsia="es-CR"/>
        </w:rPr>
      </w:pPr>
      <w:r w:rsidRPr="00D106C9">
        <w:rPr>
          <w:lang w:eastAsia="es-ES"/>
        </w:rPr>
        <w:t xml:space="preserve">El Centro de Apoyo, Coordinación y Mejoramiento de la Función Jurisdiccional revisó el 100% de los planes de trabajo enviados por los despachos judiciales a cargo del CACMFJ que cumplan con los lineamientos específicos definidos por cada Jurisdicción, con esta acción se cumple con la meta operativa </w:t>
      </w:r>
      <w:r w:rsidRPr="00D106C9">
        <w:rPr>
          <w:i/>
          <w:iCs/>
          <w:lang w:eastAsia="es-ES"/>
        </w:rPr>
        <w:t>“Que al 31 de diciembre del 2021, se revisen el 100% de los planes de trabajo enviados por los despachos judiciales del país a cargo del CACMFJ por el periodo que establezca Corte Plena de conformidad con las medidas establecidas por la pandemia COVID19”.</w:t>
      </w:r>
    </w:p>
    <w:p w14:paraId="2F5338A1" w14:textId="77777777" w:rsidR="00D106C9" w:rsidRPr="00D106C9" w:rsidRDefault="00D106C9" w:rsidP="003B2E9B">
      <w:pPr>
        <w:widowControl w:val="0"/>
        <w:numPr>
          <w:ilvl w:val="0"/>
          <w:numId w:val="73"/>
        </w:numPr>
        <w:suppressAutoHyphens w:val="0"/>
        <w:autoSpaceDE w:val="0"/>
        <w:autoSpaceDN w:val="0"/>
        <w:adjustRightInd w:val="0"/>
        <w:ind w:left="851" w:right="851" w:firstLine="709"/>
        <w:contextualSpacing/>
        <w:jc w:val="both"/>
        <w:rPr>
          <w:lang w:eastAsia="es-CR"/>
        </w:rPr>
      </w:pPr>
      <w:r w:rsidRPr="00D106C9">
        <w:rPr>
          <w:lang w:eastAsia="es-ES"/>
        </w:rPr>
        <w:t>Por otro lado, el Departamento de Proveeduría elaboró un plan de trabajo para la programación y ejecución de la compra de materiales y suministros, estableciendo los consumos promedios mensuales, existencias mínimas y máximas y períodos de reposición, así como realizar el despacho a las oficinas judiciales, de conformidad con los cuadros de consumo existentes en cada caso y los pedidos adicionales, apoyando de esta manera la adecuada prestación del servicio público; así mismo, se actualizó el catálogo de materiales de limpieza y desinfección para enfrentar el COVID-19, adicionalmente, realizó un análisis del presupuesto aprobado para el año 2021 con el objetivo de buscar opciones para realizar modificaciones que permitan atender las necesidades por la pandemia que no fueron contempladas durante el proceso de formulación.</w:t>
      </w:r>
    </w:p>
    <w:p w14:paraId="26B03316" w14:textId="77777777" w:rsidR="00D106C9" w:rsidRPr="00D106C9" w:rsidRDefault="00D106C9" w:rsidP="003B2E9B">
      <w:pPr>
        <w:widowControl w:val="0"/>
        <w:numPr>
          <w:ilvl w:val="0"/>
          <w:numId w:val="73"/>
        </w:numPr>
        <w:suppressAutoHyphens w:val="0"/>
        <w:autoSpaceDE w:val="0"/>
        <w:autoSpaceDN w:val="0"/>
        <w:adjustRightInd w:val="0"/>
        <w:ind w:left="851" w:right="851" w:firstLine="709"/>
        <w:contextualSpacing/>
        <w:jc w:val="both"/>
        <w:rPr>
          <w:lang w:eastAsia="es-CR"/>
        </w:rPr>
      </w:pPr>
      <w:r w:rsidRPr="00D106C9">
        <w:rPr>
          <w:lang w:eastAsia="es-CR"/>
        </w:rPr>
        <w:t xml:space="preserve">Adicionalmente, la Sección de egresos gestionó los pagos producto de una situación de riesgo o emergencia mediante los recursos del fondo de emergencia de una forma oportuna y prioritaria para honrar las adquisiciones de bienes y servicios, con esta acción cumplió con la meta operativa </w:t>
      </w:r>
      <w:r w:rsidRPr="00D106C9">
        <w:rPr>
          <w:i/>
          <w:iCs/>
          <w:lang w:eastAsia="es-CR"/>
        </w:rPr>
        <w:t>“Que al 31 de diciembre 2021 se hayan cancelado la totalidad de las facturas producto de la emergencia”.</w:t>
      </w:r>
    </w:p>
    <w:p w14:paraId="50A4881E" w14:textId="77777777" w:rsidR="00D106C9" w:rsidRPr="00D106C9" w:rsidRDefault="00D106C9" w:rsidP="003B2E9B">
      <w:pPr>
        <w:widowControl w:val="0"/>
        <w:numPr>
          <w:ilvl w:val="0"/>
          <w:numId w:val="73"/>
        </w:numPr>
        <w:suppressAutoHyphens w:val="0"/>
        <w:autoSpaceDE w:val="0"/>
        <w:autoSpaceDN w:val="0"/>
        <w:adjustRightInd w:val="0"/>
        <w:ind w:left="851" w:right="851" w:firstLine="709"/>
        <w:contextualSpacing/>
        <w:jc w:val="both"/>
        <w:rPr>
          <w:i/>
          <w:iCs/>
          <w:lang w:eastAsia="es-CR"/>
        </w:rPr>
      </w:pPr>
      <w:r w:rsidRPr="00D106C9">
        <w:rPr>
          <w:lang w:eastAsia="es-CR"/>
        </w:rPr>
        <w:t xml:space="preserve">Finalmente, la Dirección Ejecutiva atendió </w:t>
      </w:r>
      <w:r w:rsidRPr="00D106C9">
        <w:rPr>
          <w:lang w:eastAsia="es-ES"/>
        </w:rPr>
        <w:t xml:space="preserve">de forma responsable todas las gestiones de limpieza de los diferentes despachos, con el fin de velar por la seguridad de la población judicial, así como de los usuarios externos. De igual forma, se tomaron medidas necesarias para brindar de forma oportuna y responsable, los servicios de usuarios internos como externos, con estas acciones se cumplió con la meta operativa </w:t>
      </w:r>
      <w:r w:rsidRPr="00D106C9">
        <w:rPr>
          <w:i/>
          <w:iCs/>
          <w:lang w:eastAsia="es-ES"/>
        </w:rPr>
        <w:t xml:space="preserve">“Que al 31 de diciembre de </w:t>
      </w:r>
      <w:proofErr w:type="gramStart"/>
      <w:r w:rsidRPr="00D106C9">
        <w:rPr>
          <w:i/>
          <w:iCs/>
          <w:lang w:eastAsia="es-ES"/>
        </w:rPr>
        <w:t>2021,  la</w:t>
      </w:r>
      <w:proofErr w:type="gramEnd"/>
      <w:r w:rsidRPr="00D106C9">
        <w:rPr>
          <w:i/>
          <w:iCs/>
          <w:lang w:eastAsia="es-ES"/>
        </w:rPr>
        <w:t xml:space="preserve"> Dirección Ejecutiva  active en el cien por ciento de los casos,  la aplicación de las medidas administrativas que permitan atender oportunamente las necesidades de cada circuito, generadas por cada situación de riesgo o emergencia.”</w:t>
      </w:r>
    </w:p>
    <w:p w14:paraId="5306B86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3DDD2B0"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11.2.19. Plan de Acción COVID-19. Estrategia 21: Seguimiento de los alcances de las acciones realizadas.</w:t>
      </w:r>
    </w:p>
    <w:p w14:paraId="2FE8806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0592E0C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La estrategia número 21 del Plan de Acción Covid-19 denominada “Seguimiento de los alcances de las acciones realizadas”, está compuesta por una meta estratégica y una meta operativa, la cual tiene un cumplimiento para el 2021 del 100% (</w:t>
      </w:r>
      <w:r w:rsidRPr="00D106C9">
        <w:rPr>
          <w:b/>
          <w:bCs/>
          <w:lang w:eastAsia="es-ES"/>
        </w:rPr>
        <w:t>ver anexo 28</w:t>
      </w:r>
      <w:r w:rsidRPr="00D106C9">
        <w:rPr>
          <w:lang w:eastAsia="es-ES"/>
        </w:rPr>
        <w:t>).</w:t>
      </w:r>
    </w:p>
    <w:p w14:paraId="6EC6520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Este Plan de Acción, tiene como responsable operativo a la Unidad de Salud e Higiene Ocupacional, la cual realizó la siguiente actividad para alcanzar el cumplimiento citado:</w:t>
      </w:r>
    </w:p>
    <w:p w14:paraId="49462D5D" w14:textId="77777777" w:rsidR="00D106C9" w:rsidRPr="00D106C9" w:rsidRDefault="00D106C9" w:rsidP="003B2E9B">
      <w:pPr>
        <w:widowControl w:val="0"/>
        <w:numPr>
          <w:ilvl w:val="0"/>
          <w:numId w:val="74"/>
        </w:numPr>
        <w:suppressAutoHyphens w:val="0"/>
        <w:autoSpaceDE w:val="0"/>
        <w:autoSpaceDN w:val="0"/>
        <w:adjustRightInd w:val="0"/>
        <w:ind w:left="851" w:right="851" w:firstLine="709"/>
        <w:contextualSpacing/>
        <w:jc w:val="both"/>
        <w:rPr>
          <w:i/>
          <w:iCs/>
          <w:lang w:eastAsia="es-ES"/>
        </w:rPr>
      </w:pPr>
      <w:r w:rsidRPr="00D106C9">
        <w:rPr>
          <w:lang w:eastAsia="es-ES"/>
        </w:rPr>
        <w:t xml:space="preserve">La Unidad de Salud e Higiene Ocupacional, realizó la renovación de Sello COVID-19, con esta actividad se cumple con la meta operativa </w:t>
      </w:r>
      <w:r w:rsidRPr="00D106C9">
        <w:rPr>
          <w:i/>
          <w:iCs/>
          <w:lang w:eastAsia="es-ES"/>
        </w:rPr>
        <w:t>“Que al 24 de julio de 2021 se hayan realizado los trámites para obtener nuevamente el sello COVID.19 por parte del CSO”.</w:t>
      </w:r>
    </w:p>
    <w:p w14:paraId="244719A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56AF3551"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11.3. Oportunidad de mejora del Plan de Acción Covid-19</w:t>
      </w:r>
    </w:p>
    <w:p w14:paraId="1A9D399F"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1CB8506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Como resultado de la evaluación al Plan de Acción Covid-19 para el 2021, se muestra a continuación las oficinas responsables de contar con objetivos y acciones del Plan de Acción y que no realizaron los avances respectivos en el Sistema PAO.</w:t>
      </w:r>
    </w:p>
    <w:p w14:paraId="65F0FF0B" w14:textId="77777777" w:rsidR="00D106C9" w:rsidRPr="00D106C9" w:rsidRDefault="00D106C9" w:rsidP="00D106C9">
      <w:pPr>
        <w:widowControl w:val="0"/>
        <w:suppressAutoHyphens w:val="0"/>
        <w:autoSpaceDE w:val="0"/>
        <w:autoSpaceDN w:val="0"/>
        <w:adjustRightInd w:val="0"/>
        <w:ind w:left="851" w:right="851" w:firstLine="709"/>
        <w:rPr>
          <w:lang w:eastAsia="es-ES"/>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05"/>
        <w:gridCol w:w="1697"/>
        <w:gridCol w:w="1530"/>
        <w:gridCol w:w="1518"/>
        <w:gridCol w:w="1126"/>
        <w:gridCol w:w="1519"/>
      </w:tblGrid>
      <w:tr w:rsidR="00D106C9" w:rsidRPr="00D106C9" w14:paraId="5E8E9667" w14:textId="77777777" w:rsidTr="006D7BCD">
        <w:trPr>
          <w:trHeight w:val="440"/>
        </w:trPr>
        <w:tc>
          <w:tcPr>
            <w:tcW w:w="871" w:type="pct"/>
            <w:shd w:val="clear" w:color="auto" w:fill="8DB3E2"/>
            <w:vAlign w:val="center"/>
            <w:hideMark/>
          </w:tcPr>
          <w:p w14:paraId="6975265B"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FICINA</w:t>
            </w:r>
          </w:p>
        </w:tc>
        <w:tc>
          <w:tcPr>
            <w:tcW w:w="911" w:type="pct"/>
            <w:shd w:val="clear" w:color="auto" w:fill="8DB3E2"/>
            <w:vAlign w:val="center"/>
            <w:hideMark/>
          </w:tcPr>
          <w:p w14:paraId="4E4D575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 ESTRATEGICA</w:t>
            </w:r>
          </w:p>
        </w:tc>
        <w:tc>
          <w:tcPr>
            <w:tcW w:w="941" w:type="pct"/>
            <w:shd w:val="clear" w:color="auto" w:fill="8DB3E2"/>
            <w:vAlign w:val="center"/>
            <w:hideMark/>
          </w:tcPr>
          <w:p w14:paraId="081C55C3"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OBJETIVO OPERATIVO</w:t>
            </w:r>
          </w:p>
        </w:tc>
        <w:tc>
          <w:tcPr>
            <w:tcW w:w="914" w:type="pct"/>
            <w:shd w:val="clear" w:color="auto" w:fill="8DB3E2"/>
            <w:vAlign w:val="center"/>
            <w:hideMark/>
          </w:tcPr>
          <w:p w14:paraId="4212D34F"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 OPERATIVA</w:t>
            </w:r>
          </w:p>
        </w:tc>
        <w:tc>
          <w:tcPr>
            <w:tcW w:w="497" w:type="pct"/>
            <w:shd w:val="clear" w:color="auto" w:fill="8DB3E2"/>
            <w:vAlign w:val="center"/>
            <w:hideMark/>
          </w:tcPr>
          <w:p w14:paraId="674163C0"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 de Avance al 2021</w:t>
            </w:r>
          </w:p>
        </w:tc>
        <w:tc>
          <w:tcPr>
            <w:tcW w:w="866" w:type="pct"/>
            <w:shd w:val="clear" w:color="auto" w:fill="8DB3E2"/>
          </w:tcPr>
          <w:p w14:paraId="529CA5B9"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Oportunidades de mejora para 2022</w:t>
            </w:r>
          </w:p>
        </w:tc>
      </w:tr>
      <w:tr w:rsidR="00D106C9" w:rsidRPr="00D106C9" w14:paraId="5E61348D" w14:textId="77777777" w:rsidTr="006D7BCD">
        <w:trPr>
          <w:trHeight w:val="5250"/>
        </w:trPr>
        <w:tc>
          <w:tcPr>
            <w:tcW w:w="871" w:type="pct"/>
            <w:vMerge w:val="restart"/>
            <w:shd w:val="clear" w:color="auto" w:fill="auto"/>
            <w:hideMark/>
          </w:tcPr>
          <w:p w14:paraId="1F2CD259"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lastRenderedPageBreak/>
              <w:t>4000 - COMISION DE LA JURISDICCION AGRARIO Y AGROAMBIENTAL</w:t>
            </w:r>
          </w:p>
        </w:tc>
        <w:tc>
          <w:tcPr>
            <w:tcW w:w="911" w:type="pct"/>
            <w:vMerge w:val="restart"/>
            <w:shd w:val="clear" w:color="auto" w:fill="auto"/>
            <w:hideMark/>
          </w:tcPr>
          <w:p w14:paraId="158E6D8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OE.1.5.19.1 - Que al finalizar el 2024, se haya implementado el proyecto de abordaje a la entrada en vigencia del Código Procesal Agrario.</w:t>
            </w:r>
          </w:p>
        </w:tc>
        <w:tc>
          <w:tcPr>
            <w:tcW w:w="941" w:type="pct"/>
            <w:vMerge w:val="restart"/>
            <w:shd w:val="clear" w:color="auto" w:fill="auto"/>
            <w:hideMark/>
          </w:tcPr>
          <w:p w14:paraId="140BF184"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Aprobar por parte de la Comisión de la Jurisdicción Agraria el Plan de Capacitación Agraria remitido por la Escuela Judicial, con el fin de cumplir con el cronograma del proyecto del Implementación del Código Procesal Agrario, incorporando los ajustes que sean necesarios con ocasión de la pandemia Covid-19.</w:t>
            </w:r>
          </w:p>
        </w:tc>
        <w:tc>
          <w:tcPr>
            <w:tcW w:w="914" w:type="pct"/>
            <w:shd w:val="clear" w:color="auto" w:fill="auto"/>
            <w:hideMark/>
          </w:tcPr>
          <w:p w14:paraId="293D0DE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Que al finalizar el 2021, la Comisión de la Jurisdicción Agraria haya aprobado el Plan de Capacitación Agraria propuesto por la Escuela Judicial, asociado a la implementación del Código Procesal Agrario, el cual debe estar ajustado con ocasión de los requerimientos propios de la pandemia Covid19.</w:t>
            </w:r>
          </w:p>
        </w:tc>
        <w:tc>
          <w:tcPr>
            <w:tcW w:w="497" w:type="pct"/>
            <w:shd w:val="clear" w:color="auto" w:fill="FFFFFF"/>
            <w:vAlign w:val="center"/>
            <w:hideMark/>
          </w:tcPr>
          <w:p w14:paraId="264B0C3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0%</w:t>
            </w:r>
          </w:p>
        </w:tc>
        <w:tc>
          <w:tcPr>
            <w:tcW w:w="866" w:type="pct"/>
            <w:shd w:val="clear" w:color="auto" w:fill="FFFFFF"/>
          </w:tcPr>
          <w:p w14:paraId="281F9343"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Dado que la meta del PAO 2021 no fue completada, se sugiere que esta sea incorporada nuevamente en el PAO 2022 con el fin de que sea completada, lo relacionado con el Plan de Capacitación Agraria en coordinación con la Escuela Judicial.</w:t>
            </w:r>
          </w:p>
        </w:tc>
      </w:tr>
      <w:tr w:rsidR="00D106C9" w:rsidRPr="00D106C9" w14:paraId="74E6F54A" w14:textId="77777777" w:rsidTr="006D7BCD">
        <w:trPr>
          <w:trHeight w:val="1680"/>
        </w:trPr>
        <w:tc>
          <w:tcPr>
            <w:tcW w:w="871" w:type="pct"/>
            <w:vMerge/>
            <w:vAlign w:val="center"/>
            <w:hideMark/>
          </w:tcPr>
          <w:p w14:paraId="5229DC70" w14:textId="77777777" w:rsidR="00D106C9" w:rsidRPr="00D106C9" w:rsidRDefault="00D106C9" w:rsidP="00D106C9">
            <w:pPr>
              <w:widowControl w:val="0"/>
              <w:suppressAutoHyphens w:val="0"/>
              <w:autoSpaceDE w:val="0"/>
              <w:autoSpaceDN w:val="0"/>
              <w:adjustRightInd w:val="0"/>
              <w:rPr>
                <w:lang w:eastAsia="es-CR"/>
              </w:rPr>
            </w:pPr>
          </w:p>
        </w:tc>
        <w:tc>
          <w:tcPr>
            <w:tcW w:w="911" w:type="pct"/>
            <w:vMerge/>
            <w:vAlign w:val="center"/>
            <w:hideMark/>
          </w:tcPr>
          <w:p w14:paraId="2AFA9F03" w14:textId="77777777" w:rsidR="00D106C9" w:rsidRPr="00D106C9" w:rsidRDefault="00D106C9" w:rsidP="00D106C9">
            <w:pPr>
              <w:widowControl w:val="0"/>
              <w:suppressAutoHyphens w:val="0"/>
              <w:autoSpaceDE w:val="0"/>
              <w:autoSpaceDN w:val="0"/>
              <w:adjustRightInd w:val="0"/>
              <w:rPr>
                <w:lang w:eastAsia="es-CR"/>
              </w:rPr>
            </w:pPr>
          </w:p>
        </w:tc>
        <w:tc>
          <w:tcPr>
            <w:tcW w:w="941" w:type="pct"/>
            <w:vMerge/>
            <w:vAlign w:val="center"/>
            <w:hideMark/>
          </w:tcPr>
          <w:p w14:paraId="6BB30643" w14:textId="77777777" w:rsidR="00D106C9" w:rsidRPr="00D106C9" w:rsidRDefault="00D106C9" w:rsidP="00D106C9">
            <w:pPr>
              <w:widowControl w:val="0"/>
              <w:suppressAutoHyphens w:val="0"/>
              <w:autoSpaceDE w:val="0"/>
              <w:autoSpaceDN w:val="0"/>
              <w:adjustRightInd w:val="0"/>
              <w:rPr>
                <w:lang w:eastAsia="es-CR"/>
              </w:rPr>
            </w:pPr>
          </w:p>
        </w:tc>
        <w:tc>
          <w:tcPr>
            <w:tcW w:w="914" w:type="pct"/>
            <w:shd w:val="clear" w:color="auto" w:fill="auto"/>
            <w:hideMark/>
          </w:tcPr>
          <w:p w14:paraId="4E041FD1"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Que al finalizar el 2021, se haya capacitado al 100% de la población definida en el plan de capacitación</w:t>
            </w:r>
          </w:p>
        </w:tc>
        <w:tc>
          <w:tcPr>
            <w:tcW w:w="497" w:type="pct"/>
            <w:shd w:val="clear" w:color="auto" w:fill="FFFFFF"/>
            <w:vAlign w:val="center"/>
            <w:hideMark/>
          </w:tcPr>
          <w:p w14:paraId="0F4568E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0%</w:t>
            </w:r>
          </w:p>
        </w:tc>
        <w:tc>
          <w:tcPr>
            <w:tcW w:w="866" w:type="pct"/>
            <w:shd w:val="clear" w:color="auto" w:fill="FFFFFF"/>
          </w:tcPr>
          <w:p w14:paraId="74D6F0F6"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Dado que la meta del PAO 2021 no fue completada, se sugiere que esta sea incorporada nuevamente en el PAO 2022 con el fin de que sea completada, lo relacionado </w:t>
            </w:r>
            <w:r w:rsidRPr="00D106C9">
              <w:rPr>
                <w:lang w:eastAsia="es-CR"/>
              </w:rPr>
              <w:lastRenderedPageBreak/>
              <w:t xml:space="preserve">con la capacitación a la </w:t>
            </w:r>
            <w:proofErr w:type="gramStart"/>
            <w:r w:rsidRPr="00D106C9">
              <w:rPr>
                <w:lang w:eastAsia="es-CR"/>
              </w:rPr>
              <w:t>población .</w:t>
            </w:r>
            <w:proofErr w:type="gramEnd"/>
          </w:p>
        </w:tc>
      </w:tr>
      <w:tr w:rsidR="00D106C9" w:rsidRPr="00D106C9" w14:paraId="2CB8806F" w14:textId="77777777" w:rsidTr="006D7BCD">
        <w:trPr>
          <w:trHeight w:val="3780"/>
        </w:trPr>
        <w:tc>
          <w:tcPr>
            <w:tcW w:w="871" w:type="pct"/>
            <w:vMerge/>
            <w:vAlign w:val="center"/>
            <w:hideMark/>
          </w:tcPr>
          <w:p w14:paraId="5B5D15B0" w14:textId="77777777" w:rsidR="00D106C9" w:rsidRPr="00D106C9" w:rsidRDefault="00D106C9" w:rsidP="00D106C9">
            <w:pPr>
              <w:widowControl w:val="0"/>
              <w:suppressAutoHyphens w:val="0"/>
              <w:autoSpaceDE w:val="0"/>
              <w:autoSpaceDN w:val="0"/>
              <w:adjustRightInd w:val="0"/>
              <w:rPr>
                <w:lang w:eastAsia="es-CR"/>
              </w:rPr>
            </w:pPr>
          </w:p>
        </w:tc>
        <w:tc>
          <w:tcPr>
            <w:tcW w:w="911" w:type="pct"/>
            <w:vMerge/>
            <w:vAlign w:val="center"/>
            <w:hideMark/>
          </w:tcPr>
          <w:p w14:paraId="1D15D9E1" w14:textId="77777777" w:rsidR="00D106C9" w:rsidRPr="00D106C9" w:rsidRDefault="00D106C9" w:rsidP="00D106C9">
            <w:pPr>
              <w:widowControl w:val="0"/>
              <w:suppressAutoHyphens w:val="0"/>
              <w:autoSpaceDE w:val="0"/>
              <w:autoSpaceDN w:val="0"/>
              <w:adjustRightInd w:val="0"/>
              <w:rPr>
                <w:lang w:eastAsia="es-CR"/>
              </w:rPr>
            </w:pPr>
          </w:p>
        </w:tc>
        <w:tc>
          <w:tcPr>
            <w:tcW w:w="941" w:type="pct"/>
            <w:shd w:val="clear" w:color="auto" w:fill="auto"/>
            <w:hideMark/>
          </w:tcPr>
          <w:p w14:paraId="6A545784"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Realizar actividad de capacitación sobre el uso de la herramienta tecnológica “</w:t>
            </w:r>
            <w:proofErr w:type="spellStart"/>
            <w:r w:rsidRPr="00D106C9">
              <w:rPr>
                <w:lang w:eastAsia="es-CR"/>
              </w:rPr>
              <w:t>drone</w:t>
            </w:r>
            <w:proofErr w:type="spellEnd"/>
            <w:r w:rsidRPr="00D106C9">
              <w:rPr>
                <w:lang w:eastAsia="es-CR"/>
              </w:rPr>
              <w:t>” en coordinación con la Dirección de Tecnología de la Información, para la mejora en las audiencias de campo en la jurisdicción agraria.</w:t>
            </w:r>
          </w:p>
        </w:tc>
        <w:tc>
          <w:tcPr>
            <w:tcW w:w="914" w:type="pct"/>
            <w:shd w:val="clear" w:color="auto" w:fill="auto"/>
            <w:hideMark/>
          </w:tcPr>
          <w:p w14:paraId="40AE476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Que al finalizar el 2021, se haya completado la capacitación sobre el uso de la herramienta tecnológica “</w:t>
            </w:r>
            <w:proofErr w:type="spellStart"/>
            <w:r w:rsidRPr="00D106C9">
              <w:rPr>
                <w:lang w:eastAsia="es-CR"/>
              </w:rPr>
              <w:t>drone</w:t>
            </w:r>
            <w:proofErr w:type="spellEnd"/>
            <w:r w:rsidRPr="00D106C9">
              <w:rPr>
                <w:lang w:eastAsia="es-CR"/>
              </w:rPr>
              <w:t xml:space="preserve">” al 100% de las personas juzgadoras y al menos 2 personas técnicas de la jurisdicción agraria. </w:t>
            </w:r>
          </w:p>
        </w:tc>
        <w:tc>
          <w:tcPr>
            <w:tcW w:w="497" w:type="pct"/>
            <w:shd w:val="clear" w:color="auto" w:fill="FFFFFF"/>
            <w:vAlign w:val="center"/>
            <w:hideMark/>
          </w:tcPr>
          <w:p w14:paraId="78F7370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0%</w:t>
            </w:r>
          </w:p>
        </w:tc>
        <w:tc>
          <w:tcPr>
            <w:tcW w:w="866" w:type="pct"/>
            <w:shd w:val="clear" w:color="auto" w:fill="FFFFFF"/>
          </w:tcPr>
          <w:p w14:paraId="3F07E3B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Dado que la meta del PAO 2021 no fue completada, se sugiere que esta sea incorporada nuevamente en el PAO 2022 con el fin de que sea terminada, lo relacionado con el uso de la herramienta tecnológica “</w:t>
            </w:r>
            <w:proofErr w:type="spellStart"/>
            <w:r w:rsidRPr="00D106C9">
              <w:rPr>
                <w:lang w:eastAsia="es-CR"/>
              </w:rPr>
              <w:t>drone</w:t>
            </w:r>
            <w:proofErr w:type="spellEnd"/>
            <w:r w:rsidRPr="00D106C9">
              <w:rPr>
                <w:lang w:eastAsia="es-CR"/>
              </w:rPr>
              <w:t>” en juzgados agrarios.</w:t>
            </w:r>
          </w:p>
        </w:tc>
      </w:tr>
      <w:tr w:rsidR="00D106C9" w:rsidRPr="00D106C9" w14:paraId="06E7B6A3" w14:textId="77777777" w:rsidTr="006D7BCD">
        <w:trPr>
          <w:trHeight w:val="3570"/>
        </w:trPr>
        <w:tc>
          <w:tcPr>
            <w:tcW w:w="871" w:type="pct"/>
            <w:vMerge/>
            <w:vAlign w:val="center"/>
            <w:hideMark/>
          </w:tcPr>
          <w:p w14:paraId="3D23F3B2" w14:textId="77777777" w:rsidR="00D106C9" w:rsidRPr="00D106C9" w:rsidRDefault="00D106C9" w:rsidP="00D106C9">
            <w:pPr>
              <w:widowControl w:val="0"/>
              <w:suppressAutoHyphens w:val="0"/>
              <w:autoSpaceDE w:val="0"/>
              <w:autoSpaceDN w:val="0"/>
              <w:adjustRightInd w:val="0"/>
              <w:rPr>
                <w:lang w:eastAsia="es-CR"/>
              </w:rPr>
            </w:pPr>
          </w:p>
        </w:tc>
        <w:tc>
          <w:tcPr>
            <w:tcW w:w="911" w:type="pct"/>
            <w:vMerge/>
            <w:vAlign w:val="center"/>
            <w:hideMark/>
          </w:tcPr>
          <w:p w14:paraId="2748D78C" w14:textId="77777777" w:rsidR="00D106C9" w:rsidRPr="00D106C9" w:rsidRDefault="00D106C9" w:rsidP="00D106C9">
            <w:pPr>
              <w:widowControl w:val="0"/>
              <w:suppressAutoHyphens w:val="0"/>
              <w:autoSpaceDE w:val="0"/>
              <w:autoSpaceDN w:val="0"/>
              <w:adjustRightInd w:val="0"/>
              <w:rPr>
                <w:lang w:eastAsia="es-CR"/>
              </w:rPr>
            </w:pPr>
          </w:p>
        </w:tc>
        <w:tc>
          <w:tcPr>
            <w:tcW w:w="941" w:type="pct"/>
            <w:shd w:val="clear" w:color="auto" w:fill="auto"/>
            <w:hideMark/>
          </w:tcPr>
          <w:p w14:paraId="3081CE3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Revisar e identificar oportunidades de mejora del Protocolo de Audiencias Virtuales de la Jurisdicción Agraria aprobado por Corte Plena, con el fin de valorar si es necesario realizar </w:t>
            </w:r>
            <w:r w:rsidRPr="00D106C9">
              <w:rPr>
                <w:lang w:eastAsia="es-CR"/>
              </w:rPr>
              <w:lastRenderedPageBreak/>
              <w:t>propuesta de actualización.</w:t>
            </w:r>
          </w:p>
        </w:tc>
        <w:tc>
          <w:tcPr>
            <w:tcW w:w="914" w:type="pct"/>
            <w:shd w:val="clear" w:color="auto" w:fill="auto"/>
            <w:hideMark/>
          </w:tcPr>
          <w:p w14:paraId="7ED09181"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lastRenderedPageBreak/>
              <w:t xml:space="preserve">Que al finalizar el 2021, se haya revisado e identificado oportunidades de mejora del Protocolo de Audiencias Virtuales de la Jurisdicción Agraria. </w:t>
            </w:r>
          </w:p>
        </w:tc>
        <w:tc>
          <w:tcPr>
            <w:tcW w:w="497" w:type="pct"/>
            <w:shd w:val="clear" w:color="auto" w:fill="FFFFFF"/>
            <w:vAlign w:val="center"/>
            <w:hideMark/>
          </w:tcPr>
          <w:p w14:paraId="226B024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0%</w:t>
            </w:r>
          </w:p>
        </w:tc>
        <w:tc>
          <w:tcPr>
            <w:tcW w:w="866" w:type="pct"/>
            <w:shd w:val="clear" w:color="auto" w:fill="FFFFFF"/>
          </w:tcPr>
          <w:p w14:paraId="7E43B79B"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Dado que la meta del PAO 2021 no fue completada, se sugiere que esta sea incorporada nuevamente en el PAO 2022 con el fin de que sea terminada, lo relacionado con el Protocolo de </w:t>
            </w:r>
            <w:r w:rsidRPr="00D106C9">
              <w:rPr>
                <w:lang w:eastAsia="es-CR"/>
              </w:rPr>
              <w:lastRenderedPageBreak/>
              <w:t>Audiencias Virtuales de la Jurisdicción Agraria.</w:t>
            </w:r>
          </w:p>
        </w:tc>
      </w:tr>
      <w:tr w:rsidR="00D106C9" w:rsidRPr="00D106C9" w14:paraId="790E4E8E" w14:textId="77777777" w:rsidTr="006D7BCD">
        <w:trPr>
          <w:trHeight w:val="4537"/>
        </w:trPr>
        <w:tc>
          <w:tcPr>
            <w:tcW w:w="871" w:type="pct"/>
            <w:shd w:val="clear" w:color="auto" w:fill="auto"/>
            <w:hideMark/>
          </w:tcPr>
          <w:p w14:paraId="0256527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lastRenderedPageBreak/>
              <w:t>0148 - BIBLIOTECA JUDICIAL</w:t>
            </w:r>
          </w:p>
        </w:tc>
        <w:tc>
          <w:tcPr>
            <w:tcW w:w="911" w:type="pct"/>
            <w:shd w:val="clear" w:color="auto" w:fill="auto"/>
            <w:hideMark/>
          </w:tcPr>
          <w:p w14:paraId="44A6BBD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OE.1.6.1.1 - Que al finalizar el 2024, se hayan atendido de manera integral en los distintos ámbitos judiciales, aquellas actividades de capacitación que respondan a los temas de interés institucionales, que hayan sido identificados por las entidades superiores de la institución.</w:t>
            </w:r>
          </w:p>
        </w:tc>
        <w:tc>
          <w:tcPr>
            <w:tcW w:w="941" w:type="pct"/>
            <w:shd w:val="clear" w:color="auto" w:fill="auto"/>
            <w:hideMark/>
          </w:tcPr>
          <w:p w14:paraId="4B80A5F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Implementar grupos de trabajos alternos en la modalidad presencial y de teletrabajo de manera semanal, que no coincidan </w:t>
            </w:r>
            <w:proofErr w:type="gramStart"/>
            <w:r w:rsidRPr="00D106C9">
              <w:rPr>
                <w:lang w:eastAsia="es-CR"/>
              </w:rPr>
              <w:t>los  grupos</w:t>
            </w:r>
            <w:proofErr w:type="gramEnd"/>
            <w:r w:rsidRPr="00D106C9">
              <w:rPr>
                <w:lang w:eastAsia="es-CR"/>
              </w:rPr>
              <w:t xml:space="preserve"> con los roles de trabajo presenciales, con el fin de dar continuidad a la prestación del servicio en la emisión de certificaciones de antecedentes penales y de pensión alimentaria.</w:t>
            </w:r>
          </w:p>
        </w:tc>
        <w:tc>
          <w:tcPr>
            <w:tcW w:w="914" w:type="pct"/>
            <w:shd w:val="clear" w:color="auto" w:fill="auto"/>
            <w:hideMark/>
          </w:tcPr>
          <w:p w14:paraId="216C8998"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Que al 31/12/2021 se hayan elaborado un plan de trabajo para la ejecución de los roles establecidos conforme cronograma.</w:t>
            </w:r>
          </w:p>
        </w:tc>
        <w:tc>
          <w:tcPr>
            <w:tcW w:w="497" w:type="pct"/>
            <w:shd w:val="clear" w:color="auto" w:fill="FFFFFF"/>
            <w:hideMark/>
          </w:tcPr>
          <w:p w14:paraId="5BE745E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0%</w:t>
            </w:r>
          </w:p>
        </w:tc>
        <w:tc>
          <w:tcPr>
            <w:tcW w:w="866" w:type="pct"/>
            <w:shd w:val="clear" w:color="auto" w:fill="FFFFFF"/>
          </w:tcPr>
          <w:p w14:paraId="5271F69A"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Dado que la meta del PAO 2021 no fue completada, se sugiere que esta sea incorporada nuevamente en el PAO 2022 con el fin de que sea terminada, lo </w:t>
            </w:r>
            <w:proofErr w:type="gramStart"/>
            <w:r w:rsidRPr="00D106C9">
              <w:rPr>
                <w:lang w:eastAsia="es-CR"/>
              </w:rPr>
              <w:t>relacionado  con</w:t>
            </w:r>
            <w:proofErr w:type="gramEnd"/>
            <w:r w:rsidRPr="00D106C9">
              <w:rPr>
                <w:lang w:eastAsia="es-CR"/>
              </w:rPr>
              <w:t xml:space="preserve"> plan de trabajo para la ejecución de los roles establecidos conforme cronograma de la Biblioteca Judicial.</w:t>
            </w:r>
          </w:p>
        </w:tc>
      </w:tr>
    </w:tbl>
    <w:p w14:paraId="34E88AE8" w14:textId="77777777" w:rsidR="00D106C9" w:rsidRPr="00D106C9" w:rsidRDefault="00D106C9" w:rsidP="00D106C9">
      <w:pPr>
        <w:widowControl w:val="0"/>
        <w:suppressAutoHyphens w:val="0"/>
        <w:autoSpaceDE w:val="0"/>
        <w:autoSpaceDN w:val="0"/>
        <w:adjustRightInd w:val="0"/>
        <w:rPr>
          <w:lang w:eastAsia="es-ES"/>
        </w:rPr>
      </w:pPr>
    </w:p>
    <w:p w14:paraId="5825C0B8" w14:textId="77777777" w:rsidR="00D106C9" w:rsidRPr="00D106C9" w:rsidRDefault="00D106C9" w:rsidP="00D106C9">
      <w:pPr>
        <w:widowControl w:val="0"/>
        <w:suppressAutoHyphens w:val="0"/>
        <w:autoSpaceDE w:val="0"/>
        <w:autoSpaceDN w:val="0"/>
        <w:adjustRightInd w:val="0"/>
        <w:ind w:left="851" w:right="851" w:firstLine="709"/>
        <w:jc w:val="both"/>
        <w:rPr>
          <w:bCs/>
          <w:lang w:eastAsia="es-ES"/>
        </w:rPr>
      </w:pPr>
      <w:r w:rsidRPr="00D106C9">
        <w:rPr>
          <w:lang w:eastAsia="es-ES"/>
        </w:rPr>
        <w:t xml:space="preserve">Finalmente, es importante reiterar que dos estrategias del Plan de Acción </w:t>
      </w:r>
      <w:r w:rsidRPr="00D106C9">
        <w:rPr>
          <w:lang w:eastAsia="es-ES"/>
        </w:rPr>
        <w:lastRenderedPageBreak/>
        <w:t xml:space="preserve">asociadas </w:t>
      </w:r>
      <w:r w:rsidRPr="00D106C9">
        <w:rPr>
          <w:bCs/>
          <w:lang w:eastAsia="es-ES"/>
        </w:rPr>
        <w:t xml:space="preserve">a la materia tecnológica </w:t>
      </w:r>
      <w:r w:rsidRPr="00D106C9">
        <w:rPr>
          <w:lang w:eastAsia="es-ES"/>
        </w:rPr>
        <w:t>no se le formularon objetivos operativos. Se considera desde la perspectiva del Plan de continuidad del servicio, la importancia de evidenciar cuáles acciones se encuentra directamente relacionadas</w:t>
      </w:r>
      <w:r w:rsidRPr="00D106C9">
        <w:rPr>
          <w:bCs/>
          <w:lang w:eastAsia="es-ES"/>
        </w:rPr>
        <w:t xml:space="preserve"> a contribuir en la atención de la emergencia sanitaria COVID-19, dado que se considera como un activo estratégico para la continuidad de los servicios institucionales. Las estrategias citadas son las siguientes: Estrategia 10 – Ampliación de los servicios de la Mesa de Ayuda (DTI) y Estrategia 20 – Gestión de las Tecnologías de la Información y Transformación Digital.</w:t>
      </w:r>
    </w:p>
    <w:p w14:paraId="3B5F35E6"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4EA39757" w14:textId="77777777" w:rsidR="00D106C9" w:rsidRPr="00D106C9" w:rsidRDefault="00D106C9" w:rsidP="00D106C9">
      <w:pPr>
        <w:widowControl w:val="0"/>
        <w:suppressAutoHyphens w:val="0"/>
        <w:autoSpaceDE w:val="0"/>
        <w:autoSpaceDN w:val="0"/>
        <w:adjustRightInd w:val="0"/>
        <w:jc w:val="both"/>
        <w:rPr>
          <w:lang w:eastAsia="es-ES"/>
        </w:rPr>
      </w:pPr>
    </w:p>
    <w:p w14:paraId="74F1B5D3"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37" w:name="_Toc90563630"/>
      <w:bookmarkStart w:id="38" w:name="_Toc102390784"/>
      <w:r w:rsidRPr="00D106C9">
        <w:rPr>
          <w:lang w:eastAsia="es-ES"/>
        </w:rPr>
        <w:t>Oportunidades de mejora del Plan Anual Operativo 2021</w:t>
      </w:r>
      <w:bookmarkEnd w:id="37"/>
      <w:bookmarkEnd w:id="38"/>
    </w:p>
    <w:p w14:paraId="77D95BF5"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68A9AD07" w14:textId="77777777" w:rsidR="00D106C9" w:rsidRPr="00D106C9" w:rsidRDefault="00D106C9" w:rsidP="00D106C9">
      <w:pPr>
        <w:widowControl w:val="0"/>
        <w:tabs>
          <w:tab w:val="left" w:pos="993"/>
        </w:tabs>
        <w:suppressAutoHyphens w:val="0"/>
        <w:autoSpaceDE w:val="0"/>
        <w:autoSpaceDN w:val="0"/>
        <w:adjustRightInd w:val="0"/>
        <w:ind w:left="851" w:right="851" w:firstLine="709"/>
        <w:jc w:val="both"/>
        <w:rPr>
          <w:lang w:eastAsia="es-ES"/>
        </w:rPr>
      </w:pPr>
      <w:r w:rsidRPr="00D106C9">
        <w:rPr>
          <w:lang w:eastAsia="es-ES"/>
        </w:rPr>
        <w:t>De la evaluación efectuada al Plan Anual Operativo 2021, se tienen oportunidades de mejora enfocadas en los Centros de Responsabilidad y Oficinas que obtuvieron porcentajes de avance de cumplimiento inferiores al 90% y las cuales se deben atender a mediano plazo con el fin de mejorar el porcentaje de cumplimiento al finalizar el Plan Anual Operativo 2022. Por lo anterior se enlista las oportunidades de mejora a revisar:</w:t>
      </w:r>
    </w:p>
    <w:p w14:paraId="505FDC74"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12.1. Centros de Responsabilidad.</w:t>
      </w:r>
    </w:p>
    <w:p w14:paraId="08993219"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823A86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A continuación, se observa las oportunidades de mejoras para los Centros de Responsabilidad con registro inferior al 90% en los avances de cumplimiento para el Plan Anual Operativo 2021. </w:t>
      </w:r>
    </w:p>
    <w:p w14:paraId="0B001731"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9</w:t>
      </w:r>
      <w:r w:rsidRPr="00D106C9">
        <w:rPr>
          <w:b/>
          <w:bCs/>
          <w:lang w:eastAsia="es-ES"/>
        </w:rPr>
        <w:fldChar w:fldCharType="end"/>
      </w:r>
    </w:p>
    <w:p w14:paraId="1D8666E1" w14:textId="77777777" w:rsidR="00D106C9" w:rsidRPr="00D106C9" w:rsidRDefault="00D106C9" w:rsidP="00D106C9">
      <w:pPr>
        <w:widowControl w:val="0"/>
        <w:suppressAutoHyphens w:val="0"/>
        <w:autoSpaceDE w:val="0"/>
        <w:autoSpaceDN w:val="0"/>
        <w:adjustRightInd w:val="0"/>
        <w:jc w:val="center"/>
        <w:rPr>
          <w:b/>
          <w:bCs/>
          <w:i/>
          <w:iCs/>
          <w:lang w:eastAsia="es-ES"/>
        </w:rPr>
      </w:pPr>
      <w:r w:rsidRPr="00D106C9">
        <w:rPr>
          <w:b/>
          <w:bCs/>
          <w:lang w:eastAsia="es-ES"/>
        </w:rPr>
        <w:t xml:space="preserve">Centros de Responsabilidad con </w:t>
      </w:r>
      <w:proofErr w:type="spellStart"/>
      <w:r w:rsidRPr="00D106C9">
        <w:rPr>
          <w:b/>
          <w:bCs/>
          <w:lang w:eastAsia="es-ES"/>
        </w:rPr>
        <w:t>con</w:t>
      </w:r>
      <w:proofErr w:type="spellEnd"/>
      <w:r w:rsidRPr="00D106C9">
        <w:rPr>
          <w:b/>
          <w:bCs/>
          <w:lang w:eastAsia="es-ES"/>
        </w:rPr>
        <w:t xml:space="preserve"> registro de cumplimiento inferior al 90% en los avances al PAO.</w:t>
      </w:r>
    </w:p>
    <w:tbl>
      <w:tblPr>
        <w:tblW w:w="9240" w:type="dxa"/>
        <w:tblCellMar>
          <w:left w:w="70" w:type="dxa"/>
          <w:right w:w="70" w:type="dxa"/>
        </w:tblCellMar>
        <w:tblLook w:val="04A0" w:firstRow="1" w:lastRow="0" w:firstColumn="1" w:lastColumn="0" w:noHBand="0" w:noVBand="1"/>
      </w:tblPr>
      <w:tblGrid>
        <w:gridCol w:w="1200"/>
        <w:gridCol w:w="3420"/>
        <w:gridCol w:w="1500"/>
        <w:gridCol w:w="1460"/>
        <w:gridCol w:w="1660"/>
      </w:tblGrid>
      <w:tr w:rsidR="00D106C9" w:rsidRPr="00D106C9" w14:paraId="5095B66A" w14:textId="77777777" w:rsidTr="006D7BCD">
        <w:trPr>
          <w:trHeight w:val="520"/>
        </w:trPr>
        <w:tc>
          <w:tcPr>
            <w:tcW w:w="1200" w:type="dxa"/>
            <w:tcBorders>
              <w:top w:val="single" w:sz="4" w:space="0" w:color="auto"/>
              <w:left w:val="single" w:sz="4" w:space="0" w:color="auto"/>
              <w:bottom w:val="single" w:sz="4" w:space="0" w:color="auto"/>
              <w:right w:val="single" w:sz="4" w:space="0" w:color="auto"/>
            </w:tcBorders>
            <w:shd w:val="clear" w:color="000000" w:fill="4F81BD"/>
            <w:vAlign w:val="center"/>
            <w:hideMark/>
          </w:tcPr>
          <w:p w14:paraId="4825826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Código</w:t>
            </w:r>
          </w:p>
        </w:tc>
        <w:tc>
          <w:tcPr>
            <w:tcW w:w="3420" w:type="dxa"/>
            <w:tcBorders>
              <w:top w:val="single" w:sz="4" w:space="0" w:color="auto"/>
              <w:left w:val="nil"/>
              <w:bottom w:val="single" w:sz="4" w:space="0" w:color="auto"/>
              <w:right w:val="single" w:sz="4" w:space="0" w:color="auto"/>
            </w:tcBorders>
            <w:shd w:val="clear" w:color="000000" w:fill="4F81BD"/>
            <w:vAlign w:val="center"/>
            <w:hideMark/>
          </w:tcPr>
          <w:p w14:paraId="620994B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Descripción</w:t>
            </w:r>
          </w:p>
        </w:tc>
        <w:tc>
          <w:tcPr>
            <w:tcW w:w="1500" w:type="dxa"/>
            <w:tcBorders>
              <w:top w:val="single" w:sz="4" w:space="0" w:color="auto"/>
              <w:left w:val="nil"/>
              <w:bottom w:val="single" w:sz="4" w:space="0" w:color="auto"/>
              <w:right w:val="single" w:sz="4" w:space="0" w:color="auto"/>
            </w:tcBorders>
            <w:shd w:val="clear" w:color="000000" w:fill="4F81BD"/>
            <w:vAlign w:val="center"/>
            <w:hideMark/>
          </w:tcPr>
          <w:p w14:paraId="249C349C"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Porcentaje</w:t>
            </w:r>
          </w:p>
        </w:tc>
        <w:tc>
          <w:tcPr>
            <w:tcW w:w="1460" w:type="dxa"/>
            <w:tcBorders>
              <w:top w:val="single" w:sz="4" w:space="0" w:color="auto"/>
              <w:left w:val="nil"/>
              <w:bottom w:val="single" w:sz="4" w:space="0" w:color="auto"/>
              <w:right w:val="single" w:sz="4" w:space="0" w:color="auto"/>
            </w:tcBorders>
            <w:shd w:val="clear" w:color="000000" w:fill="4F81BD"/>
            <w:vAlign w:val="center"/>
            <w:hideMark/>
          </w:tcPr>
          <w:p w14:paraId="179B1A9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Metas Formuladas</w:t>
            </w:r>
          </w:p>
        </w:tc>
        <w:tc>
          <w:tcPr>
            <w:tcW w:w="1660" w:type="dxa"/>
            <w:tcBorders>
              <w:top w:val="single" w:sz="4" w:space="0" w:color="auto"/>
              <w:left w:val="nil"/>
              <w:bottom w:val="single" w:sz="4" w:space="0" w:color="auto"/>
              <w:right w:val="single" w:sz="4" w:space="0" w:color="auto"/>
            </w:tcBorders>
            <w:shd w:val="clear" w:color="000000" w:fill="4F81BD"/>
            <w:vAlign w:val="center"/>
            <w:hideMark/>
          </w:tcPr>
          <w:p w14:paraId="3458DFFD"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Metas con Avance</w:t>
            </w:r>
          </w:p>
        </w:tc>
      </w:tr>
      <w:tr w:rsidR="00D106C9" w:rsidRPr="00D106C9" w14:paraId="2E06AF32" w14:textId="77777777" w:rsidTr="006D7BCD">
        <w:trPr>
          <w:trHeight w:val="29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1A83E1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w:t>
            </w:r>
          </w:p>
        </w:tc>
        <w:tc>
          <w:tcPr>
            <w:tcW w:w="3420" w:type="dxa"/>
            <w:tcBorders>
              <w:top w:val="nil"/>
              <w:left w:val="nil"/>
              <w:bottom w:val="single" w:sz="4" w:space="0" w:color="auto"/>
              <w:right w:val="single" w:sz="4" w:space="0" w:color="auto"/>
            </w:tcBorders>
            <w:shd w:val="clear" w:color="auto" w:fill="auto"/>
            <w:vAlign w:val="center"/>
            <w:hideMark/>
          </w:tcPr>
          <w:p w14:paraId="50732D75"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Primer Circuito Judicial Zona Sur</w:t>
            </w:r>
          </w:p>
        </w:tc>
        <w:tc>
          <w:tcPr>
            <w:tcW w:w="1500" w:type="dxa"/>
            <w:tcBorders>
              <w:top w:val="nil"/>
              <w:left w:val="nil"/>
              <w:bottom w:val="single" w:sz="4" w:space="0" w:color="auto"/>
              <w:right w:val="single" w:sz="4" w:space="0" w:color="auto"/>
            </w:tcBorders>
            <w:shd w:val="clear" w:color="auto" w:fill="auto"/>
            <w:vAlign w:val="center"/>
            <w:hideMark/>
          </w:tcPr>
          <w:p w14:paraId="6DA3D12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89.10 %</w:t>
            </w:r>
          </w:p>
        </w:tc>
        <w:tc>
          <w:tcPr>
            <w:tcW w:w="1460" w:type="dxa"/>
            <w:tcBorders>
              <w:top w:val="nil"/>
              <w:left w:val="nil"/>
              <w:bottom w:val="single" w:sz="4" w:space="0" w:color="auto"/>
              <w:right w:val="single" w:sz="4" w:space="0" w:color="auto"/>
            </w:tcBorders>
            <w:shd w:val="clear" w:color="auto" w:fill="auto"/>
            <w:vAlign w:val="center"/>
            <w:hideMark/>
          </w:tcPr>
          <w:p w14:paraId="409B6B0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154</w:t>
            </w:r>
          </w:p>
        </w:tc>
        <w:tc>
          <w:tcPr>
            <w:tcW w:w="1660" w:type="dxa"/>
            <w:tcBorders>
              <w:top w:val="nil"/>
              <w:left w:val="nil"/>
              <w:bottom w:val="single" w:sz="4" w:space="0" w:color="auto"/>
              <w:right w:val="single" w:sz="4" w:space="0" w:color="auto"/>
            </w:tcBorders>
            <w:shd w:val="clear" w:color="auto" w:fill="auto"/>
            <w:vAlign w:val="center"/>
            <w:hideMark/>
          </w:tcPr>
          <w:p w14:paraId="2564FB3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144</w:t>
            </w:r>
          </w:p>
        </w:tc>
      </w:tr>
      <w:tr w:rsidR="00D106C9" w:rsidRPr="00D106C9" w14:paraId="22FE29EA" w14:textId="77777777" w:rsidTr="006D7BCD">
        <w:trPr>
          <w:trHeight w:val="29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517BE3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76</w:t>
            </w:r>
          </w:p>
        </w:tc>
        <w:tc>
          <w:tcPr>
            <w:tcW w:w="3420" w:type="dxa"/>
            <w:tcBorders>
              <w:top w:val="nil"/>
              <w:left w:val="nil"/>
              <w:bottom w:val="single" w:sz="4" w:space="0" w:color="auto"/>
              <w:right w:val="single" w:sz="4" w:space="0" w:color="auto"/>
            </w:tcBorders>
            <w:shd w:val="clear" w:color="auto" w:fill="auto"/>
            <w:vAlign w:val="center"/>
            <w:hideMark/>
          </w:tcPr>
          <w:p w14:paraId="18DF6374"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Osa</w:t>
            </w:r>
          </w:p>
        </w:tc>
        <w:tc>
          <w:tcPr>
            <w:tcW w:w="1500" w:type="dxa"/>
            <w:tcBorders>
              <w:top w:val="nil"/>
              <w:left w:val="nil"/>
              <w:bottom w:val="single" w:sz="4" w:space="0" w:color="auto"/>
              <w:right w:val="single" w:sz="4" w:space="0" w:color="auto"/>
            </w:tcBorders>
            <w:shd w:val="clear" w:color="auto" w:fill="auto"/>
            <w:vAlign w:val="center"/>
            <w:hideMark/>
          </w:tcPr>
          <w:p w14:paraId="4CF7182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86.76 %</w:t>
            </w:r>
          </w:p>
        </w:tc>
        <w:tc>
          <w:tcPr>
            <w:tcW w:w="1460" w:type="dxa"/>
            <w:tcBorders>
              <w:top w:val="nil"/>
              <w:left w:val="nil"/>
              <w:bottom w:val="single" w:sz="4" w:space="0" w:color="auto"/>
              <w:right w:val="single" w:sz="4" w:space="0" w:color="auto"/>
            </w:tcBorders>
            <w:shd w:val="clear" w:color="auto" w:fill="auto"/>
            <w:vAlign w:val="center"/>
            <w:hideMark/>
          </w:tcPr>
          <w:p w14:paraId="3E66872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58</w:t>
            </w:r>
          </w:p>
        </w:tc>
        <w:tc>
          <w:tcPr>
            <w:tcW w:w="1660" w:type="dxa"/>
            <w:tcBorders>
              <w:top w:val="nil"/>
              <w:left w:val="nil"/>
              <w:bottom w:val="single" w:sz="4" w:space="0" w:color="auto"/>
              <w:right w:val="single" w:sz="4" w:space="0" w:color="auto"/>
            </w:tcBorders>
            <w:shd w:val="clear" w:color="auto" w:fill="auto"/>
            <w:vAlign w:val="center"/>
            <w:hideMark/>
          </w:tcPr>
          <w:p w14:paraId="7E5BCE1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54</w:t>
            </w:r>
          </w:p>
        </w:tc>
      </w:tr>
      <w:tr w:rsidR="00D106C9" w:rsidRPr="00D106C9" w14:paraId="448CD4DA" w14:textId="77777777" w:rsidTr="006D7BCD">
        <w:trPr>
          <w:trHeight w:val="290"/>
        </w:trPr>
        <w:tc>
          <w:tcPr>
            <w:tcW w:w="1200" w:type="dxa"/>
            <w:tcBorders>
              <w:top w:val="nil"/>
              <w:left w:val="single" w:sz="4" w:space="0" w:color="auto"/>
              <w:bottom w:val="single" w:sz="4" w:space="0" w:color="auto"/>
              <w:right w:val="single" w:sz="4" w:space="0" w:color="auto"/>
            </w:tcBorders>
            <w:shd w:val="clear" w:color="auto" w:fill="auto"/>
            <w:vAlign w:val="center"/>
            <w:hideMark/>
          </w:tcPr>
          <w:p w14:paraId="0B9ABC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47</w:t>
            </w:r>
          </w:p>
        </w:tc>
        <w:tc>
          <w:tcPr>
            <w:tcW w:w="3420" w:type="dxa"/>
            <w:tcBorders>
              <w:top w:val="nil"/>
              <w:left w:val="nil"/>
              <w:bottom w:val="single" w:sz="4" w:space="0" w:color="auto"/>
              <w:right w:val="single" w:sz="4" w:space="0" w:color="auto"/>
            </w:tcBorders>
            <w:shd w:val="clear" w:color="auto" w:fill="auto"/>
            <w:vAlign w:val="center"/>
            <w:hideMark/>
          </w:tcPr>
          <w:p w14:paraId="4A44AA9C"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Administración de Turrialba</w:t>
            </w:r>
          </w:p>
        </w:tc>
        <w:tc>
          <w:tcPr>
            <w:tcW w:w="1500" w:type="dxa"/>
            <w:tcBorders>
              <w:top w:val="nil"/>
              <w:left w:val="nil"/>
              <w:bottom w:val="single" w:sz="4" w:space="0" w:color="auto"/>
              <w:right w:val="single" w:sz="4" w:space="0" w:color="auto"/>
            </w:tcBorders>
            <w:shd w:val="clear" w:color="auto" w:fill="auto"/>
            <w:vAlign w:val="center"/>
            <w:hideMark/>
          </w:tcPr>
          <w:p w14:paraId="47520F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83.50 %</w:t>
            </w:r>
          </w:p>
        </w:tc>
        <w:tc>
          <w:tcPr>
            <w:tcW w:w="1460" w:type="dxa"/>
            <w:tcBorders>
              <w:top w:val="nil"/>
              <w:left w:val="nil"/>
              <w:bottom w:val="single" w:sz="4" w:space="0" w:color="auto"/>
              <w:right w:val="single" w:sz="4" w:space="0" w:color="auto"/>
            </w:tcBorders>
            <w:shd w:val="clear" w:color="auto" w:fill="auto"/>
            <w:vAlign w:val="center"/>
            <w:hideMark/>
          </w:tcPr>
          <w:p w14:paraId="321F9EE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75</w:t>
            </w:r>
          </w:p>
        </w:tc>
        <w:tc>
          <w:tcPr>
            <w:tcW w:w="1660" w:type="dxa"/>
            <w:tcBorders>
              <w:top w:val="nil"/>
              <w:left w:val="nil"/>
              <w:bottom w:val="single" w:sz="4" w:space="0" w:color="auto"/>
              <w:right w:val="single" w:sz="4" w:space="0" w:color="auto"/>
            </w:tcBorders>
            <w:shd w:val="clear" w:color="auto" w:fill="auto"/>
            <w:vAlign w:val="center"/>
            <w:hideMark/>
          </w:tcPr>
          <w:p w14:paraId="0220EF6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74</w:t>
            </w:r>
          </w:p>
        </w:tc>
      </w:tr>
    </w:tbl>
    <w:p w14:paraId="69CE7CE5" w14:textId="77777777" w:rsidR="00D106C9" w:rsidRPr="00D106C9" w:rsidRDefault="00D106C9" w:rsidP="00D106C9">
      <w:pPr>
        <w:widowControl w:val="0"/>
        <w:suppressAutoHyphens w:val="0"/>
        <w:autoSpaceDE w:val="0"/>
        <w:autoSpaceDN w:val="0"/>
        <w:adjustRightInd w:val="0"/>
        <w:jc w:val="both"/>
        <w:rPr>
          <w:lang w:eastAsia="es-ES"/>
        </w:rPr>
      </w:pPr>
      <w:r w:rsidRPr="00D106C9">
        <w:rPr>
          <w:b/>
          <w:bCs/>
          <w:lang w:eastAsia="es-ES"/>
        </w:rPr>
        <w:t>Fuente:</w:t>
      </w:r>
      <w:r w:rsidRPr="00D106C9">
        <w:rPr>
          <w:lang w:eastAsia="es-ES"/>
        </w:rPr>
        <w:t xml:space="preserve"> Sistema PAO 2021, con corte al 19 de enero del 2022.</w:t>
      </w:r>
    </w:p>
    <w:p w14:paraId="319A5BE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Del cuadro anterior, se puede indicar que los Centros de Responsabilidad el Primer Circuito Judicial de la Zona Sur, Administración de Osa y Administración de Turrialba tienen un registro de cumplimiento inferior al 90%, por lo anterior, se requiere que brinden un apoyo y acompañamiento a las oficinas que los integran, con el fin de verificar la ejecución de las actividades programadas en la forma y plazo establecido, garantizando el avance de las metas y la efectiva distribución a lo largo del año.</w:t>
      </w:r>
    </w:p>
    <w:p w14:paraId="09C43FF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8D62C5C"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lastRenderedPageBreak/>
        <w:t>12.2. Oficinas con registro de cumplimiento en los avances al PAO inferior al 90%.</w:t>
      </w:r>
    </w:p>
    <w:p w14:paraId="5B70B284"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0D7D5DC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A continuación, se observa las oportunidades de mejoras para las oficinas con registro inferior al 90% en los avances de cumplimiento para el Plan Anual Operativo 2021. </w:t>
      </w:r>
    </w:p>
    <w:p w14:paraId="1D835D62"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10</w:t>
      </w:r>
      <w:r w:rsidRPr="00D106C9">
        <w:rPr>
          <w:b/>
          <w:bCs/>
          <w:lang w:eastAsia="es-ES"/>
        </w:rPr>
        <w:fldChar w:fldCharType="end"/>
      </w:r>
    </w:p>
    <w:p w14:paraId="53A23405" w14:textId="77777777" w:rsidR="00D106C9" w:rsidRPr="00D106C9" w:rsidRDefault="00D106C9" w:rsidP="00D106C9">
      <w:pPr>
        <w:widowControl w:val="0"/>
        <w:suppressAutoHyphens w:val="0"/>
        <w:autoSpaceDE w:val="0"/>
        <w:autoSpaceDN w:val="0"/>
        <w:adjustRightInd w:val="0"/>
        <w:rPr>
          <w:b/>
          <w:bCs/>
          <w:lang w:eastAsia="es-ES"/>
        </w:rPr>
      </w:pPr>
      <w:r w:rsidRPr="00D106C9">
        <w:rPr>
          <w:b/>
          <w:bCs/>
          <w:lang w:eastAsia="es-ES"/>
        </w:rPr>
        <w:t>Oficinas con registro de cumplimiento inferior al 90%.</w:t>
      </w:r>
    </w:p>
    <w:p w14:paraId="10B27F3B" w14:textId="77777777" w:rsidR="00D106C9" w:rsidRPr="00D106C9" w:rsidRDefault="00D106C9" w:rsidP="00D106C9">
      <w:pPr>
        <w:widowControl w:val="0"/>
        <w:suppressAutoHyphens w:val="0"/>
        <w:autoSpaceDE w:val="0"/>
        <w:autoSpaceDN w:val="0"/>
        <w:adjustRightInd w:val="0"/>
        <w:rPr>
          <w:lang w:eastAsia="es-ES"/>
        </w:rPr>
      </w:pPr>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2260"/>
        <w:gridCol w:w="2180"/>
        <w:gridCol w:w="2120"/>
      </w:tblGrid>
      <w:tr w:rsidR="00D106C9" w:rsidRPr="00D106C9" w14:paraId="4CDCED7C" w14:textId="77777777" w:rsidTr="006D7BCD">
        <w:trPr>
          <w:trHeight w:val="260"/>
          <w:jc w:val="center"/>
        </w:trPr>
        <w:tc>
          <w:tcPr>
            <w:tcW w:w="8620" w:type="dxa"/>
            <w:gridSpan w:val="4"/>
            <w:shd w:val="clear" w:color="000000" w:fill="0070C0"/>
            <w:noWrap/>
            <w:vAlign w:val="bottom"/>
            <w:hideMark/>
          </w:tcPr>
          <w:p w14:paraId="2AC7C4FD" w14:textId="77777777" w:rsidR="00D106C9" w:rsidRPr="00D106C9" w:rsidRDefault="00D106C9" w:rsidP="00D106C9">
            <w:pPr>
              <w:widowControl w:val="0"/>
              <w:suppressAutoHyphens w:val="0"/>
              <w:autoSpaceDE w:val="0"/>
              <w:autoSpaceDN w:val="0"/>
              <w:adjustRightInd w:val="0"/>
              <w:jc w:val="center"/>
              <w:rPr>
                <w:b/>
                <w:bCs/>
                <w:lang w:eastAsia="es-CR"/>
              </w:rPr>
            </w:pPr>
            <w:bookmarkStart w:id="39" w:name="_Hlk98500664"/>
            <w:r w:rsidRPr="00D106C9">
              <w:rPr>
                <w:b/>
                <w:bCs/>
                <w:lang w:eastAsia="es-CR"/>
              </w:rPr>
              <w:t>Oficinas con registro de cumplimiento inferior al 90%.</w:t>
            </w:r>
          </w:p>
        </w:tc>
      </w:tr>
      <w:tr w:rsidR="00D106C9" w:rsidRPr="00D106C9" w14:paraId="31A48393" w14:textId="77777777" w:rsidTr="006D7BCD">
        <w:trPr>
          <w:trHeight w:val="630"/>
          <w:jc w:val="center"/>
        </w:trPr>
        <w:tc>
          <w:tcPr>
            <w:tcW w:w="2060" w:type="dxa"/>
            <w:shd w:val="clear" w:color="auto" w:fill="auto"/>
            <w:vAlign w:val="center"/>
            <w:hideMark/>
          </w:tcPr>
          <w:p w14:paraId="528F842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Biblioteca Judicial</w:t>
            </w:r>
          </w:p>
        </w:tc>
        <w:tc>
          <w:tcPr>
            <w:tcW w:w="2260" w:type="dxa"/>
            <w:shd w:val="clear" w:color="auto" w:fill="auto"/>
            <w:vAlign w:val="center"/>
            <w:hideMark/>
          </w:tcPr>
          <w:p w14:paraId="66CD27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Puriscal</w:t>
            </w:r>
          </w:p>
        </w:tc>
        <w:tc>
          <w:tcPr>
            <w:tcW w:w="2180" w:type="dxa"/>
            <w:shd w:val="clear" w:color="auto" w:fill="auto"/>
            <w:vAlign w:val="center"/>
            <w:hideMark/>
          </w:tcPr>
          <w:p w14:paraId="677526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Protección Cautelar Osa</w:t>
            </w:r>
          </w:p>
        </w:tc>
        <w:tc>
          <w:tcPr>
            <w:tcW w:w="2120" w:type="dxa"/>
            <w:shd w:val="clear" w:color="auto" w:fill="auto"/>
            <w:vAlign w:val="center"/>
            <w:hideMark/>
          </w:tcPr>
          <w:p w14:paraId="145590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Garabito</w:t>
            </w:r>
          </w:p>
        </w:tc>
      </w:tr>
      <w:tr w:rsidR="00D106C9" w:rsidRPr="00D106C9" w14:paraId="01F586C0" w14:textId="77777777" w:rsidTr="006D7BCD">
        <w:trPr>
          <w:trHeight w:val="630"/>
          <w:jc w:val="center"/>
        </w:trPr>
        <w:tc>
          <w:tcPr>
            <w:tcW w:w="2060" w:type="dxa"/>
            <w:shd w:val="clear" w:color="auto" w:fill="auto"/>
            <w:vAlign w:val="center"/>
            <w:hideMark/>
          </w:tcPr>
          <w:p w14:paraId="0F5864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Subproceso de Gestión Administrativa y Desarrollo</w:t>
            </w:r>
          </w:p>
        </w:tc>
        <w:tc>
          <w:tcPr>
            <w:tcW w:w="2260" w:type="dxa"/>
            <w:shd w:val="clear" w:color="auto" w:fill="auto"/>
            <w:vAlign w:val="center"/>
            <w:hideMark/>
          </w:tcPr>
          <w:p w14:paraId="4D2135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 Circuito Judicial Guanacaste</w:t>
            </w:r>
          </w:p>
        </w:tc>
        <w:tc>
          <w:tcPr>
            <w:tcW w:w="2180" w:type="dxa"/>
            <w:shd w:val="clear" w:color="auto" w:fill="auto"/>
            <w:vAlign w:val="center"/>
            <w:hideMark/>
          </w:tcPr>
          <w:p w14:paraId="0E1599E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 Circ. Jud. de la Zona Atlántica</w:t>
            </w:r>
          </w:p>
        </w:tc>
        <w:tc>
          <w:tcPr>
            <w:tcW w:w="2120" w:type="dxa"/>
            <w:shd w:val="clear" w:color="auto" w:fill="auto"/>
            <w:vAlign w:val="center"/>
            <w:hideMark/>
          </w:tcPr>
          <w:p w14:paraId="6DBCE04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Pensiones Alimentarias I CJ Guanacaste</w:t>
            </w:r>
          </w:p>
        </w:tc>
      </w:tr>
      <w:tr w:rsidR="00D106C9" w:rsidRPr="00D106C9" w14:paraId="51F0F840" w14:textId="77777777" w:rsidTr="006D7BCD">
        <w:trPr>
          <w:trHeight w:val="630"/>
          <w:jc w:val="center"/>
        </w:trPr>
        <w:tc>
          <w:tcPr>
            <w:tcW w:w="2060" w:type="dxa"/>
            <w:shd w:val="clear" w:color="auto" w:fill="auto"/>
            <w:vAlign w:val="center"/>
            <w:hideMark/>
          </w:tcPr>
          <w:p w14:paraId="433F1DA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Subdelegación Regional de Cañas</w:t>
            </w:r>
          </w:p>
        </w:tc>
        <w:tc>
          <w:tcPr>
            <w:tcW w:w="2260" w:type="dxa"/>
            <w:shd w:val="clear" w:color="auto" w:fill="auto"/>
            <w:vAlign w:val="center"/>
            <w:hideMark/>
          </w:tcPr>
          <w:p w14:paraId="6760BE4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III Circuito Judicial de Alajuela (San Ramón)</w:t>
            </w:r>
          </w:p>
        </w:tc>
        <w:tc>
          <w:tcPr>
            <w:tcW w:w="2180" w:type="dxa"/>
            <w:shd w:val="clear" w:color="auto" w:fill="auto"/>
            <w:vAlign w:val="center"/>
            <w:hideMark/>
          </w:tcPr>
          <w:p w14:paraId="057150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Alajuela</w:t>
            </w:r>
          </w:p>
        </w:tc>
        <w:tc>
          <w:tcPr>
            <w:tcW w:w="2120" w:type="dxa"/>
            <w:shd w:val="clear" w:color="auto" w:fill="auto"/>
            <w:vAlign w:val="center"/>
            <w:hideMark/>
          </w:tcPr>
          <w:p w14:paraId="6726AE1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 Grecia</w:t>
            </w:r>
          </w:p>
        </w:tc>
      </w:tr>
      <w:tr w:rsidR="00D106C9" w:rsidRPr="00D106C9" w14:paraId="1E230E8A" w14:textId="77777777" w:rsidTr="006D7BCD">
        <w:trPr>
          <w:trHeight w:val="420"/>
          <w:jc w:val="center"/>
        </w:trPr>
        <w:tc>
          <w:tcPr>
            <w:tcW w:w="2060" w:type="dxa"/>
            <w:shd w:val="clear" w:color="auto" w:fill="auto"/>
            <w:vAlign w:val="center"/>
            <w:hideMark/>
          </w:tcPr>
          <w:p w14:paraId="247097E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Comisión de la Jurisdicción Laboral</w:t>
            </w:r>
          </w:p>
        </w:tc>
        <w:tc>
          <w:tcPr>
            <w:tcW w:w="2260" w:type="dxa"/>
            <w:shd w:val="clear" w:color="auto" w:fill="auto"/>
            <w:vAlign w:val="center"/>
            <w:hideMark/>
          </w:tcPr>
          <w:p w14:paraId="0E812F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Santo Domingo</w:t>
            </w:r>
          </w:p>
        </w:tc>
        <w:tc>
          <w:tcPr>
            <w:tcW w:w="2180" w:type="dxa"/>
            <w:shd w:val="clear" w:color="auto" w:fill="auto"/>
            <w:vAlign w:val="center"/>
            <w:hideMark/>
          </w:tcPr>
          <w:p w14:paraId="0D05114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 Circuito Judicial Zona Sur</w:t>
            </w:r>
          </w:p>
        </w:tc>
        <w:tc>
          <w:tcPr>
            <w:tcW w:w="2120" w:type="dxa"/>
            <w:shd w:val="clear" w:color="auto" w:fill="auto"/>
            <w:vAlign w:val="center"/>
            <w:hideMark/>
          </w:tcPr>
          <w:p w14:paraId="1674E9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Siquirres</w:t>
            </w:r>
          </w:p>
        </w:tc>
      </w:tr>
      <w:tr w:rsidR="00D106C9" w:rsidRPr="00D106C9" w14:paraId="5AB41309" w14:textId="77777777" w:rsidTr="006D7BCD">
        <w:trPr>
          <w:trHeight w:val="630"/>
          <w:jc w:val="center"/>
        </w:trPr>
        <w:tc>
          <w:tcPr>
            <w:tcW w:w="2060" w:type="dxa"/>
            <w:shd w:val="clear" w:color="auto" w:fill="auto"/>
            <w:vAlign w:val="center"/>
            <w:hideMark/>
          </w:tcPr>
          <w:p w14:paraId="41F182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de Heredia</w:t>
            </w:r>
          </w:p>
        </w:tc>
        <w:tc>
          <w:tcPr>
            <w:tcW w:w="2260" w:type="dxa"/>
            <w:shd w:val="clear" w:color="auto" w:fill="auto"/>
            <w:vAlign w:val="center"/>
            <w:hideMark/>
          </w:tcPr>
          <w:p w14:paraId="6932BA1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Circuito Judicial Zona Sur</w:t>
            </w:r>
          </w:p>
        </w:tc>
        <w:tc>
          <w:tcPr>
            <w:tcW w:w="2180" w:type="dxa"/>
            <w:shd w:val="clear" w:color="auto" w:fill="auto"/>
            <w:vAlign w:val="center"/>
            <w:hideMark/>
          </w:tcPr>
          <w:p w14:paraId="5A1944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Primero Especializado de Cobro I Circuito Judicial de San Jose</w:t>
            </w:r>
          </w:p>
        </w:tc>
        <w:tc>
          <w:tcPr>
            <w:tcW w:w="2120" w:type="dxa"/>
            <w:shd w:val="clear" w:color="auto" w:fill="auto"/>
            <w:vAlign w:val="center"/>
            <w:hideMark/>
          </w:tcPr>
          <w:p w14:paraId="16551FD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III Circuito Judicial Alajuela (San Ramón)</w:t>
            </w:r>
          </w:p>
        </w:tc>
      </w:tr>
      <w:tr w:rsidR="00D106C9" w:rsidRPr="00D106C9" w14:paraId="33AC5EAF" w14:textId="77777777" w:rsidTr="006D7BCD">
        <w:trPr>
          <w:trHeight w:val="630"/>
          <w:jc w:val="center"/>
        </w:trPr>
        <w:tc>
          <w:tcPr>
            <w:tcW w:w="2060" w:type="dxa"/>
            <w:shd w:val="clear" w:color="auto" w:fill="auto"/>
            <w:vAlign w:val="center"/>
            <w:hideMark/>
          </w:tcPr>
          <w:p w14:paraId="494B31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Puntarenas</w:t>
            </w:r>
          </w:p>
        </w:tc>
        <w:tc>
          <w:tcPr>
            <w:tcW w:w="2260" w:type="dxa"/>
            <w:shd w:val="clear" w:color="auto" w:fill="auto"/>
            <w:vAlign w:val="center"/>
            <w:hideMark/>
          </w:tcPr>
          <w:p w14:paraId="64B64D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 Circuito Judicial Zona Sur</w:t>
            </w:r>
          </w:p>
        </w:tc>
        <w:tc>
          <w:tcPr>
            <w:tcW w:w="2180" w:type="dxa"/>
            <w:shd w:val="clear" w:color="auto" w:fill="auto"/>
            <w:vAlign w:val="center"/>
            <w:hideMark/>
          </w:tcPr>
          <w:p w14:paraId="40C7C6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Trabajo, Familia, Penal Juv, </w:t>
            </w:r>
            <w:proofErr w:type="spellStart"/>
            <w:r w:rsidRPr="00D106C9">
              <w:rPr>
                <w:lang w:eastAsia="es-CR"/>
              </w:rPr>
              <w:t>Viol</w:t>
            </w:r>
            <w:proofErr w:type="spellEnd"/>
            <w:r w:rsidRPr="00D106C9">
              <w:rPr>
                <w:lang w:eastAsia="es-CR"/>
              </w:rPr>
              <w:t xml:space="preserve"> Dom y Prot Cautelar Sarapiquí</w:t>
            </w:r>
          </w:p>
        </w:tc>
        <w:tc>
          <w:tcPr>
            <w:tcW w:w="2120" w:type="dxa"/>
            <w:shd w:val="clear" w:color="auto" w:fill="auto"/>
            <w:vAlign w:val="center"/>
            <w:hideMark/>
          </w:tcPr>
          <w:p w14:paraId="4B205D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Tercero Especializado de Cobro I Circuito Judicial de San Jose</w:t>
            </w:r>
          </w:p>
        </w:tc>
      </w:tr>
      <w:tr w:rsidR="00D106C9" w:rsidRPr="00D106C9" w14:paraId="21A65292" w14:textId="77777777" w:rsidTr="006D7BCD">
        <w:trPr>
          <w:trHeight w:val="420"/>
          <w:jc w:val="center"/>
        </w:trPr>
        <w:tc>
          <w:tcPr>
            <w:tcW w:w="2060" w:type="dxa"/>
            <w:shd w:val="clear" w:color="auto" w:fill="auto"/>
            <w:vAlign w:val="center"/>
            <w:hideMark/>
          </w:tcPr>
          <w:p w14:paraId="76B93B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Cartago, sede Turrialba</w:t>
            </w:r>
          </w:p>
        </w:tc>
        <w:tc>
          <w:tcPr>
            <w:tcW w:w="2260" w:type="dxa"/>
            <w:shd w:val="clear" w:color="auto" w:fill="auto"/>
            <w:vAlign w:val="center"/>
            <w:hideMark/>
          </w:tcPr>
          <w:p w14:paraId="3B3585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Alajuela</w:t>
            </w:r>
          </w:p>
        </w:tc>
        <w:tc>
          <w:tcPr>
            <w:tcW w:w="2180" w:type="dxa"/>
            <w:shd w:val="clear" w:color="auto" w:fill="auto"/>
            <w:vAlign w:val="center"/>
            <w:hideMark/>
          </w:tcPr>
          <w:p w14:paraId="0F42B5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 Circuito Judicial Zona Sur</w:t>
            </w:r>
          </w:p>
        </w:tc>
        <w:tc>
          <w:tcPr>
            <w:tcW w:w="2120" w:type="dxa"/>
            <w:shd w:val="clear" w:color="auto" w:fill="auto"/>
            <w:vAlign w:val="center"/>
            <w:hideMark/>
          </w:tcPr>
          <w:p w14:paraId="0D44C0D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Circuito Judicial de San Jose</w:t>
            </w:r>
          </w:p>
        </w:tc>
      </w:tr>
      <w:tr w:rsidR="00D106C9" w:rsidRPr="00D106C9" w14:paraId="6461BD18" w14:textId="77777777" w:rsidTr="006D7BCD">
        <w:trPr>
          <w:trHeight w:val="630"/>
          <w:jc w:val="center"/>
        </w:trPr>
        <w:tc>
          <w:tcPr>
            <w:tcW w:w="2060" w:type="dxa"/>
            <w:shd w:val="clear" w:color="auto" w:fill="auto"/>
            <w:vAlign w:val="center"/>
            <w:hideMark/>
          </w:tcPr>
          <w:p w14:paraId="04BA5E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Juzgado Civil y Trabajo de Quepos</w:t>
            </w:r>
          </w:p>
        </w:tc>
        <w:tc>
          <w:tcPr>
            <w:tcW w:w="2260" w:type="dxa"/>
            <w:shd w:val="clear" w:color="auto" w:fill="auto"/>
            <w:vAlign w:val="center"/>
            <w:hideMark/>
          </w:tcPr>
          <w:p w14:paraId="7CC5DF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 Circuito Jud. Zona Sur (Peréz Zeledón)</w:t>
            </w:r>
          </w:p>
        </w:tc>
        <w:tc>
          <w:tcPr>
            <w:tcW w:w="2180" w:type="dxa"/>
            <w:shd w:val="clear" w:color="auto" w:fill="auto"/>
            <w:vAlign w:val="center"/>
            <w:hideMark/>
          </w:tcPr>
          <w:p w14:paraId="4E25CC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Heredia</w:t>
            </w:r>
          </w:p>
        </w:tc>
        <w:tc>
          <w:tcPr>
            <w:tcW w:w="2120" w:type="dxa"/>
            <w:shd w:val="clear" w:color="auto" w:fill="auto"/>
            <w:vAlign w:val="center"/>
            <w:hideMark/>
          </w:tcPr>
          <w:p w14:paraId="1B27E3F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de Santa Cruz</w:t>
            </w:r>
          </w:p>
        </w:tc>
      </w:tr>
      <w:tr w:rsidR="00D106C9" w:rsidRPr="00D106C9" w14:paraId="580D0EA7" w14:textId="77777777" w:rsidTr="006D7BCD">
        <w:trPr>
          <w:trHeight w:val="420"/>
          <w:jc w:val="center"/>
        </w:trPr>
        <w:tc>
          <w:tcPr>
            <w:tcW w:w="2060" w:type="dxa"/>
            <w:shd w:val="clear" w:color="auto" w:fill="auto"/>
            <w:vAlign w:val="center"/>
            <w:hideMark/>
          </w:tcPr>
          <w:p w14:paraId="14A0224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Talamanca</w:t>
            </w:r>
          </w:p>
        </w:tc>
        <w:tc>
          <w:tcPr>
            <w:tcW w:w="2260" w:type="dxa"/>
            <w:shd w:val="clear" w:color="auto" w:fill="auto"/>
            <w:vAlign w:val="center"/>
            <w:hideMark/>
          </w:tcPr>
          <w:p w14:paraId="5E50C2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Turrubares</w:t>
            </w:r>
          </w:p>
        </w:tc>
        <w:tc>
          <w:tcPr>
            <w:tcW w:w="2180" w:type="dxa"/>
            <w:shd w:val="clear" w:color="auto" w:fill="auto"/>
            <w:vAlign w:val="center"/>
            <w:hideMark/>
          </w:tcPr>
          <w:p w14:paraId="5B54FD4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Grecia</w:t>
            </w:r>
          </w:p>
        </w:tc>
        <w:tc>
          <w:tcPr>
            <w:tcW w:w="2120" w:type="dxa"/>
            <w:shd w:val="clear" w:color="auto" w:fill="auto"/>
            <w:vAlign w:val="center"/>
            <w:hideMark/>
          </w:tcPr>
          <w:p w14:paraId="6686AFA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San Jose</w:t>
            </w:r>
          </w:p>
        </w:tc>
      </w:tr>
      <w:tr w:rsidR="00D106C9" w:rsidRPr="00D106C9" w14:paraId="1D53944A" w14:textId="77777777" w:rsidTr="006D7BCD">
        <w:trPr>
          <w:trHeight w:val="630"/>
          <w:jc w:val="center"/>
        </w:trPr>
        <w:tc>
          <w:tcPr>
            <w:tcW w:w="2060" w:type="dxa"/>
            <w:shd w:val="clear" w:color="auto" w:fill="auto"/>
            <w:vAlign w:val="center"/>
            <w:hideMark/>
          </w:tcPr>
          <w:p w14:paraId="07F801F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Zona Atlántica</w:t>
            </w:r>
          </w:p>
        </w:tc>
        <w:tc>
          <w:tcPr>
            <w:tcW w:w="2260" w:type="dxa"/>
            <w:shd w:val="clear" w:color="auto" w:fill="auto"/>
            <w:vAlign w:val="center"/>
            <w:hideMark/>
          </w:tcPr>
          <w:p w14:paraId="507077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Especializado de Cobro II Circuito Judicial de San Jose</w:t>
            </w:r>
          </w:p>
        </w:tc>
        <w:tc>
          <w:tcPr>
            <w:tcW w:w="2180" w:type="dxa"/>
            <w:shd w:val="clear" w:color="auto" w:fill="auto"/>
            <w:vAlign w:val="center"/>
            <w:hideMark/>
          </w:tcPr>
          <w:p w14:paraId="05965C3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Puerto Jimenez</w:t>
            </w:r>
          </w:p>
        </w:tc>
        <w:tc>
          <w:tcPr>
            <w:tcW w:w="2120" w:type="dxa"/>
            <w:shd w:val="clear" w:color="auto" w:fill="auto"/>
            <w:vAlign w:val="center"/>
            <w:hideMark/>
          </w:tcPr>
          <w:p w14:paraId="745C8B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III Circ. Jud. de Alajuela (San Ramón)</w:t>
            </w:r>
          </w:p>
        </w:tc>
      </w:tr>
      <w:tr w:rsidR="00D106C9" w:rsidRPr="00D106C9" w14:paraId="260216E4" w14:textId="77777777" w:rsidTr="006D7BCD">
        <w:trPr>
          <w:trHeight w:val="630"/>
          <w:jc w:val="center"/>
        </w:trPr>
        <w:tc>
          <w:tcPr>
            <w:tcW w:w="2060" w:type="dxa"/>
            <w:shd w:val="clear" w:color="auto" w:fill="auto"/>
            <w:vAlign w:val="center"/>
            <w:hideMark/>
          </w:tcPr>
          <w:p w14:paraId="2A6CA00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Puntarenas</w:t>
            </w:r>
          </w:p>
        </w:tc>
        <w:tc>
          <w:tcPr>
            <w:tcW w:w="2260" w:type="dxa"/>
            <w:shd w:val="clear" w:color="auto" w:fill="auto"/>
            <w:vAlign w:val="center"/>
            <w:hideMark/>
          </w:tcPr>
          <w:p w14:paraId="244492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Puriscal</w:t>
            </w:r>
          </w:p>
        </w:tc>
        <w:tc>
          <w:tcPr>
            <w:tcW w:w="2180" w:type="dxa"/>
            <w:shd w:val="clear" w:color="auto" w:fill="auto"/>
            <w:vAlign w:val="center"/>
            <w:hideMark/>
          </w:tcPr>
          <w:p w14:paraId="75B7DD4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la Zona Atlántica</w:t>
            </w:r>
          </w:p>
        </w:tc>
        <w:tc>
          <w:tcPr>
            <w:tcW w:w="2120" w:type="dxa"/>
            <w:shd w:val="clear" w:color="auto" w:fill="auto"/>
            <w:vAlign w:val="center"/>
            <w:hideMark/>
          </w:tcPr>
          <w:p w14:paraId="29B1D34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Sur</w:t>
            </w:r>
          </w:p>
        </w:tc>
      </w:tr>
      <w:tr w:rsidR="00D106C9" w:rsidRPr="00D106C9" w14:paraId="473AF7DF" w14:textId="77777777" w:rsidTr="006D7BCD">
        <w:trPr>
          <w:trHeight w:val="630"/>
          <w:jc w:val="center"/>
        </w:trPr>
        <w:tc>
          <w:tcPr>
            <w:tcW w:w="2060" w:type="dxa"/>
            <w:shd w:val="clear" w:color="auto" w:fill="auto"/>
            <w:vAlign w:val="center"/>
            <w:hideMark/>
          </w:tcPr>
          <w:p w14:paraId="3934FE1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Protección Cautelar Escazú</w:t>
            </w:r>
          </w:p>
        </w:tc>
        <w:tc>
          <w:tcPr>
            <w:tcW w:w="2260" w:type="dxa"/>
            <w:shd w:val="clear" w:color="auto" w:fill="auto"/>
            <w:vAlign w:val="center"/>
            <w:hideMark/>
          </w:tcPr>
          <w:p w14:paraId="4104D3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Tarrazú, Dota y León Cortes</w:t>
            </w:r>
          </w:p>
        </w:tc>
        <w:tc>
          <w:tcPr>
            <w:tcW w:w="2180" w:type="dxa"/>
            <w:shd w:val="clear" w:color="auto" w:fill="auto"/>
            <w:vAlign w:val="center"/>
            <w:hideMark/>
          </w:tcPr>
          <w:p w14:paraId="7139A8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Tránsito I Circuito Judicial Zona Sur</w:t>
            </w:r>
          </w:p>
        </w:tc>
        <w:tc>
          <w:tcPr>
            <w:tcW w:w="2120" w:type="dxa"/>
            <w:shd w:val="clear" w:color="auto" w:fill="auto"/>
            <w:vAlign w:val="center"/>
            <w:hideMark/>
          </w:tcPr>
          <w:p w14:paraId="4C0DC4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Puntarenas</w:t>
            </w:r>
          </w:p>
        </w:tc>
      </w:tr>
      <w:tr w:rsidR="00D106C9" w:rsidRPr="00D106C9" w14:paraId="0435B415" w14:textId="77777777" w:rsidTr="006D7BCD">
        <w:trPr>
          <w:trHeight w:val="630"/>
          <w:jc w:val="center"/>
        </w:trPr>
        <w:tc>
          <w:tcPr>
            <w:tcW w:w="2060" w:type="dxa"/>
            <w:shd w:val="clear" w:color="auto" w:fill="auto"/>
            <w:vAlign w:val="center"/>
            <w:hideMark/>
          </w:tcPr>
          <w:p w14:paraId="3C43EFE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Zarcero</w:t>
            </w:r>
          </w:p>
        </w:tc>
        <w:tc>
          <w:tcPr>
            <w:tcW w:w="2260" w:type="dxa"/>
            <w:shd w:val="clear" w:color="auto" w:fill="auto"/>
            <w:vAlign w:val="center"/>
            <w:hideMark/>
          </w:tcPr>
          <w:p w14:paraId="1556DB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II Circuito Judicial Zona Sur, Sede Osa</w:t>
            </w:r>
          </w:p>
        </w:tc>
        <w:tc>
          <w:tcPr>
            <w:tcW w:w="2180" w:type="dxa"/>
            <w:shd w:val="clear" w:color="auto" w:fill="auto"/>
            <w:vAlign w:val="center"/>
            <w:hideMark/>
          </w:tcPr>
          <w:p w14:paraId="402C46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Carrillo</w:t>
            </w:r>
          </w:p>
        </w:tc>
        <w:tc>
          <w:tcPr>
            <w:tcW w:w="2120" w:type="dxa"/>
            <w:shd w:val="clear" w:color="auto" w:fill="auto"/>
            <w:vAlign w:val="center"/>
            <w:hideMark/>
          </w:tcPr>
          <w:p w14:paraId="7D92CFA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Ejecución de la Pena de Puntarenas, Sede Guanacaste</w:t>
            </w:r>
          </w:p>
        </w:tc>
      </w:tr>
      <w:tr w:rsidR="00D106C9" w:rsidRPr="00D106C9" w14:paraId="1E7A3F99" w14:textId="77777777" w:rsidTr="006D7BCD">
        <w:trPr>
          <w:trHeight w:val="420"/>
          <w:jc w:val="center"/>
        </w:trPr>
        <w:tc>
          <w:tcPr>
            <w:tcW w:w="2060" w:type="dxa"/>
            <w:shd w:val="clear" w:color="auto" w:fill="auto"/>
            <w:vAlign w:val="center"/>
            <w:hideMark/>
          </w:tcPr>
          <w:p w14:paraId="1B4A3E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Parrita</w:t>
            </w:r>
          </w:p>
        </w:tc>
        <w:tc>
          <w:tcPr>
            <w:tcW w:w="2260" w:type="dxa"/>
            <w:shd w:val="clear" w:color="auto" w:fill="auto"/>
            <w:vAlign w:val="center"/>
            <w:hideMark/>
          </w:tcPr>
          <w:p w14:paraId="0A5C036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Jiménez</w:t>
            </w:r>
          </w:p>
        </w:tc>
        <w:tc>
          <w:tcPr>
            <w:tcW w:w="2180" w:type="dxa"/>
            <w:shd w:val="clear" w:color="auto" w:fill="auto"/>
            <w:vAlign w:val="center"/>
            <w:hideMark/>
          </w:tcPr>
          <w:p w14:paraId="06FA63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Guácimo</w:t>
            </w:r>
          </w:p>
        </w:tc>
        <w:tc>
          <w:tcPr>
            <w:tcW w:w="2120" w:type="dxa"/>
            <w:shd w:val="clear" w:color="auto" w:fill="auto"/>
            <w:vAlign w:val="center"/>
            <w:hideMark/>
          </w:tcPr>
          <w:p w14:paraId="4EC609F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San Jose</w:t>
            </w:r>
          </w:p>
        </w:tc>
      </w:tr>
      <w:tr w:rsidR="00D106C9" w:rsidRPr="00D106C9" w14:paraId="69AA5E44" w14:textId="77777777" w:rsidTr="006D7BCD">
        <w:trPr>
          <w:trHeight w:val="630"/>
          <w:jc w:val="center"/>
        </w:trPr>
        <w:tc>
          <w:tcPr>
            <w:tcW w:w="2060" w:type="dxa"/>
            <w:shd w:val="clear" w:color="auto" w:fill="auto"/>
            <w:vAlign w:val="center"/>
            <w:hideMark/>
          </w:tcPr>
          <w:p w14:paraId="52E6A0C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I Circuito Judicial Alajuela</w:t>
            </w:r>
          </w:p>
        </w:tc>
        <w:tc>
          <w:tcPr>
            <w:tcW w:w="2260" w:type="dxa"/>
            <w:shd w:val="clear" w:color="auto" w:fill="auto"/>
            <w:vAlign w:val="center"/>
            <w:hideMark/>
          </w:tcPr>
          <w:p w14:paraId="74B1F39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Cartago</w:t>
            </w:r>
          </w:p>
        </w:tc>
        <w:tc>
          <w:tcPr>
            <w:tcW w:w="2180" w:type="dxa"/>
            <w:shd w:val="clear" w:color="auto" w:fill="auto"/>
            <w:vAlign w:val="center"/>
            <w:hideMark/>
          </w:tcPr>
          <w:p w14:paraId="69DABB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Contencioso Administrativo</w:t>
            </w:r>
          </w:p>
        </w:tc>
        <w:tc>
          <w:tcPr>
            <w:tcW w:w="2120" w:type="dxa"/>
            <w:shd w:val="clear" w:color="auto" w:fill="auto"/>
            <w:vAlign w:val="center"/>
            <w:hideMark/>
          </w:tcPr>
          <w:p w14:paraId="0762858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III Circuito Jud Alajuela (San Ramon)</w:t>
            </w:r>
          </w:p>
        </w:tc>
      </w:tr>
      <w:tr w:rsidR="00D106C9" w:rsidRPr="00D106C9" w14:paraId="3BD1A215" w14:textId="77777777" w:rsidTr="006D7BCD">
        <w:trPr>
          <w:trHeight w:val="420"/>
          <w:jc w:val="center"/>
        </w:trPr>
        <w:tc>
          <w:tcPr>
            <w:tcW w:w="2060" w:type="dxa"/>
            <w:shd w:val="clear" w:color="auto" w:fill="auto"/>
            <w:vAlign w:val="center"/>
            <w:hideMark/>
          </w:tcPr>
          <w:p w14:paraId="47EF54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Nandayure</w:t>
            </w:r>
          </w:p>
        </w:tc>
        <w:tc>
          <w:tcPr>
            <w:tcW w:w="2260" w:type="dxa"/>
            <w:shd w:val="clear" w:color="auto" w:fill="auto"/>
            <w:vAlign w:val="center"/>
            <w:hideMark/>
          </w:tcPr>
          <w:p w14:paraId="437898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Heredia</w:t>
            </w:r>
          </w:p>
        </w:tc>
        <w:tc>
          <w:tcPr>
            <w:tcW w:w="2180" w:type="dxa"/>
            <w:shd w:val="clear" w:color="auto" w:fill="auto"/>
            <w:vAlign w:val="center"/>
            <w:hideMark/>
          </w:tcPr>
          <w:p w14:paraId="048D593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II Circ. Jud. de Guanacaste</w:t>
            </w:r>
          </w:p>
        </w:tc>
        <w:tc>
          <w:tcPr>
            <w:tcW w:w="2120" w:type="dxa"/>
            <w:shd w:val="clear" w:color="auto" w:fill="auto"/>
            <w:vAlign w:val="center"/>
            <w:hideMark/>
          </w:tcPr>
          <w:p w14:paraId="3DA346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del II Circuito Judicial de Alajuela</w:t>
            </w:r>
          </w:p>
        </w:tc>
      </w:tr>
      <w:tr w:rsidR="00D106C9" w:rsidRPr="00D106C9" w14:paraId="173393C9" w14:textId="77777777" w:rsidTr="006D7BCD">
        <w:trPr>
          <w:trHeight w:val="630"/>
          <w:jc w:val="center"/>
        </w:trPr>
        <w:tc>
          <w:tcPr>
            <w:tcW w:w="2060" w:type="dxa"/>
            <w:shd w:val="clear" w:color="auto" w:fill="auto"/>
            <w:vAlign w:val="center"/>
            <w:hideMark/>
          </w:tcPr>
          <w:p w14:paraId="7443DB5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de Comunicaciones Judiciales I Circuito Judicial Guanacaste</w:t>
            </w:r>
          </w:p>
        </w:tc>
        <w:tc>
          <w:tcPr>
            <w:tcW w:w="2260" w:type="dxa"/>
            <w:shd w:val="clear" w:color="auto" w:fill="auto"/>
            <w:vAlign w:val="center"/>
            <w:hideMark/>
          </w:tcPr>
          <w:p w14:paraId="6A427F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Familia</w:t>
            </w:r>
          </w:p>
        </w:tc>
        <w:tc>
          <w:tcPr>
            <w:tcW w:w="2180" w:type="dxa"/>
            <w:shd w:val="clear" w:color="auto" w:fill="auto"/>
            <w:vAlign w:val="center"/>
            <w:hideMark/>
          </w:tcPr>
          <w:p w14:paraId="14103B7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 Jud. Guanacaste</w:t>
            </w:r>
          </w:p>
        </w:tc>
        <w:tc>
          <w:tcPr>
            <w:tcW w:w="2120" w:type="dxa"/>
            <w:shd w:val="clear" w:color="auto" w:fill="auto"/>
            <w:vAlign w:val="center"/>
            <w:hideMark/>
          </w:tcPr>
          <w:p w14:paraId="4DC4EFE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Upala</w:t>
            </w:r>
          </w:p>
        </w:tc>
      </w:tr>
      <w:tr w:rsidR="00D106C9" w:rsidRPr="00D106C9" w14:paraId="320D6914" w14:textId="77777777" w:rsidTr="006D7BCD">
        <w:trPr>
          <w:trHeight w:val="420"/>
          <w:jc w:val="center"/>
        </w:trPr>
        <w:tc>
          <w:tcPr>
            <w:tcW w:w="2060" w:type="dxa"/>
            <w:shd w:val="clear" w:color="auto" w:fill="auto"/>
            <w:vAlign w:val="center"/>
            <w:hideMark/>
          </w:tcPr>
          <w:p w14:paraId="30B941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Juzgado Penal Juvenil de Heredia</w:t>
            </w:r>
          </w:p>
        </w:tc>
        <w:tc>
          <w:tcPr>
            <w:tcW w:w="2260" w:type="dxa"/>
            <w:shd w:val="clear" w:color="auto" w:fill="auto"/>
            <w:vAlign w:val="center"/>
            <w:hideMark/>
          </w:tcPr>
          <w:p w14:paraId="4E24603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Golfito</w:t>
            </w:r>
          </w:p>
        </w:tc>
        <w:tc>
          <w:tcPr>
            <w:tcW w:w="2180" w:type="dxa"/>
            <w:shd w:val="clear" w:color="auto" w:fill="auto"/>
            <w:vAlign w:val="center"/>
            <w:hideMark/>
          </w:tcPr>
          <w:p w14:paraId="648B323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Segundo Circuito Judicial de San Jose</w:t>
            </w:r>
          </w:p>
        </w:tc>
        <w:tc>
          <w:tcPr>
            <w:tcW w:w="2120" w:type="dxa"/>
            <w:shd w:val="clear" w:color="auto" w:fill="auto"/>
            <w:vAlign w:val="center"/>
            <w:hideMark/>
          </w:tcPr>
          <w:p w14:paraId="4B12F9F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los Chiles</w:t>
            </w:r>
          </w:p>
        </w:tc>
      </w:tr>
      <w:tr w:rsidR="00D106C9" w:rsidRPr="00D106C9" w14:paraId="256D1169" w14:textId="77777777" w:rsidTr="006D7BCD">
        <w:trPr>
          <w:trHeight w:val="630"/>
          <w:jc w:val="center"/>
        </w:trPr>
        <w:tc>
          <w:tcPr>
            <w:tcW w:w="2060" w:type="dxa"/>
            <w:shd w:val="clear" w:color="auto" w:fill="auto"/>
            <w:vAlign w:val="center"/>
            <w:hideMark/>
          </w:tcPr>
          <w:p w14:paraId="4784FC0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Turrialba</w:t>
            </w:r>
          </w:p>
        </w:tc>
        <w:tc>
          <w:tcPr>
            <w:tcW w:w="2260" w:type="dxa"/>
            <w:shd w:val="clear" w:color="auto" w:fill="auto"/>
            <w:vAlign w:val="center"/>
            <w:hideMark/>
          </w:tcPr>
          <w:p w14:paraId="53C4A71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II Circuito Judicial de Alajuela, Sede la Fortuna</w:t>
            </w:r>
          </w:p>
        </w:tc>
        <w:tc>
          <w:tcPr>
            <w:tcW w:w="2180" w:type="dxa"/>
            <w:shd w:val="clear" w:color="auto" w:fill="auto"/>
            <w:vAlign w:val="center"/>
            <w:hideMark/>
          </w:tcPr>
          <w:p w14:paraId="3A4B6A2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Pococi</w:t>
            </w:r>
          </w:p>
        </w:tc>
        <w:tc>
          <w:tcPr>
            <w:tcW w:w="2120" w:type="dxa"/>
            <w:shd w:val="clear" w:color="auto" w:fill="auto"/>
            <w:vAlign w:val="center"/>
            <w:hideMark/>
          </w:tcPr>
          <w:p w14:paraId="7A3384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de Alajuela</w:t>
            </w:r>
          </w:p>
        </w:tc>
      </w:tr>
      <w:tr w:rsidR="00D106C9" w:rsidRPr="00D106C9" w14:paraId="2DEDE9EB" w14:textId="77777777" w:rsidTr="006D7BCD">
        <w:trPr>
          <w:trHeight w:val="630"/>
          <w:jc w:val="center"/>
        </w:trPr>
        <w:tc>
          <w:tcPr>
            <w:tcW w:w="2060" w:type="dxa"/>
            <w:shd w:val="clear" w:color="auto" w:fill="auto"/>
            <w:vAlign w:val="center"/>
            <w:hideMark/>
          </w:tcPr>
          <w:p w14:paraId="6441B6B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Sede III Circuito Judicial Alajuela (San Ramon)</w:t>
            </w:r>
          </w:p>
        </w:tc>
        <w:tc>
          <w:tcPr>
            <w:tcW w:w="2260" w:type="dxa"/>
            <w:shd w:val="clear" w:color="auto" w:fill="auto"/>
            <w:vAlign w:val="center"/>
            <w:hideMark/>
          </w:tcPr>
          <w:p w14:paraId="480AA46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de Cobro </w:t>
            </w:r>
            <w:proofErr w:type="gramStart"/>
            <w:r w:rsidRPr="00D106C9">
              <w:rPr>
                <w:lang w:eastAsia="es-CR"/>
              </w:rPr>
              <w:t>del  III</w:t>
            </w:r>
            <w:proofErr w:type="gramEnd"/>
            <w:r w:rsidRPr="00D106C9">
              <w:rPr>
                <w:lang w:eastAsia="es-CR"/>
              </w:rPr>
              <w:t xml:space="preserve"> Circuito Judicial de Alajuela (San Ramón)</w:t>
            </w:r>
          </w:p>
        </w:tc>
        <w:tc>
          <w:tcPr>
            <w:tcW w:w="2180" w:type="dxa"/>
            <w:shd w:val="clear" w:color="auto" w:fill="auto"/>
            <w:vAlign w:val="center"/>
            <w:hideMark/>
          </w:tcPr>
          <w:p w14:paraId="5B52DAA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 Circuito Judicial de Guanacaste, Sede Santa Cruz</w:t>
            </w:r>
          </w:p>
        </w:tc>
        <w:tc>
          <w:tcPr>
            <w:tcW w:w="2120" w:type="dxa"/>
            <w:shd w:val="clear" w:color="auto" w:fill="auto"/>
            <w:vAlign w:val="center"/>
            <w:hideMark/>
          </w:tcPr>
          <w:p w14:paraId="149B894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Heredia</w:t>
            </w:r>
          </w:p>
        </w:tc>
      </w:tr>
      <w:tr w:rsidR="00D106C9" w:rsidRPr="00D106C9" w14:paraId="6F052BC1" w14:textId="77777777" w:rsidTr="006D7BCD">
        <w:trPr>
          <w:trHeight w:val="420"/>
          <w:jc w:val="center"/>
        </w:trPr>
        <w:tc>
          <w:tcPr>
            <w:tcW w:w="2060" w:type="dxa"/>
            <w:shd w:val="clear" w:color="auto" w:fill="auto"/>
            <w:vAlign w:val="center"/>
            <w:hideMark/>
          </w:tcPr>
          <w:p w14:paraId="1B33ABA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Pavas</w:t>
            </w:r>
          </w:p>
        </w:tc>
        <w:tc>
          <w:tcPr>
            <w:tcW w:w="2260" w:type="dxa"/>
            <w:shd w:val="clear" w:color="auto" w:fill="auto"/>
            <w:vAlign w:val="center"/>
            <w:hideMark/>
          </w:tcPr>
          <w:p w14:paraId="284CB98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Puntarenas, Sede Cóbano</w:t>
            </w:r>
          </w:p>
        </w:tc>
        <w:tc>
          <w:tcPr>
            <w:tcW w:w="2180" w:type="dxa"/>
            <w:shd w:val="clear" w:color="auto" w:fill="auto"/>
            <w:vAlign w:val="center"/>
            <w:hideMark/>
          </w:tcPr>
          <w:p w14:paraId="227628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Alajuela</w:t>
            </w:r>
          </w:p>
        </w:tc>
        <w:tc>
          <w:tcPr>
            <w:tcW w:w="2120" w:type="dxa"/>
            <w:shd w:val="clear" w:color="auto" w:fill="auto"/>
            <w:vAlign w:val="center"/>
            <w:hideMark/>
          </w:tcPr>
          <w:p w14:paraId="2A03CE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II Circuito Judicial Zona Sur, Sede Golfito</w:t>
            </w:r>
          </w:p>
        </w:tc>
      </w:tr>
      <w:tr w:rsidR="00D106C9" w:rsidRPr="00D106C9" w14:paraId="709D0E49" w14:textId="77777777" w:rsidTr="006D7BCD">
        <w:trPr>
          <w:trHeight w:val="630"/>
          <w:jc w:val="center"/>
        </w:trPr>
        <w:tc>
          <w:tcPr>
            <w:tcW w:w="2060" w:type="dxa"/>
            <w:shd w:val="clear" w:color="auto" w:fill="auto"/>
            <w:vAlign w:val="center"/>
            <w:hideMark/>
          </w:tcPr>
          <w:p w14:paraId="346C73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Atenas</w:t>
            </w:r>
          </w:p>
        </w:tc>
        <w:tc>
          <w:tcPr>
            <w:tcW w:w="2260" w:type="dxa"/>
            <w:shd w:val="clear" w:color="auto" w:fill="auto"/>
            <w:vAlign w:val="center"/>
            <w:hideMark/>
          </w:tcPr>
          <w:p w14:paraId="3F8BDD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Golfito</w:t>
            </w:r>
          </w:p>
        </w:tc>
        <w:tc>
          <w:tcPr>
            <w:tcW w:w="2180" w:type="dxa"/>
            <w:shd w:val="clear" w:color="auto" w:fill="auto"/>
            <w:vAlign w:val="center"/>
            <w:hideMark/>
          </w:tcPr>
          <w:p w14:paraId="73C96B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 Circuito Judicial Alajuela</w:t>
            </w:r>
          </w:p>
        </w:tc>
        <w:tc>
          <w:tcPr>
            <w:tcW w:w="2120" w:type="dxa"/>
            <w:shd w:val="clear" w:color="auto" w:fill="auto"/>
            <w:vAlign w:val="center"/>
            <w:hideMark/>
          </w:tcPr>
          <w:p w14:paraId="112FC4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II Circuito Judicial Zona Sur</w:t>
            </w:r>
          </w:p>
        </w:tc>
      </w:tr>
      <w:tr w:rsidR="00D106C9" w:rsidRPr="00D106C9" w14:paraId="08F60B42" w14:textId="77777777" w:rsidTr="006D7BCD">
        <w:trPr>
          <w:trHeight w:val="420"/>
          <w:jc w:val="center"/>
        </w:trPr>
        <w:tc>
          <w:tcPr>
            <w:tcW w:w="2060" w:type="dxa"/>
            <w:shd w:val="clear" w:color="auto" w:fill="auto"/>
            <w:vAlign w:val="center"/>
            <w:hideMark/>
          </w:tcPr>
          <w:p w14:paraId="5439FA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Guatuso</w:t>
            </w:r>
          </w:p>
        </w:tc>
        <w:tc>
          <w:tcPr>
            <w:tcW w:w="2260" w:type="dxa"/>
            <w:shd w:val="clear" w:color="auto" w:fill="auto"/>
            <w:vAlign w:val="center"/>
            <w:hideMark/>
          </w:tcPr>
          <w:p w14:paraId="4F466E5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Puntarenas</w:t>
            </w:r>
          </w:p>
        </w:tc>
        <w:tc>
          <w:tcPr>
            <w:tcW w:w="2180" w:type="dxa"/>
            <w:shd w:val="clear" w:color="auto" w:fill="auto"/>
            <w:vAlign w:val="center"/>
            <w:hideMark/>
          </w:tcPr>
          <w:p w14:paraId="5C04E8E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del I Circ. Jud. de la Zona Atlántica</w:t>
            </w:r>
          </w:p>
        </w:tc>
        <w:tc>
          <w:tcPr>
            <w:tcW w:w="2120" w:type="dxa"/>
            <w:shd w:val="clear" w:color="auto" w:fill="auto"/>
            <w:vAlign w:val="center"/>
            <w:hideMark/>
          </w:tcPr>
          <w:p w14:paraId="4368078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Cartago</w:t>
            </w:r>
          </w:p>
        </w:tc>
      </w:tr>
      <w:tr w:rsidR="00D106C9" w:rsidRPr="00D106C9" w14:paraId="5C337629" w14:textId="77777777" w:rsidTr="006D7BCD">
        <w:trPr>
          <w:trHeight w:val="630"/>
          <w:jc w:val="center"/>
        </w:trPr>
        <w:tc>
          <w:tcPr>
            <w:tcW w:w="2060" w:type="dxa"/>
            <w:shd w:val="clear" w:color="auto" w:fill="auto"/>
            <w:vAlign w:val="center"/>
            <w:hideMark/>
          </w:tcPr>
          <w:p w14:paraId="621A997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Contravencional y Pens. </w:t>
            </w:r>
            <w:proofErr w:type="spellStart"/>
            <w:r w:rsidRPr="00D106C9">
              <w:rPr>
                <w:lang w:eastAsia="es-CR"/>
              </w:rPr>
              <w:t>Alimen</w:t>
            </w:r>
            <w:proofErr w:type="spellEnd"/>
            <w:r w:rsidRPr="00D106C9">
              <w:rPr>
                <w:lang w:eastAsia="es-CR"/>
              </w:rPr>
              <w:t>. III Circ. Jud. Alajuela (San Ramon)</w:t>
            </w:r>
          </w:p>
        </w:tc>
        <w:tc>
          <w:tcPr>
            <w:tcW w:w="2260" w:type="dxa"/>
            <w:shd w:val="clear" w:color="auto" w:fill="auto"/>
            <w:vAlign w:val="center"/>
            <w:hideMark/>
          </w:tcPr>
          <w:p w14:paraId="317DACA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Sede II Circuito Judicial de Alajuela</w:t>
            </w:r>
          </w:p>
        </w:tc>
        <w:tc>
          <w:tcPr>
            <w:tcW w:w="2180" w:type="dxa"/>
            <w:shd w:val="clear" w:color="auto" w:fill="auto"/>
            <w:vAlign w:val="center"/>
            <w:hideMark/>
          </w:tcPr>
          <w:p w14:paraId="3D54DD9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Contencioso Administrativo y Civil de Hacienda</w:t>
            </w:r>
          </w:p>
        </w:tc>
        <w:tc>
          <w:tcPr>
            <w:tcW w:w="2120" w:type="dxa"/>
            <w:shd w:val="clear" w:color="auto" w:fill="auto"/>
            <w:vAlign w:val="center"/>
            <w:hideMark/>
          </w:tcPr>
          <w:p w14:paraId="7BC553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II Circuito Jud. de San Jose</w:t>
            </w:r>
          </w:p>
        </w:tc>
      </w:tr>
      <w:tr w:rsidR="00D106C9" w:rsidRPr="00D106C9" w14:paraId="216375B4" w14:textId="77777777" w:rsidTr="006D7BCD">
        <w:trPr>
          <w:trHeight w:val="630"/>
          <w:jc w:val="center"/>
        </w:trPr>
        <w:tc>
          <w:tcPr>
            <w:tcW w:w="2060" w:type="dxa"/>
            <w:shd w:val="clear" w:color="auto" w:fill="auto"/>
            <w:vAlign w:val="center"/>
            <w:hideMark/>
          </w:tcPr>
          <w:p w14:paraId="3D48E2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del Poder Judicial</w:t>
            </w:r>
          </w:p>
        </w:tc>
        <w:tc>
          <w:tcPr>
            <w:tcW w:w="2260" w:type="dxa"/>
            <w:shd w:val="clear" w:color="auto" w:fill="auto"/>
            <w:vAlign w:val="center"/>
            <w:hideMark/>
          </w:tcPr>
          <w:p w14:paraId="302EDF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Sarapiquí</w:t>
            </w:r>
          </w:p>
        </w:tc>
        <w:tc>
          <w:tcPr>
            <w:tcW w:w="2180" w:type="dxa"/>
            <w:shd w:val="clear" w:color="auto" w:fill="auto"/>
            <w:vAlign w:val="center"/>
            <w:hideMark/>
          </w:tcPr>
          <w:p w14:paraId="1145BF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Batán</w:t>
            </w:r>
          </w:p>
        </w:tc>
        <w:tc>
          <w:tcPr>
            <w:tcW w:w="2120" w:type="dxa"/>
            <w:shd w:val="clear" w:color="auto" w:fill="auto"/>
            <w:vAlign w:val="center"/>
            <w:hideMark/>
          </w:tcPr>
          <w:p w14:paraId="3BD97B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Protección Cautelar Pavas</w:t>
            </w:r>
          </w:p>
        </w:tc>
      </w:tr>
      <w:tr w:rsidR="00D106C9" w:rsidRPr="00D106C9" w14:paraId="65CC0C65" w14:textId="77777777" w:rsidTr="006D7BCD">
        <w:trPr>
          <w:trHeight w:val="840"/>
          <w:jc w:val="center"/>
        </w:trPr>
        <w:tc>
          <w:tcPr>
            <w:tcW w:w="2060" w:type="dxa"/>
            <w:shd w:val="clear" w:color="auto" w:fill="auto"/>
            <w:vAlign w:val="center"/>
            <w:hideMark/>
          </w:tcPr>
          <w:p w14:paraId="7FA747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Primero Colegiado Primera Instancia Civil I Circuito Judicial San Jose</w:t>
            </w:r>
          </w:p>
        </w:tc>
        <w:tc>
          <w:tcPr>
            <w:tcW w:w="2260" w:type="dxa"/>
            <w:shd w:val="clear" w:color="auto" w:fill="auto"/>
            <w:vAlign w:val="center"/>
            <w:hideMark/>
          </w:tcPr>
          <w:p w14:paraId="4F7162F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Atlántica</w:t>
            </w:r>
          </w:p>
        </w:tc>
        <w:tc>
          <w:tcPr>
            <w:tcW w:w="2180" w:type="dxa"/>
            <w:shd w:val="clear" w:color="auto" w:fill="auto"/>
            <w:vAlign w:val="center"/>
            <w:hideMark/>
          </w:tcPr>
          <w:p w14:paraId="4BEE56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II Circuito Judicial de Alajuela, Sede los Chiles</w:t>
            </w:r>
          </w:p>
        </w:tc>
        <w:tc>
          <w:tcPr>
            <w:tcW w:w="2120" w:type="dxa"/>
            <w:shd w:val="clear" w:color="auto" w:fill="auto"/>
            <w:vAlign w:val="center"/>
            <w:hideMark/>
          </w:tcPr>
          <w:p w14:paraId="1182E6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Trab, Fam, Agra, Penal Juv, </w:t>
            </w:r>
            <w:proofErr w:type="spellStart"/>
            <w:r w:rsidRPr="00D106C9">
              <w:rPr>
                <w:lang w:eastAsia="es-CR"/>
              </w:rPr>
              <w:t>Viol</w:t>
            </w:r>
            <w:proofErr w:type="spellEnd"/>
            <w:r w:rsidRPr="00D106C9">
              <w:rPr>
                <w:lang w:eastAsia="es-CR"/>
              </w:rPr>
              <w:t xml:space="preserve"> Dom y Prot Cautelar Buenos Aires</w:t>
            </w:r>
          </w:p>
        </w:tc>
      </w:tr>
      <w:tr w:rsidR="00D106C9" w:rsidRPr="00D106C9" w14:paraId="69942E10" w14:textId="77777777" w:rsidTr="006D7BCD">
        <w:trPr>
          <w:trHeight w:val="630"/>
          <w:jc w:val="center"/>
        </w:trPr>
        <w:tc>
          <w:tcPr>
            <w:tcW w:w="2060" w:type="dxa"/>
            <w:shd w:val="clear" w:color="auto" w:fill="auto"/>
            <w:vAlign w:val="center"/>
            <w:hideMark/>
          </w:tcPr>
          <w:p w14:paraId="600468A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Heredia</w:t>
            </w:r>
          </w:p>
        </w:tc>
        <w:tc>
          <w:tcPr>
            <w:tcW w:w="2260" w:type="dxa"/>
            <w:shd w:val="clear" w:color="auto" w:fill="auto"/>
            <w:vAlign w:val="center"/>
            <w:hideMark/>
          </w:tcPr>
          <w:p w14:paraId="242F2F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w:t>
            </w:r>
            <w:proofErr w:type="spellStart"/>
            <w:r w:rsidRPr="00D106C9">
              <w:rPr>
                <w:lang w:eastAsia="es-CR"/>
              </w:rPr>
              <w:t>Civ</w:t>
            </w:r>
            <w:proofErr w:type="spellEnd"/>
            <w:r w:rsidRPr="00D106C9">
              <w:rPr>
                <w:lang w:eastAsia="es-CR"/>
              </w:rPr>
              <w:t xml:space="preserve">, </w:t>
            </w:r>
            <w:proofErr w:type="spellStart"/>
            <w:r w:rsidRPr="00D106C9">
              <w:rPr>
                <w:lang w:eastAsia="es-CR"/>
              </w:rPr>
              <w:t>Tra</w:t>
            </w:r>
            <w:proofErr w:type="spellEnd"/>
            <w:r w:rsidRPr="00D106C9">
              <w:rPr>
                <w:lang w:eastAsia="es-CR"/>
              </w:rPr>
              <w:t xml:space="preserve">, </w:t>
            </w:r>
            <w:proofErr w:type="spellStart"/>
            <w:r w:rsidRPr="00D106C9">
              <w:rPr>
                <w:lang w:eastAsia="es-CR"/>
              </w:rPr>
              <w:t>Agr</w:t>
            </w:r>
            <w:proofErr w:type="spellEnd"/>
            <w:r w:rsidRPr="00D106C9">
              <w:rPr>
                <w:lang w:eastAsia="es-CR"/>
              </w:rPr>
              <w:t xml:space="preserve">, Fam, Pen Juv, Vio Dom y Prot </w:t>
            </w:r>
            <w:proofErr w:type="spellStart"/>
            <w:r w:rsidRPr="00D106C9">
              <w:rPr>
                <w:lang w:eastAsia="es-CR"/>
              </w:rPr>
              <w:t>Cau</w:t>
            </w:r>
            <w:proofErr w:type="spellEnd"/>
            <w:r w:rsidRPr="00D106C9">
              <w:rPr>
                <w:lang w:eastAsia="es-CR"/>
              </w:rPr>
              <w:t xml:space="preserve"> </w:t>
            </w:r>
            <w:r w:rsidRPr="00D106C9">
              <w:rPr>
                <w:lang w:eastAsia="es-CR"/>
              </w:rPr>
              <w:lastRenderedPageBreak/>
              <w:t>II Cir Jud Ala, Sede Upala</w:t>
            </w:r>
          </w:p>
        </w:tc>
        <w:tc>
          <w:tcPr>
            <w:tcW w:w="2180" w:type="dxa"/>
            <w:shd w:val="clear" w:color="auto" w:fill="auto"/>
            <w:vAlign w:val="center"/>
            <w:hideMark/>
          </w:tcPr>
          <w:p w14:paraId="4135662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Juzgado Penal III Circuito Judicial de San Jose</w:t>
            </w:r>
          </w:p>
        </w:tc>
        <w:tc>
          <w:tcPr>
            <w:tcW w:w="2120" w:type="dxa"/>
            <w:shd w:val="clear" w:color="auto" w:fill="auto"/>
            <w:vAlign w:val="center"/>
            <w:hideMark/>
          </w:tcPr>
          <w:p w14:paraId="389C91D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Buenos Aires</w:t>
            </w:r>
          </w:p>
        </w:tc>
      </w:tr>
      <w:tr w:rsidR="00D106C9" w:rsidRPr="00D106C9" w14:paraId="3E3F094C" w14:textId="77777777" w:rsidTr="006D7BCD">
        <w:trPr>
          <w:trHeight w:val="630"/>
          <w:jc w:val="center"/>
        </w:trPr>
        <w:tc>
          <w:tcPr>
            <w:tcW w:w="2060" w:type="dxa"/>
            <w:shd w:val="clear" w:color="auto" w:fill="auto"/>
            <w:vAlign w:val="center"/>
            <w:hideMark/>
          </w:tcPr>
          <w:p w14:paraId="74B7FB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del I Circuito Judicial de la Zona Atlántica</w:t>
            </w:r>
          </w:p>
        </w:tc>
        <w:tc>
          <w:tcPr>
            <w:tcW w:w="2260" w:type="dxa"/>
            <w:shd w:val="clear" w:color="auto" w:fill="auto"/>
            <w:vAlign w:val="center"/>
            <w:hideMark/>
          </w:tcPr>
          <w:p w14:paraId="51438E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Sala Segunda</w:t>
            </w:r>
          </w:p>
        </w:tc>
        <w:tc>
          <w:tcPr>
            <w:tcW w:w="2180" w:type="dxa"/>
            <w:shd w:val="clear" w:color="auto" w:fill="auto"/>
            <w:vAlign w:val="center"/>
            <w:hideMark/>
          </w:tcPr>
          <w:p w14:paraId="27C7A3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II Circuito Judicial Guanacaste (Santa Cruz)</w:t>
            </w:r>
          </w:p>
        </w:tc>
        <w:tc>
          <w:tcPr>
            <w:tcW w:w="2120" w:type="dxa"/>
            <w:shd w:val="clear" w:color="auto" w:fill="auto"/>
            <w:vAlign w:val="center"/>
            <w:hideMark/>
          </w:tcPr>
          <w:p w14:paraId="30C6307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Osa</w:t>
            </w:r>
          </w:p>
        </w:tc>
      </w:tr>
      <w:tr w:rsidR="00D106C9" w:rsidRPr="00D106C9" w14:paraId="5CA0EE33" w14:textId="77777777" w:rsidTr="006D7BCD">
        <w:trPr>
          <w:trHeight w:val="630"/>
          <w:jc w:val="center"/>
        </w:trPr>
        <w:tc>
          <w:tcPr>
            <w:tcW w:w="2060" w:type="dxa"/>
            <w:shd w:val="clear" w:color="auto" w:fill="auto"/>
            <w:vAlign w:val="center"/>
            <w:hideMark/>
          </w:tcPr>
          <w:p w14:paraId="135472F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la Zona Atlántica</w:t>
            </w:r>
          </w:p>
        </w:tc>
        <w:tc>
          <w:tcPr>
            <w:tcW w:w="2260" w:type="dxa"/>
            <w:shd w:val="clear" w:color="auto" w:fill="auto"/>
            <w:vAlign w:val="center"/>
            <w:hideMark/>
          </w:tcPr>
          <w:p w14:paraId="29CA423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San Rafael</w:t>
            </w:r>
          </w:p>
        </w:tc>
        <w:tc>
          <w:tcPr>
            <w:tcW w:w="2180" w:type="dxa"/>
            <w:shd w:val="clear" w:color="auto" w:fill="auto"/>
            <w:vAlign w:val="center"/>
            <w:hideMark/>
          </w:tcPr>
          <w:p w14:paraId="4F5B40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Coto Brus</w:t>
            </w:r>
          </w:p>
        </w:tc>
        <w:tc>
          <w:tcPr>
            <w:tcW w:w="2120" w:type="dxa"/>
            <w:shd w:val="clear" w:color="auto" w:fill="auto"/>
            <w:vAlign w:val="center"/>
            <w:hideMark/>
          </w:tcPr>
          <w:p w14:paraId="7AD1C5D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Comision de la Jurisdicción Agrario y Agroambiental</w:t>
            </w:r>
          </w:p>
        </w:tc>
      </w:tr>
      <w:tr w:rsidR="00D106C9" w:rsidRPr="00D106C9" w14:paraId="594CF86B" w14:textId="77777777" w:rsidTr="006D7BCD">
        <w:trPr>
          <w:trHeight w:val="630"/>
          <w:jc w:val="center"/>
        </w:trPr>
        <w:tc>
          <w:tcPr>
            <w:tcW w:w="2060" w:type="dxa"/>
            <w:shd w:val="clear" w:color="auto" w:fill="auto"/>
            <w:vAlign w:val="center"/>
            <w:hideMark/>
          </w:tcPr>
          <w:p w14:paraId="24DF13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del I Circuito Judicial de la Zona Sur</w:t>
            </w:r>
          </w:p>
        </w:tc>
        <w:tc>
          <w:tcPr>
            <w:tcW w:w="2260" w:type="dxa"/>
            <w:shd w:val="clear" w:color="auto" w:fill="auto"/>
            <w:vAlign w:val="center"/>
            <w:hideMark/>
          </w:tcPr>
          <w:p w14:paraId="1D08D58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Alajuela, Sede Atenas</w:t>
            </w:r>
          </w:p>
        </w:tc>
        <w:tc>
          <w:tcPr>
            <w:tcW w:w="2180" w:type="dxa"/>
            <w:shd w:val="clear" w:color="auto" w:fill="auto"/>
            <w:vAlign w:val="center"/>
            <w:hideMark/>
          </w:tcPr>
          <w:p w14:paraId="76F38AC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 Cautelar Puriscal</w:t>
            </w:r>
          </w:p>
        </w:tc>
        <w:tc>
          <w:tcPr>
            <w:tcW w:w="2120" w:type="dxa"/>
            <w:shd w:val="clear" w:color="auto" w:fill="auto"/>
            <w:vAlign w:val="center"/>
          </w:tcPr>
          <w:p w14:paraId="781F06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Hatillo</w:t>
            </w:r>
          </w:p>
        </w:tc>
      </w:tr>
      <w:tr w:rsidR="00D106C9" w:rsidRPr="00D106C9" w14:paraId="7C66998B" w14:textId="77777777" w:rsidTr="006D7BCD">
        <w:trPr>
          <w:trHeight w:val="420"/>
          <w:jc w:val="center"/>
        </w:trPr>
        <w:tc>
          <w:tcPr>
            <w:tcW w:w="2060" w:type="dxa"/>
            <w:shd w:val="clear" w:color="auto" w:fill="auto"/>
            <w:vAlign w:val="center"/>
            <w:hideMark/>
          </w:tcPr>
          <w:p w14:paraId="78E2FCC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III Circuito Judicial San Jose</w:t>
            </w:r>
          </w:p>
        </w:tc>
        <w:tc>
          <w:tcPr>
            <w:tcW w:w="2260" w:type="dxa"/>
            <w:shd w:val="clear" w:color="auto" w:fill="auto"/>
            <w:vAlign w:val="center"/>
            <w:hideMark/>
          </w:tcPr>
          <w:p w14:paraId="370966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 Circuito Judicial de la Zona Atlántica</w:t>
            </w:r>
          </w:p>
        </w:tc>
        <w:tc>
          <w:tcPr>
            <w:tcW w:w="2180" w:type="dxa"/>
            <w:shd w:val="clear" w:color="auto" w:fill="auto"/>
            <w:vAlign w:val="center"/>
            <w:hideMark/>
          </w:tcPr>
          <w:p w14:paraId="7EA158DB" w14:textId="77777777" w:rsidR="00D106C9" w:rsidRPr="00D106C9" w:rsidRDefault="00D106C9" w:rsidP="00D106C9">
            <w:pPr>
              <w:widowControl w:val="0"/>
              <w:suppressAutoHyphens w:val="0"/>
              <w:autoSpaceDE w:val="0"/>
              <w:autoSpaceDN w:val="0"/>
              <w:adjustRightInd w:val="0"/>
              <w:jc w:val="center"/>
              <w:rPr>
                <w:lang w:eastAsia="es-CR"/>
              </w:rPr>
            </w:pPr>
          </w:p>
        </w:tc>
        <w:tc>
          <w:tcPr>
            <w:tcW w:w="2120" w:type="dxa"/>
            <w:shd w:val="clear" w:color="auto" w:fill="auto"/>
            <w:noWrap/>
            <w:vAlign w:val="bottom"/>
            <w:hideMark/>
          </w:tcPr>
          <w:p w14:paraId="0EDAD694" w14:textId="77777777" w:rsidR="00D106C9" w:rsidRPr="00D106C9" w:rsidRDefault="00D106C9" w:rsidP="00D106C9">
            <w:pPr>
              <w:widowControl w:val="0"/>
              <w:suppressAutoHyphens w:val="0"/>
              <w:autoSpaceDE w:val="0"/>
              <w:autoSpaceDN w:val="0"/>
              <w:adjustRightInd w:val="0"/>
              <w:jc w:val="center"/>
              <w:rPr>
                <w:lang w:eastAsia="es-CR"/>
              </w:rPr>
            </w:pPr>
          </w:p>
        </w:tc>
      </w:tr>
    </w:tbl>
    <w:bookmarkEnd w:id="39"/>
    <w:p w14:paraId="071D6907" w14:textId="77777777" w:rsidR="00D106C9" w:rsidRPr="00D106C9" w:rsidRDefault="00D106C9" w:rsidP="00D106C9">
      <w:pPr>
        <w:widowControl w:val="0"/>
        <w:suppressAutoHyphens w:val="0"/>
        <w:autoSpaceDE w:val="0"/>
        <w:autoSpaceDN w:val="0"/>
        <w:adjustRightInd w:val="0"/>
        <w:jc w:val="both"/>
        <w:rPr>
          <w:lang w:eastAsia="es-ES"/>
        </w:rPr>
      </w:pPr>
      <w:r w:rsidRPr="00D106C9">
        <w:rPr>
          <w:b/>
          <w:bCs/>
          <w:lang w:eastAsia="es-ES"/>
        </w:rPr>
        <w:t xml:space="preserve">   Fuente:</w:t>
      </w:r>
      <w:r w:rsidRPr="00D106C9">
        <w:rPr>
          <w:lang w:eastAsia="es-ES"/>
        </w:rPr>
        <w:t xml:space="preserve"> Sistema PAO 2021, con corte al 19 de enero del 2022.</w:t>
      </w:r>
    </w:p>
    <w:p w14:paraId="0E52EB0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Del análisis anterior, se puede indicar que hay 122 oficinas con registro de cumplimiento inferior al 90%, por lo anterior, se requiere a las oficinas citadas determinar las razones que propiciaron no alcanzar los resultados esperados, y las medidas correctivas que se pueden implementar para que en el 2022 puedan registrar avances de cumplimiento superiores al 90%. </w:t>
      </w:r>
    </w:p>
    <w:p w14:paraId="1E0EB825"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35BB260E"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12.3. Oficinas con estado de metas operativas no avalados</w:t>
      </w:r>
    </w:p>
    <w:p w14:paraId="67AFACEB"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5989984C"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A continuación, se observa las oportunidades de mejoras para las oficinas con estado de metas operativas no avalados para el Plan Anual Operativo 2021. </w:t>
      </w:r>
    </w:p>
    <w:p w14:paraId="0EA48F27"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 xml:space="preserve">Cuadro </w:t>
      </w:r>
      <w:r w:rsidRPr="00D106C9">
        <w:rPr>
          <w:b/>
          <w:bCs/>
          <w:lang w:eastAsia="es-ES"/>
        </w:rPr>
        <w:fldChar w:fldCharType="begin"/>
      </w:r>
      <w:r w:rsidRPr="00D106C9">
        <w:rPr>
          <w:b/>
          <w:bCs/>
          <w:lang w:eastAsia="es-ES"/>
        </w:rPr>
        <w:instrText xml:space="preserve"> SEQ Cuadro \* ARABIC </w:instrText>
      </w:r>
      <w:r w:rsidRPr="00D106C9">
        <w:rPr>
          <w:b/>
          <w:bCs/>
          <w:lang w:eastAsia="es-ES"/>
        </w:rPr>
        <w:fldChar w:fldCharType="separate"/>
      </w:r>
      <w:r w:rsidRPr="00D106C9">
        <w:rPr>
          <w:b/>
          <w:bCs/>
          <w:lang w:eastAsia="es-ES"/>
        </w:rPr>
        <w:t>11</w:t>
      </w:r>
      <w:r w:rsidRPr="00D106C9">
        <w:rPr>
          <w:b/>
          <w:bCs/>
          <w:lang w:eastAsia="es-ES"/>
        </w:rPr>
        <w:fldChar w:fldCharType="end"/>
      </w:r>
    </w:p>
    <w:p w14:paraId="5A148217"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Oficinas con estado de metas operativas no avalados (En progreso, No iniciado, Demorado en Progreso, Demorado pendiente)</w:t>
      </w:r>
    </w:p>
    <w:p w14:paraId="5FCF8BAA" w14:textId="77777777" w:rsidR="00D106C9" w:rsidRPr="00D106C9" w:rsidRDefault="00D106C9" w:rsidP="00D106C9">
      <w:pPr>
        <w:widowControl w:val="0"/>
        <w:suppressAutoHyphens w:val="0"/>
        <w:autoSpaceDE w:val="0"/>
        <w:autoSpaceDN w:val="0"/>
        <w:adjustRightInd w:val="0"/>
        <w:ind w:left="851" w:right="851" w:firstLine="709"/>
        <w:rPr>
          <w:lang w:eastAsia="es-ES"/>
        </w:rPr>
      </w:pPr>
    </w:p>
    <w:tbl>
      <w:tblPr>
        <w:tblW w:w="7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92"/>
        <w:gridCol w:w="2494"/>
        <w:gridCol w:w="2393"/>
        <w:gridCol w:w="2116"/>
      </w:tblGrid>
      <w:tr w:rsidR="00D106C9" w:rsidRPr="00D106C9" w14:paraId="513A0626" w14:textId="77777777" w:rsidTr="006D7BCD">
        <w:trPr>
          <w:trHeight w:val="210"/>
          <w:jc w:val="center"/>
        </w:trPr>
        <w:tc>
          <w:tcPr>
            <w:tcW w:w="7159" w:type="dxa"/>
            <w:gridSpan w:val="4"/>
            <w:shd w:val="clear" w:color="000000" w:fill="0070C0"/>
            <w:noWrap/>
            <w:vAlign w:val="bottom"/>
            <w:hideMark/>
          </w:tcPr>
          <w:p w14:paraId="382DD465"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OFICINAS CON ESTADOS NO AVALDOS</w:t>
            </w:r>
          </w:p>
        </w:tc>
      </w:tr>
      <w:tr w:rsidR="00D106C9" w:rsidRPr="00D106C9" w14:paraId="42D7ECE5" w14:textId="77777777" w:rsidTr="006D7BCD">
        <w:trPr>
          <w:trHeight w:val="1060"/>
          <w:jc w:val="center"/>
        </w:trPr>
        <w:tc>
          <w:tcPr>
            <w:tcW w:w="1837" w:type="dxa"/>
            <w:shd w:val="clear" w:color="auto" w:fill="auto"/>
            <w:vAlign w:val="center"/>
            <w:hideMark/>
          </w:tcPr>
          <w:p w14:paraId="3A0AC96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COMISION DE LA JURISDICCION AGRARIO Y AGROAMBIENTAL</w:t>
            </w:r>
          </w:p>
        </w:tc>
        <w:tc>
          <w:tcPr>
            <w:tcW w:w="1865" w:type="dxa"/>
            <w:shd w:val="clear" w:color="auto" w:fill="auto"/>
            <w:vAlign w:val="center"/>
            <w:hideMark/>
          </w:tcPr>
          <w:p w14:paraId="4ADC65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II CIRCUITO JUDICIAL SAN JOSE</w:t>
            </w:r>
          </w:p>
        </w:tc>
        <w:tc>
          <w:tcPr>
            <w:tcW w:w="1837" w:type="dxa"/>
            <w:shd w:val="clear" w:color="auto" w:fill="auto"/>
            <w:vAlign w:val="center"/>
            <w:hideMark/>
          </w:tcPr>
          <w:p w14:paraId="042CFD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DIRECCION EJECUTIVA</w:t>
            </w:r>
          </w:p>
        </w:tc>
        <w:tc>
          <w:tcPr>
            <w:tcW w:w="1620" w:type="dxa"/>
            <w:shd w:val="clear" w:color="auto" w:fill="auto"/>
            <w:vAlign w:val="center"/>
            <w:hideMark/>
          </w:tcPr>
          <w:p w14:paraId="4D048E6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BATAN</w:t>
            </w:r>
          </w:p>
        </w:tc>
      </w:tr>
      <w:tr w:rsidR="00D106C9" w:rsidRPr="00D106C9" w14:paraId="2F02F7D7" w14:textId="77777777" w:rsidTr="006D7BCD">
        <w:trPr>
          <w:trHeight w:val="850"/>
          <w:jc w:val="center"/>
        </w:trPr>
        <w:tc>
          <w:tcPr>
            <w:tcW w:w="1837" w:type="dxa"/>
            <w:shd w:val="clear" w:color="auto" w:fill="auto"/>
            <w:vAlign w:val="center"/>
            <w:hideMark/>
          </w:tcPr>
          <w:p w14:paraId="70A7E1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JUZGADO CONTRAVENCIONAL DE ALAJUELITA</w:t>
            </w:r>
          </w:p>
        </w:tc>
        <w:tc>
          <w:tcPr>
            <w:tcW w:w="1865" w:type="dxa"/>
            <w:shd w:val="clear" w:color="auto" w:fill="auto"/>
            <w:vAlign w:val="center"/>
            <w:hideMark/>
          </w:tcPr>
          <w:p w14:paraId="7373D9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BUENOS AIRES</w:t>
            </w:r>
          </w:p>
        </w:tc>
        <w:tc>
          <w:tcPr>
            <w:tcW w:w="1837" w:type="dxa"/>
            <w:shd w:val="clear" w:color="auto" w:fill="auto"/>
            <w:vAlign w:val="center"/>
            <w:hideMark/>
          </w:tcPr>
          <w:p w14:paraId="3E772C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DE LEGITIMACION DE CAPITALES</w:t>
            </w:r>
          </w:p>
        </w:tc>
        <w:tc>
          <w:tcPr>
            <w:tcW w:w="1620" w:type="dxa"/>
            <w:shd w:val="clear" w:color="auto" w:fill="auto"/>
            <w:vAlign w:val="center"/>
            <w:hideMark/>
          </w:tcPr>
          <w:p w14:paraId="7D011EA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OSA</w:t>
            </w:r>
          </w:p>
        </w:tc>
      </w:tr>
      <w:tr w:rsidR="00D106C9" w:rsidRPr="00D106C9" w14:paraId="1F30E5D8" w14:textId="77777777" w:rsidTr="006D7BCD">
        <w:trPr>
          <w:trHeight w:val="1270"/>
          <w:jc w:val="center"/>
        </w:trPr>
        <w:tc>
          <w:tcPr>
            <w:tcW w:w="1837" w:type="dxa"/>
            <w:shd w:val="clear" w:color="auto" w:fill="auto"/>
            <w:vAlign w:val="center"/>
            <w:hideMark/>
          </w:tcPr>
          <w:p w14:paraId="1FEACC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w:t>
            </w:r>
            <w:proofErr w:type="gramStart"/>
            <w:r w:rsidRPr="00D106C9">
              <w:rPr>
                <w:lang w:eastAsia="es-CR"/>
              </w:rPr>
              <w:t>CIVIL,TRAB</w:t>
            </w:r>
            <w:proofErr w:type="gramEnd"/>
            <w:r w:rsidRPr="00D106C9">
              <w:rPr>
                <w:lang w:eastAsia="es-CR"/>
              </w:rPr>
              <w:t>, FAM, AGRA, PENAL JUV, VIOL DOM Y PROT CAUTELAR BUENOS AIRES</w:t>
            </w:r>
          </w:p>
        </w:tc>
        <w:tc>
          <w:tcPr>
            <w:tcW w:w="1865" w:type="dxa"/>
            <w:shd w:val="clear" w:color="auto" w:fill="auto"/>
            <w:vAlign w:val="center"/>
            <w:hideMark/>
          </w:tcPr>
          <w:p w14:paraId="0DA2B32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JIMENEZ</w:t>
            </w:r>
          </w:p>
        </w:tc>
        <w:tc>
          <w:tcPr>
            <w:tcW w:w="1837" w:type="dxa"/>
            <w:shd w:val="clear" w:color="auto" w:fill="auto"/>
            <w:vAlign w:val="center"/>
            <w:hideMark/>
          </w:tcPr>
          <w:p w14:paraId="35BF2A3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DE PAVAS</w:t>
            </w:r>
          </w:p>
        </w:tc>
        <w:tc>
          <w:tcPr>
            <w:tcW w:w="1620" w:type="dxa"/>
            <w:shd w:val="clear" w:color="auto" w:fill="auto"/>
            <w:vAlign w:val="center"/>
            <w:hideMark/>
          </w:tcPr>
          <w:p w14:paraId="01C289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LA ZONA ATLANTICA</w:t>
            </w:r>
          </w:p>
        </w:tc>
      </w:tr>
      <w:tr w:rsidR="00D106C9" w:rsidRPr="00D106C9" w14:paraId="5990AF62" w14:textId="77777777" w:rsidTr="006D7BCD">
        <w:trPr>
          <w:trHeight w:val="850"/>
          <w:jc w:val="center"/>
        </w:trPr>
        <w:tc>
          <w:tcPr>
            <w:tcW w:w="1837" w:type="dxa"/>
            <w:shd w:val="clear" w:color="auto" w:fill="auto"/>
            <w:vAlign w:val="center"/>
            <w:hideMark/>
          </w:tcPr>
          <w:p w14:paraId="31EE46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MONTES DE ORO</w:t>
            </w:r>
          </w:p>
        </w:tc>
        <w:tc>
          <w:tcPr>
            <w:tcW w:w="1865" w:type="dxa"/>
            <w:shd w:val="clear" w:color="auto" w:fill="auto"/>
            <w:vAlign w:val="center"/>
            <w:hideMark/>
          </w:tcPr>
          <w:p w14:paraId="1D06C1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PURISCAL</w:t>
            </w:r>
          </w:p>
        </w:tc>
        <w:tc>
          <w:tcPr>
            <w:tcW w:w="1837" w:type="dxa"/>
            <w:shd w:val="clear" w:color="auto" w:fill="auto"/>
            <w:vAlign w:val="center"/>
            <w:hideMark/>
          </w:tcPr>
          <w:p w14:paraId="2728087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PUNTARENAS</w:t>
            </w:r>
          </w:p>
        </w:tc>
        <w:tc>
          <w:tcPr>
            <w:tcW w:w="1620" w:type="dxa"/>
            <w:shd w:val="clear" w:color="auto" w:fill="auto"/>
            <w:vAlign w:val="center"/>
            <w:hideMark/>
          </w:tcPr>
          <w:p w14:paraId="45DA0F7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SAN JOSE</w:t>
            </w:r>
          </w:p>
        </w:tc>
      </w:tr>
      <w:tr w:rsidR="00D106C9" w:rsidRPr="00D106C9" w14:paraId="3C6DA137" w14:textId="77777777" w:rsidTr="006D7BCD">
        <w:trPr>
          <w:trHeight w:val="850"/>
          <w:jc w:val="center"/>
        </w:trPr>
        <w:tc>
          <w:tcPr>
            <w:tcW w:w="1837" w:type="dxa"/>
            <w:shd w:val="clear" w:color="auto" w:fill="auto"/>
            <w:vAlign w:val="center"/>
            <w:hideMark/>
          </w:tcPr>
          <w:p w14:paraId="1EA52A4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LOS CHILES</w:t>
            </w:r>
          </w:p>
        </w:tc>
        <w:tc>
          <w:tcPr>
            <w:tcW w:w="1865" w:type="dxa"/>
            <w:shd w:val="clear" w:color="auto" w:fill="auto"/>
            <w:vAlign w:val="center"/>
            <w:hideMark/>
          </w:tcPr>
          <w:p w14:paraId="4154B4C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ZARCERO</w:t>
            </w:r>
          </w:p>
        </w:tc>
        <w:tc>
          <w:tcPr>
            <w:tcW w:w="1837" w:type="dxa"/>
            <w:shd w:val="clear" w:color="auto" w:fill="auto"/>
            <w:vAlign w:val="center"/>
            <w:hideMark/>
          </w:tcPr>
          <w:p w14:paraId="69A8D45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BATAN</w:t>
            </w:r>
          </w:p>
        </w:tc>
        <w:tc>
          <w:tcPr>
            <w:tcW w:w="1620" w:type="dxa"/>
            <w:shd w:val="clear" w:color="auto" w:fill="auto"/>
            <w:vAlign w:val="center"/>
            <w:hideMark/>
          </w:tcPr>
          <w:p w14:paraId="0CE8075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CARTAGO</w:t>
            </w:r>
          </w:p>
        </w:tc>
      </w:tr>
      <w:tr w:rsidR="00D106C9" w:rsidRPr="00D106C9" w14:paraId="4E1213CD" w14:textId="77777777" w:rsidTr="006D7BCD">
        <w:trPr>
          <w:trHeight w:val="1270"/>
          <w:jc w:val="center"/>
        </w:trPr>
        <w:tc>
          <w:tcPr>
            <w:tcW w:w="1837" w:type="dxa"/>
            <w:shd w:val="clear" w:color="auto" w:fill="auto"/>
            <w:vAlign w:val="center"/>
            <w:hideMark/>
          </w:tcPr>
          <w:p w14:paraId="54CE9F4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 CIRCUITO JUDICIAL ZONA SUR</w:t>
            </w:r>
          </w:p>
        </w:tc>
        <w:tc>
          <w:tcPr>
            <w:tcW w:w="1865" w:type="dxa"/>
            <w:shd w:val="clear" w:color="auto" w:fill="auto"/>
            <w:vAlign w:val="center"/>
            <w:hideMark/>
          </w:tcPr>
          <w:p w14:paraId="15C27B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I CIRCUITO JUDICIAL DE LA ZONA ATLANTICA</w:t>
            </w:r>
          </w:p>
        </w:tc>
        <w:tc>
          <w:tcPr>
            <w:tcW w:w="1837" w:type="dxa"/>
            <w:shd w:val="clear" w:color="auto" w:fill="auto"/>
            <w:vAlign w:val="center"/>
            <w:hideMark/>
          </w:tcPr>
          <w:p w14:paraId="6116587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LA FORTUNA</w:t>
            </w:r>
          </w:p>
        </w:tc>
        <w:tc>
          <w:tcPr>
            <w:tcW w:w="1620" w:type="dxa"/>
            <w:shd w:val="clear" w:color="auto" w:fill="auto"/>
            <w:vAlign w:val="center"/>
            <w:hideMark/>
          </w:tcPr>
          <w:p w14:paraId="314C10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III CIRCUITO JUDICIAL ALAJUELA (SAN RAMON)</w:t>
            </w:r>
          </w:p>
        </w:tc>
      </w:tr>
      <w:tr w:rsidR="00D106C9" w:rsidRPr="00D106C9" w14:paraId="201381C6" w14:textId="77777777" w:rsidTr="006D7BCD">
        <w:trPr>
          <w:trHeight w:val="1060"/>
          <w:jc w:val="center"/>
        </w:trPr>
        <w:tc>
          <w:tcPr>
            <w:tcW w:w="1837" w:type="dxa"/>
            <w:shd w:val="clear" w:color="auto" w:fill="auto"/>
            <w:vAlign w:val="center"/>
            <w:hideMark/>
          </w:tcPr>
          <w:p w14:paraId="268E8A5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 TRA, AGR, FAM, PEN JUV, VIO DOM Y PROT CAU II CIR J ALA, SEDE UPALA</w:t>
            </w:r>
          </w:p>
        </w:tc>
        <w:tc>
          <w:tcPr>
            <w:tcW w:w="1865" w:type="dxa"/>
            <w:shd w:val="clear" w:color="auto" w:fill="auto"/>
            <w:vAlign w:val="center"/>
            <w:hideMark/>
          </w:tcPr>
          <w:p w14:paraId="455D466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PAVAS</w:t>
            </w:r>
          </w:p>
        </w:tc>
        <w:tc>
          <w:tcPr>
            <w:tcW w:w="1837" w:type="dxa"/>
            <w:shd w:val="clear" w:color="auto" w:fill="auto"/>
            <w:vAlign w:val="center"/>
            <w:hideMark/>
          </w:tcPr>
          <w:p w14:paraId="2661C1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PURISCAL</w:t>
            </w:r>
          </w:p>
        </w:tc>
        <w:tc>
          <w:tcPr>
            <w:tcW w:w="1620" w:type="dxa"/>
            <w:shd w:val="clear" w:color="auto" w:fill="auto"/>
            <w:vAlign w:val="center"/>
            <w:hideMark/>
          </w:tcPr>
          <w:p w14:paraId="0F57383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ALIMENTARIAS II CIRCUITO JUDICIAL GUANACASTE</w:t>
            </w:r>
          </w:p>
        </w:tc>
      </w:tr>
      <w:tr w:rsidR="00D106C9" w:rsidRPr="00D106C9" w14:paraId="680D60A8" w14:textId="77777777" w:rsidTr="006D7BCD">
        <w:trPr>
          <w:trHeight w:val="1480"/>
          <w:jc w:val="center"/>
        </w:trPr>
        <w:tc>
          <w:tcPr>
            <w:tcW w:w="1837" w:type="dxa"/>
            <w:shd w:val="clear" w:color="auto" w:fill="auto"/>
            <w:vAlign w:val="center"/>
            <w:hideMark/>
          </w:tcPr>
          <w:p w14:paraId="276657D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ABANGARES</w:t>
            </w:r>
          </w:p>
        </w:tc>
        <w:tc>
          <w:tcPr>
            <w:tcW w:w="1865" w:type="dxa"/>
            <w:shd w:val="clear" w:color="auto" w:fill="auto"/>
            <w:vAlign w:val="center"/>
            <w:hideMark/>
          </w:tcPr>
          <w:p w14:paraId="1C44441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 CIRCUITO JUDICIAL DE GUANACASTE</w:t>
            </w:r>
          </w:p>
        </w:tc>
        <w:tc>
          <w:tcPr>
            <w:tcW w:w="1837" w:type="dxa"/>
            <w:shd w:val="clear" w:color="auto" w:fill="auto"/>
            <w:vAlign w:val="center"/>
            <w:hideMark/>
          </w:tcPr>
          <w:p w14:paraId="01F6268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TURNO EXTRAORDINARIO SAN JOSE, SEDE I CIRCUITO JUDICIAL SAN JOSE</w:t>
            </w:r>
          </w:p>
        </w:tc>
        <w:tc>
          <w:tcPr>
            <w:tcW w:w="1620" w:type="dxa"/>
            <w:shd w:val="clear" w:color="auto" w:fill="auto"/>
            <w:vAlign w:val="center"/>
            <w:hideMark/>
          </w:tcPr>
          <w:p w14:paraId="5B3053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PROTECCION CAUTELAR PAVAS</w:t>
            </w:r>
          </w:p>
        </w:tc>
      </w:tr>
      <w:tr w:rsidR="00D106C9" w:rsidRPr="00D106C9" w14:paraId="64802FBD" w14:textId="77777777" w:rsidTr="006D7BCD">
        <w:trPr>
          <w:trHeight w:val="1060"/>
          <w:jc w:val="center"/>
        </w:trPr>
        <w:tc>
          <w:tcPr>
            <w:tcW w:w="1837" w:type="dxa"/>
            <w:shd w:val="clear" w:color="auto" w:fill="auto"/>
            <w:vAlign w:val="center"/>
            <w:hideMark/>
          </w:tcPr>
          <w:p w14:paraId="6442000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DE FRAUDES</w:t>
            </w:r>
          </w:p>
        </w:tc>
        <w:tc>
          <w:tcPr>
            <w:tcW w:w="1865" w:type="dxa"/>
            <w:shd w:val="clear" w:color="auto" w:fill="auto"/>
            <w:vAlign w:val="center"/>
            <w:hideMark/>
          </w:tcPr>
          <w:p w14:paraId="53089F3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SUR</w:t>
            </w:r>
          </w:p>
        </w:tc>
        <w:tc>
          <w:tcPr>
            <w:tcW w:w="1837" w:type="dxa"/>
            <w:shd w:val="clear" w:color="auto" w:fill="auto"/>
            <w:vAlign w:val="center"/>
            <w:hideMark/>
          </w:tcPr>
          <w:p w14:paraId="0CD1703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II CIRC. JUD. GUANACASTE</w:t>
            </w:r>
          </w:p>
        </w:tc>
        <w:tc>
          <w:tcPr>
            <w:tcW w:w="1620" w:type="dxa"/>
            <w:shd w:val="clear" w:color="auto" w:fill="auto"/>
            <w:vAlign w:val="center"/>
            <w:hideMark/>
          </w:tcPr>
          <w:p w14:paraId="59CB3A1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PRIMERO DE FAMILIA DE SAN JOSE</w:t>
            </w:r>
          </w:p>
        </w:tc>
      </w:tr>
      <w:tr w:rsidR="00D106C9" w:rsidRPr="00D106C9" w14:paraId="0DB1D74E" w14:textId="77777777" w:rsidTr="006D7BCD">
        <w:trPr>
          <w:trHeight w:val="1480"/>
          <w:jc w:val="center"/>
        </w:trPr>
        <w:tc>
          <w:tcPr>
            <w:tcW w:w="1837" w:type="dxa"/>
            <w:shd w:val="clear" w:color="auto" w:fill="auto"/>
            <w:vAlign w:val="center"/>
            <w:hideMark/>
          </w:tcPr>
          <w:p w14:paraId="24B4460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 xml:space="preserve">JUZGADO CIVIL Y TRABAJO II CIRC. </w:t>
            </w:r>
            <w:proofErr w:type="gramStart"/>
            <w:r w:rsidRPr="00D106C9">
              <w:rPr>
                <w:lang w:eastAsia="es-CR"/>
              </w:rPr>
              <w:t>JUD.DE  GUANACASTE</w:t>
            </w:r>
            <w:proofErr w:type="gramEnd"/>
          </w:p>
        </w:tc>
        <w:tc>
          <w:tcPr>
            <w:tcW w:w="1865" w:type="dxa"/>
            <w:shd w:val="clear" w:color="auto" w:fill="auto"/>
            <w:vAlign w:val="center"/>
            <w:hideMark/>
          </w:tcPr>
          <w:p w14:paraId="32EEF7E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PROTECCION CAUTELAR ESCAZU</w:t>
            </w:r>
          </w:p>
        </w:tc>
        <w:tc>
          <w:tcPr>
            <w:tcW w:w="1837" w:type="dxa"/>
            <w:shd w:val="clear" w:color="auto" w:fill="auto"/>
            <w:vAlign w:val="center"/>
            <w:hideMark/>
          </w:tcPr>
          <w:p w14:paraId="14A9E4D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TRABAJO, FAMILIA, PENAL JUV, VIOL DOM Y PROT CAUTELAR SARAPIQUI</w:t>
            </w:r>
          </w:p>
        </w:tc>
        <w:tc>
          <w:tcPr>
            <w:tcW w:w="1620" w:type="dxa"/>
            <w:shd w:val="clear" w:color="auto" w:fill="auto"/>
            <w:vAlign w:val="center"/>
            <w:hideMark/>
          </w:tcPr>
          <w:p w14:paraId="54BDBA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SEGUNDO ESPECIALIZADO DE COBRO I CIRCUITO JUDICIAL DE SAN JOSE</w:t>
            </w:r>
          </w:p>
        </w:tc>
      </w:tr>
      <w:tr w:rsidR="00D106C9" w:rsidRPr="00D106C9" w14:paraId="2A07D38A" w14:textId="77777777" w:rsidTr="006D7BCD">
        <w:trPr>
          <w:trHeight w:val="1480"/>
          <w:jc w:val="center"/>
        </w:trPr>
        <w:tc>
          <w:tcPr>
            <w:tcW w:w="1837" w:type="dxa"/>
            <w:shd w:val="clear" w:color="auto" w:fill="auto"/>
            <w:vAlign w:val="center"/>
            <w:hideMark/>
          </w:tcPr>
          <w:p w14:paraId="7A9D7B5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 CAUTELAR PURISCAL</w:t>
            </w:r>
          </w:p>
        </w:tc>
        <w:tc>
          <w:tcPr>
            <w:tcW w:w="1865" w:type="dxa"/>
            <w:shd w:val="clear" w:color="auto" w:fill="auto"/>
            <w:vAlign w:val="center"/>
            <w:hideMark/>
          </w:tcPr>
          <w:p w14:paraId="0692893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PRIMERO ESPECIALIZADO DE COBRO I CIRCUITO JUDICIAL DE SAN JOSE</w:t>
            </w:r>
          </w:p>
        </w:tc>
        <w:tc>
          <w:tcPr>
            <w:tcW w:w="1837" w:type="dxa"/>
            <w:shd w:val="clear" w:color="auto" w:fill="auto"/>
            <w:vAlign w:val="center"/>
            <w:hideMark/>
          </w:tcPr>
          <w:p w14:paraId="3EA5A73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CONTENCIOSO ADMINISTRATIVO Y CIVIL DE HACIENDA</w:t>
            </w:r>
          </w:p>
        </w:tc>
        <w:tc>
          <w:tcPr>
            <w:tcW w:w="1620" w:type="dxa"/>
            <w:shd w:val="clear" w:color="auto" w:fill="auto"/>
            <w:vAlign w:val="center"/>
            <w:hideMark/>
          </w:tcPr>
          <w:p w14:paraId="740CCC5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TRANSITO I CIRCUITO JUDICIAL ZONA ATLANTICA</w:t>
            </w:r>
          </w:p>
        </w:tc>
      </w:tr>
      <w:tr w:rsidR="00D106C9" w:rsidRPr="00D106C9" w14:paraId="0462D9BE" w14:textId="77777777" w:rsidTr="006D7BCD">
        <w:trPr>
          <w:trHeight w:val="850"/>
          <w:jc w:val="center"/>
        </w:trPr>
        <w:tc>
          <w:tcPr>
            <w:tcW w:w="1837" w:type="dxa"/>
            <w:shd w:val="clear" w:color="auto" w:fill="auto"/>
            <w:vAlign w:val="center"/>
            <w:hideMark/>
          </w:tcPr>
          <w:p w14:paraId="094B15F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POAS</w:t>
            </w:r>
          </w:p>
        </w:tc>
        <w:tc>
          <w:tcPr>
            <w:tcW w:w="1865" w:type="dxa"/>
            <w:shd w:val="clear" w:color="auto" w:fill="auto"/>
            <w:vAlign w:val="center"/>
            <w:hideMark/>
          </w:tcPr>
          <w:p w14:paraId="2095C35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CENTR. RECEP. DE DOCUM. I CIRC. JUD. SAN JOSE</w:t>
            </w:r>
          </w:p>
        </w:tc>
        <w:tc>
          <w:tcPr>
            <w:tcW w:w="1837" w:type="dxa"/>
            <w:shd w:val="clear" w:color="auto" w:fill="auto"/>
            <w:vAlign w:val="center"/>
            <w:hideMark/>
          </w:tcPr>
          <w:p w14:paraId="2C731B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BRIBRI</w:t>
            </w:r>
          </w:p>
        </w:tc>
        <w:tc>
          <w:tcPr>
            <w:tcW w:w="1620" w:type="dxa"/>
            <w:shd w:val="clear" w:color="auto" w:fill="auto"/>
            <w:vAlign w:val="center"/>
            <w:hideMark/>
          </w:tcPr>
          <w:p w14:paraId="57020A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DE ADMINISTRACION II CIR. JUD. SAN JOSE</w:t>
            </w:r>
          </w:p>
        </w:tc>
      </w:tr>
      <w:tr w:rsidR="00D106C9" w:rsidRPr="00D106C9" w14:paraId="43665579" w14:textId="77777777" w:rsidTr="006D7BCD">
        <w:trPr>
          <w:trHeight w:val="1270"/>
          <w:jc w:val="center"/>
        </w:trPr>
        <w:tc>
          <w:tcPr>
            <w:tcW w:w="1837" w:type="dxa"/>
            <w:shd w:val="clear" w:color="auto" w:fill="auto"/>
            <w:vAlign w:val="center"/>
            <w:hideMark/>
          </w:tcPr>
          <w:p w14:paraId="5F4802C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PENSIONES ALIMENTARIAS I CJ GUANACASTE</w:t>
            </w:r>
          </w:p>
        </w:tc>
        <w:tc>
          <w:tcPr>
            <w:tcW w:w="1865" w:type="dxa"/>
            <w:shd w:val="clear" w:color="auto" w:fill="auto"/>
            <w:vAlign w:val="center"/>
            <w:hideMark/>
          </w:tcPr>
          <w:p w14:paraId="689F3A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PENAL III CIRCUITO JUDICIAL DE SAN JOSE, SEDE SUROESTE</w:t>
            </w:r>
          </w:p>
        </w:tc>
        <w:tc>
          <w:tcPr>
            <w:tcW w:w="1837" w:type="dxa"/>
            <w:shd w:val="clear" w:color="auto" w:fill="auto"/>
            <w:vAlign w:val="center"/>
            <w:hideMark/>
          </w:tcPr>
          <w:p w14:paraId="3FA6428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GUATUSO</w:t>
            </w:r>
          </w:p>
        </w:tc>
        <w:tc>
          <w:tcPr>
            <w:tcW w:w="1620" w:type="dxa"/>
            <w:shd w:val="clear" w:color="auto" w:fill="auto"/>
            <w:vAlign w:val="center"/>
            <w:hideMark/>
          </w:tcPr>
          <w:p w14:paraId="685296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TRABAJO SOCIAL Y PSICOLOGIA I CIRCUITO JUDICIAL GUANACASTE</w:t>
            </w:r>
          </w:p>
        </w:tc>
      </w:tr>
      <w:tr w:rsidR="00D106C9" w:rsidRPr="00D106C9" w14:paraId="07468422" w14:textId="77777777" w:rsidTr="006D7BCD">
        <w:trPr>
          <w:trHeight w:val="1480"/>
          <w:jc w:val="center"/>
        </w:trPr>
        <w:tc>
          <w:tcPr>
            <w:tcW w:w="1837" w:type="dxa"/>
            <w:shd w:val="clear" w:color="auto" w:fill="auto"/>
            <w:vAlign w:val="center"/>
            <w:hideMark/>
          </w:tcPr>
          <w:p w14:paraId="47E9C9E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II CIRCUITO JUD. DE SAN JOSE</w:t>
            </w:r>
          </w:p>
        </w:tc>
        <w:tc>
          <w:tcPr>
            <w:tcW w:w="1865" w:type="dxa"/>
            <w:shd w:val="clear" w:color="auto" w:fill="auto"/>
            <w:vAlign w:val="center"/>
            <w:hideMark/>
          </w:tcPr>
          <w:p w14:paraId="6EF3F05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II CIRCUITO JUDICIAL GUANACASTE (SUPERNUMERARIOS)</w:t>
            </w:r>
          </w:p>
        </w:tc>
        <w:tc>
          <w:tcPr>
            <w:tcW w:w="1837" w:type="dxa"/>
            <w:shd w:val="clear" w:color="auto" w:fill="auto"/>
            <w:vAlign w:val="center"/>
            <w:hideMark/>
          </w:tcPr>
          <w:p w14:paraId="1F5948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HATILLO</w:t>
            </w:r>
          </w:p>
        </w:tc>
        <w:tc>
          <w:tcPr>
            <w:tcW w:w="1620" w:type="dxa"/>
            <w:shd w:val="clear" w:color="auto" w:fill="auto"/>
            <w:vAlign w:val="center"/>
            <w:hideMark/>
          </w:tcPr>
          <w:p w14:paraId="3F42F8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TRABAJO SOCIAL Y PSICOLOGIA III CIRCUITO JUDICIAL ALAJUELA (SAN RAMON)</w:t>
            </w:r>
          </w:p>
        </w:tc>
      </w:tr>
      <w:tr w:rsidR="00D106C9" w:rsidRPr="00D106C9" w14:paraId="56E3BCA3" w14:textId="77777777" w:rsidTr="006D7BCD">
        <w:trPr>
          <w:trHeight w:val="1270"/>
          <w:jc w:val="center"/>
        </w:trPr>
        <w:tc>
          <w:tcPr>
            <w:tcW w:w="1837" w:type="dxa"/>
            <w:shd w:val="clear" w:color="auto" w:fill="auto"/>
            <w:vAlign w:val="center"/>
            <w:hideMark/>
          </w:tcPr>
          <w:p w14:paraId="3747BB5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SEGUNDO CIRCUITO JUDICIAL DE SAN JOSE</w:t>
            </w:r>
          </w:p>
        </w:tc>
        <w:tc>
          <w:tcPr>
            <w:tcW w:w="1865" w:type="dxa"/>
            <w:shd w:val="clear" w:color="auto" w:fill="auto"/>
            <w:vAlign w:val="center"/>
            <w:hideMark/>
          </w:tcPr>
          <w:p w14:paraId="55EA81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QUEPOS (SUPERNUMERARIOS)</w:t>
            </w:r>
          </w:p>
        </w:tc>
        <w:tc>
          <w:tcPr>
            <w:tcW w:w="1837" w:type="dxa"/>
            <w:shd w:val="clear" w:color="auto" w:fill="auto"/>
            <w:vAlign w:val="center"/>
            <w:hideMark/>
          </w:tcPr>
          <w:p w14:paraId="2074DCE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TRANSITO II CIRCUITO JUDICIAL GUANACASTE</w:t>
            </w:r>
          </w:p>
        </w:tc>
        <w:tc>
          <w:tcPr>
            <w:tcW w:w="1620" w:type="dxa"/>
            <w:shd w:val="clear" w:color="auto" w:fill="auto"/>
            <w:vAlign w:val="center"/>
            <w:hideMark/>
          </w:tcPr>
          <w:p w14:paraId="3E4ACE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SALA SEGUNDA</w:t>
            </w:r>
          </w:p>
        </w:tc>
      </w:tr>
      <w:tr w:rsidR="00D106C9" w:rsidRPr="00D106C9" w14:paraId="1DEB5C8F" w14:textId="77777777" w:rsidTr="006D7BCD">
        <w:trPr>
          <w:trHeight w:val="1270"/>
          <w:jc w:val="center"/>
        </w:trPr>
        <w:tc>
          <w:tcPr>
            <w:tcW w:w="1837" w:type="dxa"/>
            <w:shd w:val="clear" w:color="auto" w:fill="auto"/>
            <w:vAlign w:val="center"/>
            <w:hideMark/>
          </w:tcPr>
          <w:p w14:paraId="79C88D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OFICINA DE COMUNICACIONES JUDICIALES II CIRCUITO JUDICIAL GUANACASTE</w:t>
            </w:r>
          </w:p>
        </w:tc>
        <w:tc>
          <w:tcPr>
            <w:tcW w:w="1865" w:type="dxa"/>
            <w:shd w:val="clear" w:color="auto" w:fill="auto"/>
            <w:vAlign w:val="center"/>
            <w:hideMark/>
          </w:tcPr>
          <w:p w14:paraId="1DF7FA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TURRIALBA (SUPERNUMERARIOS)</w:t>
            </w:r>
          </w:p>
        </w:tc>
        <w:tc>
          <w:tcPr>
            <w:tcW w:w="1837" w:type="dxa"/>
            <w:shd w:val="clear" w:color="auto" w:fill="auto"/>
            <w:vAlign w:val="center"/>
            <w:hideMark/>
          </w:tcPr>
          <w:p w14:paraId="4D58CE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DE ALAJUELA</w:t>
            </w:r>
          </w:p>
        </w:tc>
        <w:tc>
          <w:tcPr>
            <w:tcW w:w="1620" w:type="dxa"/>
            <w:shd w:val="clear" w:color="auto" w:fill="auto"/>
            <w:vAlign w:val="center"/>
            <w:hideMark/>
          </w:tcPr>
          <w:p w14:paraId="62F64C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SECCION ADMINISTRACION DE PERSONAL</w:t>
            </w:r>
          </w:p>
        </w:tc>
      </w:tr>
      <w:tr w:rsidR="00D106C9" w:rsidRPr="00D106C9" w14:paraId="174A02A2" w14:textId="77777777" w:rsidTr="006D7BCD">
        <w:trPr>
          <w:trHeight w:val="1270"/>
          <w:jc w:val="center"/>
        </w:trPr>
        <w:tc>
          <w:tcPr>
            <w:tcW w:w="1837" w:type="dxa"/>
            <w:shd w:val="clear" w:color="auto" w:fill="auto"/>
            <w:vAlign w:val="center"/>
            <w:hideMark/>
          </w:tcPr>
          <w:p w14:paraId="694AA89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LA ZONA ATLANTICA</w:t>
            </w:r>
          </w:p>
        </w:tc>
        <w:tc>
          <w:tcPr>
            <w:tcW w:w="1865" w:type="dxa"/>
            <w:shd w:val="clear" w:color="auto" w:fill="auto"/>
            <w:vAlign w:val="center"/>
            <w:hideMark/>
          </w:tcPr>
          <w:p w14:paraId="7033D1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BIBLIOTECA JUDICIAL</w:t>
            </w:r>
          </w:p>
        </w:tc>
        <w:tc>
          <w:tcPr>
            <w:tcW w:w="1837" w:type="dxa"/>
            <w:shd w:val="clear" w:color="auto" w:fill="auto"/>
            <w:vAlign w:val="center"/>
            <w:hideMark/>
          </w:tcPr>
          <w:p w14:paraId="0EF236C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II CIRCUITO JUDICIAL GUANACASTE (SANTA CRUZ)</w:t>
            </w:r>
          </w:p>
        </w:tc>
        <w:tc>
          <w:tcPr>
            <w:tcW w:w="1620" w:type="dxa"/>
            <w:shd w:val="clear" w:color="auto" w:fill="auto"/>
            <w:vAlign w:val="center"/>
            <w:hideMark/>
          </w:tcPr>
          <w:p w14:paraId="7D2BE0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SUBDELEGACION REGIONAL CAÑAS</w:t>
            </w:r>
          </w:p>
        </w:tc>
      </w:tr>
      <w:tr w:rsidR="00D106C9" w:rsidRPr="00D106C9" w14:paraId="2BD9BA36" w14:textId="77777777" w:rsidTr="006D7BCD">
        <w:trPr>
          <w:trHeight w:val="1060"/>
          <w:jc w:val="center"/>
        </w:trPr>
        <w:tc>
          <w:tcPr>
            <w:tcW w:w="1837" w:type="dxa"/>
            <w:shd w:val="clear" w:color="auto" w:fill="auto"/>
            <w:vAlign w:val="center"/>
            <w:hideMark/>
          </w:tcPr>
          <w:p w14:paraId="0D53CE1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I CIRCUITO JUDICIAL GUANACASTE</w:t>
            </w:r>
          </w:p>
        </w:tc>
        <w:tc>
          <w:tcPr>
            <w:tcW w:w="1865" w:type="dxa"/>
            <w:shd w:val="clear" w:color="auto" w:fill="auto"/>
            <w:vAlign w:val="center"/>
            <w:hideMark/>
          </w:tcPr>
          <w:p w14:paraId="63169FB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CONCILIACION DEL PODER JUDICIAL</w:t>
            </w:r>
          </w:p>
        </w:tc>
        <w:tc>
          <w:tcPr>
            <w:tcW w:w="1837" w:type="dxa"/>
            <w:shd w:val="clear" w:color="auto" w:fill="auto"/>
            <w:vAlign w:val="center"/>
            <w:hideMark/>
          </w:tcPr>
          <w:p w14:paraId="75F971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DEL II CIRCUITO JUDICIAL DE ALAJUELA</w:t>
            </w:r>
          </w:p>
        </w:tc>
        <w:tc>
          <w:tcPr>
            <w:tcW w:w="1620" w:type="dxa"/>
            <w:shd w:val="clear" w:color="auto" w:fill="auto"/>
            <w:vAlign w:val="center"/>
            <w:hideMark/>
          </w:tcPr>
          <w:p w14:paraId="7D7926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SUBPROCESO DE GESTION ADMINISTRATIVA Y DESARROLLO</w:t>
            </w:r>
          </w:p>
        </w:tc>
      </w:tr>
      <w:tr w:rsidR="00D106C9" w:rsidRPr="00D106C9" w14:paraId="4BA9BC79" w14:textId="77777777" w:rsidTr="006D7BCD">
        <w:trPr>
          <w:trHeight w:val="1270"/>
          <w:jc w:val="center"/>
        </w:trPr>
        <w:tc>
          <w:tcPr>
            <w:tcW w:w="1837" w:type="dxa"/>
            <w:shd w:val="clear" w:color="auto" w:fill="auto"/>
            <w:vAlign w:val="center"/>
            <w:hideMark/>
          </w:tcPr>
          <w:p w14:paraId="5AC97EA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QUEPOS</w:t>
            </w:r>
          </w:p>
        </w:tc>
        <w:tc>
          <w:tcPr>
            <w:tcW w:w="1865" w:type="dxa"/>
            <w:shd w:val="clear" w:color="auto" w:fill="auto"/>
            <w:vAlign w:val="center"/>
            <w:hideMark/>
          </w:tcPr>
          <w:p w14:paraId="7F0CF97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CONCILIACION, SEDE I CIRCUITO JUDICIAL DE ALAJUELA</w:t>
            </w:r>
          </w:p>
        </w:tc>
        <w:tc>
          <w:tcPr>
            <w:tcW w:w="1837" w:type="dxa"/>
            <w:shd w:val="clear" w:color="auto" w:fill="auto"/>
            <w:vAlign w:val="center"/>
            <w:hideMark/>
          </w:tcPr>
          <w:p w14:paraId="2FCAAB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VIOL. DOM. Y PROT. CAUT. III CIRC. JUD. ALAJUELA (SAN RAMON)</w:t>
            </w:r>
          </w:p>
        </w:tc>
        <w:tc>
          <w:tcPr>
            <w:tcW w:w="1620" w:type="dxa"/>
            <w:shd w:val="clear" w:color="auto" w:fill="auto"/>
            <w:vAlign w:val="center"/>
            <w:hideMark/>
          </w:tcPr>
          <w:p w14:paraId="0D2B27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APELACION CIVIL Y TRABAJO ZONA ATLANTICA (SEDE LIMON)</w:t>
            </w:r>
          </w:p>
        </w:tc>
      </w:tr>
      <w:tr w:rsidR="00D106C9" w:rsidRPr="00D106C9" w14:paraId="77799E88" w14:textId="77777777" w:rsidTr="006D7BCD">
        <w:trPr>
          <w:trHeight w:val="1270"/>
          <w:jc w:val="center"/>
        </w:trPr>
        <w:tc>
          <w:tcPr>
            <w:tcW w:w="1837" w:type="dxa"/>
            <w:shd w:val="clear" w:color="auto" w:fill="auto"/>
            <w:vAlign w:val="center"/>
            <w:hideMark/>
          </w:tcPr>
          <w:p w14:paraId="49B044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DE PROBIDAD, TRANSPARENCIA Y ANTICORRUPCION</w:t>
            </w:r>
          </w:p>
        </w:tc>
        <w:tc>
          <w:tcPr>
            <w:tcW w:w="1865" w:type="dxa"/>
            <w:shd w:val="clear" w:color="auto" w:fill="auto"/>
            <w:vAlign w:val="center"/>
            <w:hideMark/>
          </w:tcPr>
          <w:p w14:paraId="0A3534F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DEPARTAMENTO DE PRENSA Y COMUNICACIÓN ORGANIZACIONAL</w:t>
            </w:r>
          </w:p>
        </w:tc>
        <w:tc>
          <w:tcPr>
            <w:tcW w:w="1837" w:type="dxa"/>
            <w:shd w:val="clear" w:color="auto" w:fill="auto"/>
            <w:vAlign w:val="center"/>
            <w:hideMark/>
          </w:tcPr>
          <w:p w14:paraId="363EAD4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ESPECIALIZADO DE COBRO II CIRCUITO JUDICIAL DE SAN JOSE</w:t>
            </w:r>
          </w:p>
        </w:tc>
        <w:tc>
          <w:tcPr>
            <w:tcW w:w="1620" w:type="dxa"/>
            <w:shd w:val="clear" w:color="auto" w:fill="auto"/>
            <w:vAlign w:val="center"/>
            <w:hideMark/>
          </w:tcPr>
          <w:p w14:paraId="1D8AF8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FAMILIA</w:t>
            </w:r>
          </w:p>
        </w:tc>
      </w:tr>
      <w:tr w:rsidR="00D106C9" w:rsidRPr="00D106C9" w14:paraId="7BF8CCDE" w14:textId="77777777" w:rsidTr="006D7BCD">
        <w:trPr>
          <w:trHeight w:val="1480"/>
          <w:jc w:val="center"/>
        </w:trPr>
        <w:tc>
          <w:tcPr>
            <w:tcW w:w="1837" w:type="dxa"/>
            <w:shd w:val="clear" w:color="auto" w:fill="auto"/>
            <w:vAlign w:val="center"/>
            <w:hideMark/>
          </w:tcPr>
          <w:p w14:paraId="0FC3B1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EJECUCION DE LA PENA</w:t>
            </w:r>
          </w:p>
        </w:tc>
        <w:tc>
          <w:tcPr>
            <w:tcW w:w="1865" w:type="dxa"/>
            <w:shd w:val="clear" w:color="auto" w:fill="auto"/>
            <w:vAlign w:val="center"/>
            <w:hideMark/>
          </w:tcPr>
          <w:p w14:paraId="6177C3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DEPARTAMENTO DE SEGURIDAD</w:t>
            </w:r>
          </w:p>
        </w:tc>
        <w:tc>
          <w:tcPr>
            <w:tcW w:w="1837" w:type="dxa"/>
            <w:shd w:val="clear" w:color="auto" w:fill="auto"/>
            <w:vAlign w:val="center"/>
            <w:hideMark/>
          </w:tcPr>
          <w:p w14:paraId="4AA358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FAMILIA, PENAL JUVENIL, VIOLENCIA DOM. Y PROTECCION CAUTELAR TURRIALBA</w:t>
            </w:r>
          </w:p>
        </w:tc>
        <w:tc>
          <w:tcPr>
            <w:tcW w:w="1620" w:type="dxa"/>
            <w:shd w:val="clear" w:color="auto" w:fill="auto"/>
            <w:vAlign w:val="center"/>
            <w:hideMark/>
          </w:tcPr>
          <w:p w14:paraId="7789C9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 CIRCUITO JUDICIAL GUANACASTE, SEDE CAÑAS</w:t>
            </w:r>
          </w:p>
        </w:tc>
      </w:tr>
      <w:tr w:rsidR="00D106C9" w:rsidRPr="00D106C9" w14:paraId="3DF54E73" w14:textId="77777777" w:rsidTr="006D7BCD">
        <w:trPr>
          <w:trHeight w:val="850"/>
          <w:jc w:val="center"/>
        </w:trPr>
        <w:tc>
          <w:tcPr>
            <w:tcW w:w="1837" w:type="dxa"/>
            <w:shd w:val="clear" w:color="auto" w:fill="auto"/>
            <w:vAlign w:val="center"/>
            <w:hideMark/>
          </w:tcPr>
          <w:p w14:paraId="12D85FF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I CIRCUITO JUDICIAL ZONA SUR</w:t>
            </w:r>
          </w:p>
        </w:tc>
        <w:tc>
          <w:tcPr>
            <w:tcW w:w="1865" w:type="dxa"/>
            <w:shd w:val="clear" w:color="auto" w:fill="auto"/>
            <w:noWrap/>
            <w:vAlign w:val="bottom"/>
            <w:hideMark/>
          </w:tcPr>
          <w:p w14:paraId="11E5DE7F" w14:textId="77777777" w:rsidR="00D106C9" w:rsidRPr="00D106C9" w:rsidRDefault="00D106C9" w:rsidP="00D106C9">
            <w:pPr>
              <w:widowControl w:val="0"/>
              <w:suppressAutoHyphens w:val="0"/>
              <w:autoSpaceDE w:val="0"/>
              <w:autoSpaceDN w:val="0"/>
              <w:adjustRightInd w:val="0"/>
              <w:jc w:val="center"/>
              <w:rPr>
                <w:lang w:eastAsia="es-CR"/>
              </w:rPr>
            </w:pPr>
          </w:p>
        </w:tc>
        <w:tc>
          <w:tcPr>
            <w:tcW w:w="1837" w:type="dxa"/>
            <w:shd w:val="clear" w:color="auto" w:fill="auto"/>
            <w:noWrap/>
            <w:vAlign w:val="bottom"/>
            <w:hideMark/>
          </w:tcPr>
          <w:p w14:paraId="3A957339" w14:textId="77777777" w:rsidR="00D106C9" w:rsidRPr="00D106C9" w:rsidRDefault="00D106C9" w:rsidP="00D106C9">
            <w:pPr>
              <w:widowControl w:val="0"/>
              <w:suppressAutoHyphens w:val="0"/>
              <w:autoSpaceDE w:val="0"/>
              <w:autoSpaceDN w:val="0"/>
              <w:adjustRightInd w:val="0"/>
              <w:rPr>
                <w:lang w:eastAsia="es-CR"/>
              </w:rPr>
            </w:pPr>
          </w:p>
        </w:tc>
        <w:tc>
          <w:tcPr>
            <w:tcW w:w="1620" w:type="dxa"/>
            <w:shd w:val="clear" w:color="auto" w:fill="auto"/>
            <w:noWrap/>
            <w:vAlign w:val="bottom"/>
            <w:hideMark/>
          </w:tcPr>
          <w:p w14:paraId="12721752" w14:textId="77777777" w:rsidR="00D106C9" w:rsidRPr="00D106C9" w:rsidRDefault="00D106C9" w:rsidP="00D106C9">
            <w:pPr>
              <w:widowControl w:val="0"/>
              <w:suppressAutoHyphens w:val="0"/>
              <w:autoSpaceDE w:val="0"/>
              <w:autoSpaceDN w:val="0"/>
              <w:adjustRightInd w:val="0"/>
              <w:rPr>
                <w:lang w:eastAsia="es-CR"/>
              </w:rPr>
            </w:pPr>
          </w:p>
        </w:tc>
      </w:tr>
    </w:tbl>
    <w:p w14:paraId="06CF6B52" w14:textId="77777777" w:rsidR="00D106C9" w:rsidRPr="00D106C9" w:rsidRDefault="00D106C9" w:rsidP="00D106C9">
      <w:pPr>
        <w:widowControl w:val="0"/>
        <w:suppressAutoHyphens w:val="0"/>
        <w:autoSpaceDE w:val="0"/>
        <w:autoSpaceDN w:val="0"/>
        <w:adjustRightInd w:val="0"/>
        <w:jc w:val="both"/>
        <w:rPr>
          <w:lang w:eastAsia="es-ES"/>
        </w:rPr>
      </w:pPr>
      <w:r w:rsidRPr="00D106C9">
        <w:rPr>
          <w:b/>
          <w:bCs/>
          <w:lang w:eastAsia="es-ES"/>
        </w:rPr>
        <w:t xml:space="preserve">                     Fuente:</w:t>
      </w:r>
      <w:r w:rsidRPr="00D106C9">
        <w:rPr>
          <w:lang w:eastAsia="es-ES"/>
        </w:rPr>
        <w:t xml:space="preserve"> Sistema PAO 2021, con corte al 19 de enero del 2022.</w:t>
      </w:r>
    </w:p>
    <w:p w14:paraId="5E54DE96" w14:textId="77777777" w:rsidR="00D106C9" w:rsidRPr="00D106C9" w:rsidRDefault="00D106C9" w:rsidP="00D106C9">
      <w:pPr>
        <w:widowControl w:val="0"/>
        <w:suppressAutoHyphens w:val="0"/>
        <w:autoSpaceDE w:val="0"/>
        <w:autoSpaceDN w:val="0"/>
        <w:adjustRightInd w:val="0"/>
        <w:ind w:left="851" w:right="851" w:firstLine="709"/>
        <w:jc w:val="both"/>
        <w:rPr>
          <w:b/>
          <w:lang w:eastAsia="es-ES"/>
        </w:rPr>
      </w:pPr>
      <w:r w:rsidRPr="00D106C9">
        <w:rPr>
          <w:lang w:eastAsia="es-ES"/>
        </w:rPr>
        <w:t xml:space="preserve">Del cuadro anterior, se puede observar como 85 oficinas asignaron metas operativas con estados no avalados por la Dirección de Planificación, por lo </w:t>
      </w:r>
      <w:r w:rsidRPr="00D106C9">
        <w:rPr>
          <w:lang w:eastAsia="es-ES"/>
        </w:rPr>
        <w:lastRenderedPageBreak/>
        <w:t xml:space="preserve">anterior, se </w:t>
      </w:r>
      <w:bookmarkStart w:id="40" w:name="_Hlk98500980"/>
      <w:r w:rsidRPr="00D106C9">
        <w:rPr>
          <w:lang w:eastAsia="es-ES"/>
        </w:rPr>
        <w:t xml:space="preserve">debe actualizar adecuadamente los estados de las metas contenidas en el Sistema PAO, para que, al llevar a cabo la evaluación del PAO al finalizar el año, las metas queden clasificadas </w:t>
      </w:r>
      <w:r w:rsidRPr="00D106C9">
        <w:rPr>
          <w:b/>
          <w:bCs/>
          <w:lang w:eastAsia="es-ES"/>
        </w:rPr>
        <w:t>en los únicos tres estados avalados:</w:t>
      </w:r>
      <w:r w:rsidRPr="00D106C9">
        <w:rPr>
          <w:lang w:eastAsia="es-ES"/>
        </w:rPr>
        <w:t xml:space="preserve"> </w:t>
      </w:r>
      <w:r w:rsidRPr="00D106C9">
        <w:rPr>
          <w:b/>
          <w:lang w:eastAsia="es-ES"/>
        </w:rPr>
        <w:t>completado, pendiente o cancelado.</w:t>
      </w:r>
    </w:p>
    <w:bookmarkEnd w:id="40"/>
    <w:p w14:paraId="78EC0A5D"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p>
    <w:p w14:paraId="125684E1"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p>
    <w:p w14:paraId="1C345F37"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41" w:name="_Toc90563631"/>
      <w:bookmarkStart w:id="42" w:name="_Toc102390785"/>
      <w:r w:rsidRPr="00D106C9">
        <w:rPr>
          <w:lang w:eastAsia="es-ES"/>
        </w:rPr>
        <w:t>Roles y responsabilidades de los entes participantes.</w:t>
      </w:r>
      <w:bookmarkEnd w:id="41"/>
      <w:bookmarkEnd w:id="42"/>
    </w:p>
    <w:p w14:paraId="203592A8"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p>
    <w:p w14:paraId="4247EA0F"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r w:rsidRPr="00D106C9">
        <w:rPr>
          <w:lang w:eastAsia="es-CR"/>
        </w:rPr>
        <w:t xml:space="preserve">El Consejo Superior en </w:t>
      </w:r>
      <w:bookmarkStart w:id="43" w:name="_Hlk98421414"/>
      <w:r w:rsidRPr="00D106C9">
        <w:rPr>
          <w:lang w:eastAsia="es-CR"/>
        </w:rPr>
        <w:t>sesión 03-2022 celebrada el 11 de enero del 2022, artículo XLVIII, en el cual se acordó “Tener por recibido el informe 1311-PLA-EV-2021 de la Dirección de Planificación, relacionado con el seguimiento semestral de las metas del PAO 2021</w:t>
      </w:r>
      <w:bookmarkEnd w:id="43"/>
      <w:r w:rsidRPr="00D106C9">
        <w:rPr>
          <w:lang w:eastAsia="es-CR"/>
        </w:rPr>
        <w:t>” y en donde se recomendó a las Administraciones Regionales, Consejos de Administración y Centros de Responsabilidad lo siguiente:</w:t>
      </w:r>
    </w:p>
    <w:p w14:paraId="5BEB0FAC"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p>
    <w:p w14:paraId="63C52B99" w14:textId="77777777" w:rsidR="00D106C9" w:rsidRPr="00D106C9" w:rsidRDefault="00D106C9" w:rsidP="00D106C9">
      <w:pPr>
        <w:keepNext/>
        <w:keepLines/>
        <w:widowControl w:val="0"/>
        <w:suppressAutoHyphens w:val="0"/>
        <w:autoSpaceDE w:val="0"/>
        <w:autoSpaceDN w:val="0"/>
        <w:adjustRightInd w:val="0"/>
        <w:ind w:left="851" w:right="851" w:firstLine="709"/>
        <w:contextualSpacing/>
        <w:jc w:val="both"/>
        <w:rPr>
          <w:rFonts w:eastAsia="Cambria"/>
          <w:b/>
          <w:bCs/>
          <w:lang w:eastAsia="es-ES"/>
        </w:rPr>
      </w:pPr>
      <w:r w:rsidRPr="00D106C9">
        <w:rPr>
          <w:lang w:eastAsia="es-CR"/>
        </w:rPr>
        <w:t>“…</w:t>
      </w:r>
      <w:r w:rsidRPr="00D106C9">
        <w:rPr>
          <w:rFonts w:eastAsia="Cambria"/>
          <w:b/>
          <w:bCs/>
          <w:lang w:eastAsia="es-ES"/>
        </w:rPr>
        <w:t>A las oficinas y despachos judiciales</w:t>
      </w:r>
    </w:p>
    <w:p w14:paraId="1E267EED"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p>
    <w:p w14:paraId="45E0049E" w14:textId="77777777" w:rsidR="00D106C9" w:rsidRPr="00D106C9" w:rsidRDefault="00D106C9" w:rsidP="003B2E9B">
      <w:pPr>
        <w:widowControl w:val="0"/>
        <w:numPr>
          <w:ilvl w:val="0"/>
          <w:numId w:val="75"/>
        </w:numPr>
        <w:tabs>
          <w:tab w:val="left" w:pos="851"/>
          <w:tab w:val="left" w:pos="993"/>
        </w:tabs>
        <w:suppressAutoHyphens w:val="0"/>
        <w:autoSpaceDE w:val="0"/>
        <w:autoSpaceDN w:val="0"/>
        <w:adjustRightInd w:val="0"/>
        <w:ind w:left="851" w:right="851" w:firstLine="709"/>
        <w:contextualSpacing/>
        <w:jc w:val="both"/>
        <w:rPr>
          <w:rFonts w:eastAsia="Calibri"/>
          <w:b/>
          <w:lang w:eastAsia="es-ES"/>
        </w:rPr>
      </w:pPr>
      <w:r w:rsidRPr="00D106C9">
        <w:rPr>
          <w:rFonts w:eastAsia="Calibri"/>
          <w:lang w:eastAsia="es-ES"/>
        </w:rPr>
        <w:t xml:space="preserve"> Acatar lo indicado en la </w:t>
      </w:r>
      <w:r w:rsidRPr="00D106C9">
        <w:rPr>
          <w:lang w:eastAsia="es-ES"/>
        </w:rPr>
        <w:t xml:space="preserve">circular 141-2020, de la Secretaría General de la Corte, del 03 de julio de 2020, denominada “Obligación de realizar evaluaciones semestrales y anuales de Planes anuales y operativos”, </w:t>
      </w:r>
      <w:r w:rsidRPr="00D106C9">
        <w:rPr>
          <w:rFonts w:eastAsia="Calibri"/>
          <w:lang w:eastAsia="es-ES"/>
        </w:rPr>
        <w:t xml:space="preserve">A raíz de lo anterior, se solicita a todos los despachos y oficinas judiciales del país que formularon sus Planes Anuales Operativos para el 2021 </w:t>
      </w:r>
      <w:r w:rsidRPr="00D106C9">
        <w:rPr>
          <w:rFonts w:eastAsia="Calibri"/>
          <w:b/>
          <w:lang w:eastAsia="es-ES"/>
        </w:rPr>
        <w:t xml:space="preserve">el deber de mantener actualizado el avance logrado en cada una de las metas formuladas. </w:t>
      </w:r>
    </w:p>
    <w:p w14:paraId="3E1DF5EB"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b/>
          <w:lang w:eastAsia="es-ES"/>
        </w:rPr>
      </w:pPr>
    </w:p>
    <w:p w14:paraId="1E700E04" w14:textId="77777777" w:rsidR="00D106C9" w:rsidRPr="00D106C9" w:rsidRDefault="00D106C9" w:rsidP="003B2E9B">
      <w:pPr>
        <w:widowControl w:val="0"/>
        <w:numPr>
          <w:ilvl w:val="0"/>
          <w:numId w:val="75"/>
        </w:numPr>
        <w:tabs>
          <w:tab w:val="left" w:pos="993"/>
        </w:tabs>
        <w:suppressAutoHyphens w:val="0"/>
        <w:autoSpaceDE w:val="0"/>
        <w:autoSpaceDN w:val="0"/>
        <w:adjustRightInd w:val="0"/>
        <w:ind w:left="851" w:right="851" w:firstLine="709"/>
        <w:contextualSpacing/>
        <w:jc w:val="both"/>
        <w:rPr>
          <w:rFonts w:eastAsia="Calibri"/>
          <w:lang w:eastAsia="es-ES"/>
        </w:rPr>
      </w:pPr>
      <w:r w:rsidRPr="00D106C9">
        <w:rPr>
          <w:rFonts w:eastAsia="Calibri"/>
          <w:lang w:eastAsia="es-ES"/>
        </w:rPr>
        <w:t xml:space="preserve"> Registrar avances a las metas de los Planes Anuales Operativos que están vinculados con el Plan Estratégico Institucional de manera periódica, debido a la importancia que revisten esas metas al contribuir de manera directa con el cumplimiento del PEI. </w:t>
      </w:r>
    </w:p>
    <w:p w14:paraId="4BD67A88"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p>
    <w:p w14:paraId="7E278D64" w14:textId="77777777" w:rsidR="00D106C9" w:rsidRPr="00D106C9" w:rsidRDefault="00D106C9" w:rsidP="003B2E9B">
      <w:pPr>
        <w:widowControl w:val="0"/>
        <w:numPr>
          <w:ilvl w:val="0"/>
          <w:numId w:val="75"/>
        </w:numPr>
        <w:tabs>
          <w:tab w:val="left" w:pos="851"/>
        </w:tabs>
        <w:suppressAutoHyphens w:val="0"/>
        <w:autoSpaceDE w:val="0"/>
        <w:autoSpaceDN w:val="0"/>
        <w:adjustRightInd w:val="0"/>
        <w:ind w:left="851" w:right="851" w:firstLine="709"/>
        <w:contextualSpacing/>
        <w:jc w:val="both"/>
        <w:rPr>
          <w:rFonts w:eastAsia="Calibri"/>
          <w:bCs/>
          <w:lang w:eastAsia="es-ES"/>
        </w:rPr>
      </w:pPr>
      <w:r w:rsidRPr="00D106C9">
        <w:rPr>
          <w:rFonts w:eastAsia="Calibri"/>
          <w:bCs/>
          <w:lang w:eastAsia="es-ES"/>
        </w:rPr>
        <w:t xml:space="preserve">Procurar que los objetivos y metas formuladas sean ejecutadas de manera planificada a lo largo de todo el año y evitar formular que el plazo de las metas sea cumplido en su totalidad al finalizar el año.  </w:t>
      </w:r>
    </w:p>
    <w:p w14:paraId="4E683B4D"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p>
    <w:p w14:paraId="0FB7CA20" w14:textId="77777777" w:rsidR="00D106C9" w:rsidRPr="00D106C9" w:rsidRDefault="00D106C9" w:rsidP="003B2E9B">
      <w:pPr>
        <w:widowControl w:val="0"/>
        <w:numPr>
          <w:ilvl w:val="0"/>
          <w:numId w:val="75"/>
        </w:numPr>
        <w:tabs>
          <w:tab w:val="left" w:pos="851"/>
        </w:tabs>
        <w:suppressAutoHyphens w:val="0"/>
        <w:autoSpaceDE w:val="0"/>
        <w:autoSpaceDN w:val="0"/>
        <w:adjustRightInd w:val="0"/>
        <w:ind w:left="851" w:right="851" w:firstLine="709"/>
        <w:contextualSpacing/>
        <w:jc w:val="both"/>
        <w:rPr>
          <w:rFonts w:eastAsia="Calibri"/>
          <w:bCs/>
          <w:lang w:eastAsia="es-ES"/>
        </w:rPr>
      </w:pPr>
      <w:r w:rsidRPr="00D106C9">
        <w:rPr>
          <w:rFonts w:eastAsia="Calibri"/>
          <w:bCs/>
          <w:lang w:eastAsia="es-ES"/>
        </w:rPr>
        <w:t xml:space="preserve"> Actualizar adecuadamente los estados de las metas contenidas en el Sistema PAO, para que, al llevar a cabo la evaluación del PAO al finalizar el año, las metas queden clasificadas en los únicos tres estados avalados: </w:t>
      </w:r>
      <w:r w:rsidRPr="00D106C9">
        <w:rPr>
          <w:rFonts w:eastAsia="Calibri"/>
          <w:b/>
          <w:i/>
          <w:iCs/>
          <w:lang w:eastAsia="es-ES"/>
        </w:rPr>
        <w:t>completado, pendiente o cancelado</w:t>
      </w:r>
      <w:r w:rsidRPr="00D106C9">
        <w:rPr>
          <w:rFonts w:eastAsia="Calibri"/>
          <w:bCs/>
          <w:lang w:eastAsia="es-ES"/>
        </w:rPr>
        <w:t xml:space="preserve"> (este último debe contar un visto bueno por parte de la Dirección de Planificación). </w:t>
      </w:r>
    </w:p>
    <w:p w14:paraId="18D1D63D"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p>
    <w:p w14:paraId="4514A6DF" w14:textId="77777777" w:rsidR="00D106C9" w:rsidRPr="00D106C9" w:rsidRDefault="00D106C9" w:rsidP="003B2E9B">
      <w:pPr>
        <w:widowControl w:val="0"/>
        <w:numPr>
          <w:ilvl w:val="0"/>
          <w:numId w:val="75"/>
        </w:numPr>
        <w:tabs>
          <w:tab w:val="left" w:pos="851"/>
        </w:tabs>
        <w:suppressAutoHyphens w:val="0"/>
        <w:autoSpaceDE w:val="0"/>
        <w:autoSpaceDN w:val="0"/>
        <w:adjustRightInd w:val="0"/>
        <w:ind w:left="851" w:right="851" w:firstLine="709"/>
        <w:contextualSpacing/>
        <w:jc w:val="both"/>
        <w:rPr>
          <w:rFonts w:eastAsia="Calibri"/>
          <w:bCs/>
          <w:lang w:eastAsia="es-ES"/>
        </w:rPr>
      </w:pPr>
      <w:r w:rsidRPr="00D106C9">
        <w:rPr>
          <w:rFonts w:eastAsia="Calibri"/>
          <w:bCs/>
          <w:lang w:eastAsia="es-ES"/>
        </w:rPr>
        <w:t xml:space="preserve"> Se reitera que la persona que funge como jefatura de la oficina será la responsable de garantizar el cumplimiento del Plan Anual Operativo, para esto </w:t>
      </w:r>
      <w:r w:rsidRPr="00D106C9">
        <w:rPr>
          <w:rFonts w:eastAsia="Calibri"/>
          <w:bCs/>
          <w:lang w:eastAsia="es-ES"/>
        </w:rPr>
        <w:lastRenderedPageBreak/>
        <w:t xml:space="preserve">debe procurar la participación activa del personal a cargo; lo cual contribuirá al logro de los objetivos propuestos en el PAO del 2021.  </w:t>
      </w:r>
    </w:p>
    <w:p w14:paraId="44528224" w14:textId="77777777" w:rsidR="00D106C9" w:rsidRPr="00D106C9" w:rsidRDefault="00D106C9" w:rsidP="00D106C9">
      <w:pPr>
        <w:widowControl w:val="0"/>
        <w:suppressAutoHyphens w:val="0"/>
        <w:autoSpaceDE w:val="0"/>
        <w:autoSpaceDN w:val="0"/>
        <w:adjustRightInd w:val="0"/>
        <w:ind w:left="851" w:right="851" w:firstLine="709"/>
        <w:contextualSpacing/>
        <w:jc w:val="both"/>
        <w:rPr>
          <w:rFonts w:eastAsia="Calibri"/>
          <w:bCs/>
          <w:lang w:eastAsia="es-ES"/>
        </w:rPr>
      </w:pPr>
    </w:p>
    <w:p w14:paraId="2C5783B5" w14:textId="77777777" w:rsidR="00D106C9" w:rsidRPr="00D106C9" w:rsidRDefault="00D106C9" w:rsidP="003B2E9B">
      <w:pPr>
        <w:widowControl w:val="0"/>
        <w:numPr>
          <w:ilvl w:val="0"/>
          <w:numId w:val="75"/>
        </w:numPr>
        <w:tabs>
          <w:tab w:val="left" w:pos="851"/>
        </w:tabs>
        <w:suppressAutoHyphens w:val="0"/>
        <w:autoSpaceDE w:val="0"/>
        <w:autoSpaceDN w:val="0"/>
        <w:adjustRightInd w:val="0"/>
        <w:ind w:left="851" w:right="851" w:firstLine="709"/>
        <w:contextualSpacing/>
        <w:jc w:val="both"/>
        <w:rPr>
          <w:rFonts w:eastAsia="Calibri"/>
          <w:bCs/>
          <w:lang w:eastAsia="es-ES"/>
        </w:rPr>
      </w:pPr>
      <w:r w:rsidRPr="00D106C9">
        <w:rPr>
          <w:rFonts w:eastAsia="Calibri"/>
          <w:bCs/>
          <w:lang w:eastAsia="es-ES"/>
        </w:rPr>
        <w:t xml:space="preserve"> Se recomienda a las oficinas y despachos judiciales describir el cumplimiento y adjuntar una evidencia conforme a la meta, al objetivo, al eje transversal, esto con el fin de garantizar un cumplimiento efectivo en las metas operativas.</w:t>
      </w:r>
    </w:p>
    <w:p w14:paraId="34648E6C" w14:textId="77777777" w:rsidR="00D106C9" w:rsidRPr="00D106C9" w:rsidRDefault="00D106C9" w:rsidP="00D106C9">
      <w:pPr>
        <w:widowControl w:val="0"/>
        <w:suppressAutoHyphens w:val="0"/>
        <w:autoSpaceDE w:val="0"/>
        <w:autoSpaceDN w:val="0"/>
        <w:adjustRightInd w:val="0"/>
        <w:ind w:left="851" w:right="851" w:firstLine="709"/>
        <w:contextualSpacing/>
        <w:jc w:val="both"/>
        <w:rPr>
          <w:rFonts w:eastAsia="Calibri"/>
          <w:bCs/>
          <w:lang w:eastAsia="es-ES"/>
        </w:rPr>
      </w:pPr>
    </w:p>
    <w:p w14:paraId="10B88CA5" w14:textId="77777777" w:rsidR="00D106C9" w:rsidRPr="00D106C9" w:rsidRDefault="00D106C9" w:rsidP="00D106C9">
      <w:pPr>
        <w:keepNext/>
        <w:keepLines/>
        <w:widowControl w:val="0"/>
        <w:suppressAutoHyphens w:val="0"/>
        <w:autoSpaceDE w:val="0"/>
        <w:autoSpaceDN w:val="0"/>
        <w:adjustRightInd w:val="0"/>
        <w:ind w:left="851" w:right="851" w:firstLine="709"/>
        <w:contextualSpacing/>
        <w:jc w:val="both"/>
        <w:rPr>
          <w:rFonts w:eastAsia="Cambria"/>
          <w:b/>
          <w:bCs/>
          <w:lang w:eastAsia="es-ES"/>
        </w:rPr>
      </w:pPr>
      <w:r w:rsidRPr="00D106C9">
        <w:rPr>
          <w:rFonts w:eastAsia="Cambria"/>
          <w:b/>
          <w:bCs/>
          <w:lang w:eastAsia="es-ES"/>
        </w:rPr>
        <w:t>A las Administraciones Regionales, Consejos de Administración y Centros de Responsabilidad</w:t>
      </w:r>
    </w:p>
    <w:p w14:paraId="12F84D64" w14:textId="77777777" w:rsidR="00D106C9" w:rsidRPr="00D106C9" w:rsidRDefault="00D106C9" w:rsidP="00D106C9">
      <w:pPr>
        <w:widowControl w:val="0"/>
        <w:suppressAutoHyphens w:val="0"/>
        <w:autoSpaceDE w:val="0"/>
        <w:autoSpaceDN w:val="0"/>
        <w:adjustRightInd w:val="0"/>
        <w:ind w:left="851" w:right="851" w:firstLine="709"/>
        <w:jc w:val="both"/>
        <w:rPr>
          <w:bCs/>
          <w:lang w:eastAsia="es-ES"/>
        </w:rPr>
      </w:pPr>
    </w:p>
    <w:p w14:paraId="5ABDB8B0"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bCs/>
          <w:i/>
          <w:iCs/>
          <w:lang w:eastAsia="es-ES"/>
        </w:rPr>
      </w:pPr>
      <w:r w:rsidRPr="00D106C9">
        <w:rPr>
          <w:rFonts w:eastAsia="Calibri"/>
          <w:bCs/>
          <w:i/>
          <w:iCs/>
          <w:lang w:eastAsia="es-ES"/>
        </w:rPr>
        <w:t>9.1.1. Se recomienda a las Administraciones Regionales y Consejos de Administración y Centros de Responsabilidad:</w:t>
      </w:r>
    </w:p>
    <w:p w14:paraId="3B631D17" w14:textId="77777777" w:rsidR="00D106C9" w:rsidRPr="00D106C9" w:rsidRDefault="00D106C9" w:rsidP="00D106C9">
      <w:pPr>
        <w:widowControl w:val="0"/>
        <w:tabs>
          <w:tab w:val="left" w:pos="993"/>
        </w:tabs>
        <w:suppressAutoHyphens w:val="0"/>
        <w:autoSpaceDE w:val="0"/>
        <w:autoSpaceDN w:val="0"/>
        <w:adjustRightInd w:val="0"/>
        <w:ind w:left="851" w:right="851" w:firstLine="709"/>
        <w:contextualSpacing/>
        <w:jc w:val="both"/>
        <w:rPr>
          <w:rFonts w:eastAsia="Calibri"/>
          <w:bCs/>
          <w:lang w:eastAsia="es-ES"/>
        </w:rPr>
      </w:pPr>
    </w:p>
    <w:p w14:paraId="645FDD6F" w14:textId="77777777" w:rsidR="00D106C9" w:rsidRPr="00D106C9" w:rsidRDefault="00D106C9" w:rsidP="003B2E9B">
      <w:pPr>
        <w:widowControl w:val="0"/>
        <w:numPr>
          <w:ilvl w:val="1"/>
          <w:numId w:val="76"/>
        </w:numPr>
        <w:tabs>
          <w:tab w:val="left" w:pos="229"/>
        </w:tabs>
        <w:suppressAutoHyphens w:val="0"/>
        <w:autoSpaceDE w:val="0"/>
        <w:autoSpaceDN w:val="0"/>
        <w:adjustRightInd w:val="0"/>
        <w:ind w:left="851" w:right="851" w:firstLine="709"/>
        <w:contextualSpacing/>
        <w:jc w:val="both"/>
        <w:rPr>
          <w:rFonts w:eastAsia="Calibri"/>
          <w:i/>
          <w:iCs/>
          <w:lang w:eastAsia="es-ES"/>
        </w:rPr>
      </w:pPr>
      <w:r w:rsidRPr="00D106C9">
        <w:rPr>
          <w:rFonts w:eastAsia="Calibri"/>
          <w:bCs/>
          <w:i/>
          <w:iCs/>
          <w:lang w:eastAsia="es-ES"/>
        </w:rPr>
        <w:t xml:space="preserve">La utilización de </w:t>
      </w:r>
      <w:r w:rsidRPr="00D106C9">
        <w:rPr>
          <w:rFonts w:eastAsia="Calibri"/>
          <w:i/>
          <w:iCs/>
          <w:lang w:eastAsia="es-ES"/>
        </w:rPr>
        <w:t xml:space="preserve">datos históricos de variables que produce la oficina como patrón de comportamiento, para que la formulación de las metas sea acorde a la realidad y se pueda alcanzar efectivamente. </w:t>
      </w:r>
    </w:p>
    <w:p w14:paraId="4CBEE29C" w14:textId="77777777" w:rsidR="00D106C9" w:rsidRPr="00D106C9" w:rsidRDefault="00D106C9" w:rsidP="00D106C9">
      <w:pPr>
        <w:widowControl w:val="0"/>
        <w:tabs>
          <w:tab w:val="left" w:pos="229"/>
        </w:tabs>
        <w:suppressAutoHyphens w:val="0"/>
        <w:autoSpaceDE w:val="0"/>
        <w:autoSpaceDN w:val="0"/>
        <w:adjustRightInd w:val="0"/>
        <w:ind w:left="851" w:right="851" w:firstLine="709"/>
        <w:contextualSpacing/>
        <w:jc w:val="both"/>
        <w:rPr>
          <w:rFonts w:eastAsia="Calibri"/>
          <w:i/>
          <w:iCs/>
          <w:lang w:eastAsia="es-ES"/>
        </w:rPr>
      </w:pPr>
    </w:p>
    <w:p w14:paraId="52085B1B" w14:textId="77777777" w:rsidR="00D106C9" w:rsidRPr="00D106C9" w:rsidRDefault="00D106C9" w:rsidP="003B2E9B">
      <w:pPr>
        <w:widowControl w:val="0"/>
        <w:numPr>
          <w:ilvl w:val="1"/>
          <w:numId w:val="76"/>
        </w:numPr>
        <w:tabs>
          <w:tab w:val="left" w:pos="229"/>
        </w:tabs>
        <w:suppressAutoHyphens w:val="0"/>
        <w:autoSpaceDE w:val="0"/>
        <w:autoSpaceDN w:val="0"/>
        <w:adjustRightInd w:val="0"/>
        <w:ind w:left="851" w:right="851" w:firstLine="709"/>
        <w:contextualSpacing/>
        <w:jc w:val="both"/>
        <w:rPr>
          <w:rFonts w:eastAsia="Calibri"/>
          <w:bCs/>
          <w:i/>
          <w:iCs/>
          <w:lang w:eastAsia="es-ES"/>
        </w:rPr>
      </w:pPr>
      <w:r w:rsidRPr="00D106C9">
        <w:rPr>
          <w:rFonts w:eastAsia="Calibri"/>
          <w:i/>
          <w:iCs/>
          <w:lang w:eastAsia="es-ES"/>
        </w:rPr>
        <w:t xml:space="preserve">La importancia de tomar en cuenta la capacidad instalada de la oficina, así como los riesgos asociados a cada objetivo, para valorar la posibilidad de cumplimiento de las metas que se proponen.  </w:t>
      </w:r>
    </w:p>
    <w:p w14:paraId="259BEBE2" w14:textId="77777777" w:rsidR="00D106C9" w:rsidRPr="00D106C9" w:rsidRDefault="00D106C9" w:rsidP="00D106C9">
      <w:pPr>
        <w:widowControl w:val="0"/>
        <w:tabs>
          <w:tab w:val="left" w:pos="229"/>
        </w:tabs>
        <w:suppressAutoHyphens w:val="0"/>
        <w:autoSpaceDE w:val="0"/>
        <w:autoSpaceDN w:val="0"/>
        <w:adjustRightInd w:val="0"/>
        <w:ind w:left="851" w:right="851" w:firstLine="709"/>
        <w:contextualSpacing/>
        <w:jc w:val="both"/>
        <w:rPr>
          <w:rFonts w:eastAsia="Calibri"/>
          <w:bCs/>
          <w:i/>
          <w:iCs/>
          <w:lang w:eastAsia="es-ES"/>
        </w:rPr>
      </w:pPr>
    </w:p>
    <w:p w14:paraId="69B5051B" w14:textId="77777777" w:rsidR="00D106C9" w:rsidRPr="00D106C9" w:rsidRDefault="00D106C9" w:rsidP="003B2E9B">
      <w:pPr>
        <w:widowControl w:val="0"/>
        <w:numPr>
          <w:ilvl w:val="1"/>
          <w:numId w:val="76"/>
        </w:numPr>
        <w:tabs>
          <w:tab w:val="left" w:pos="229"/>
        </w:tabs>
        <w:suppressAutoHyphens w:val="0"/>
        <w:autoSpaceDE w:val="0"/>
        <w:autoSpaceDN w:val="0"/>
        <w:adjustRightInd w:val="0"/>
        <w:ind w:left="851" w:right="851" w:firstLine="709"/>
        <w:contextualSpacing/>
        <w:jc w:val="both"/>
        <w:rPr>
          <w:rFonts w:eastAsia="Calibri"/>
          <w:i/>
          <w:iCs/>
          <w:lang w:eastAsia="es-ES"/>
        </w:rPr>
      </w:pPr>
      <w:r w:rsidRPr="00D106C9">
        <w:rPr>
          <w:rFonts w:eastAsia="Calibri"/>
          <w:i/>
          <w:iCs/>
          <w:lang w:eastAsia="es-ES"/>
        </w:rPr>
        <w:t>El seguimiento efectivo de la ejecución de las actividades programadas en la forma y plazo establecido, garantizando el avance de las metas al finalizar el segundo semestre del 2020.</w:t>
      </w:r>
    </w:p>
    <w:p w14:paraId="6091CC00" w14:textId="77777777" w:rsidR="00D106C9" w:rsidRPr="00D106C9" w:rsidRDefault="00D106C9" w:rsidP="00D106C9">
      <w:pPr>
        <w:widowControl w:val="0"/>
        <w:tabs>
          <w:tab w:val="left" w:pos="229"/>
        </w:tabs>
        <w:suppressAutoHyphens w:val="0"/>
        <w:autoSpaceDE w:val="0"/>
        <w:autoSpaceDN w:val="0"/>
        <w:adjustRightInd w:val="0"/>
        <w:ind w:left="851" w:right="851" w:firstLine="709"/>
        <w:contextualSpacing/>
        <w:jc w:val="both"/>
        <w:rPr>
          <w:rFonts w:eastAsia="Calibri"/>
          <w:i/>
          <w:iCs/>
          <w:lang w:eastAsia="es-ES"/>
        </w:rPr>
      </w:pPr>
    </w:p>
    <w:p w14:paraId="544C0B1E" w14:textId="77777777" w:rsidR="00D106C9" w:rsidRPr="00D106C9" w:rsidRDefault="00D106C9" w:rsidP="003B2E9B">
      <w:pPr>
        <w:widowControl w:val="0"/>
        <w:numPr>
          <w:ilvl w:val="1"/>
          <w:numId w:val="76"/>
        </w:numPr>
        <w:tabs>
          <w:tab w:val="left" w:pos="229"/>
        </w:tabs>
        <w:suppressAutoHyphens w:val="0"/>
        <w:autoSpaceDE w:val="0"/>
        <w:autoSpaceDN w:val="0"/>
        <w:adjustRightInd w:val="0"/>
        <w:ind w:left="851" w:right="851" w:firstLine="709"/>
        <w:contextualSpacing/>
        <w:jc w:val="both"/>
        <w:rPr>
          <w:rFonts w:eastAsia="Calibri"/>
          <w:i/>
          <w:iCs/>
          <w:lang w:eastAsia="es-ES"/>
        </w:rPr>
      </w:pPr>
      <w:r w:rsidRPr="00D106C9">
        <w:rPr>
          <w:rFonts w:eastAsia="Calibri"/>
          <w:i/>
          <w:iCs/>
          <w:lang w:eastAsia="es-ES"/>
        </w:rPr>
        <w:t>La importancia de realizar de manera anticipada la coordinación con instancias relacionadas a la ejecución de las metas propuestas, que asegure el cumplimiento de los planes de trabajo.</w:t>
      </w:r>
    </w:p>
    <w:p w14:paraId="0453660D" w14:textId="77777777" w:rsidR="00D106C9" w:rsidRPr="00D106C9" w:rsidRDefault="00D106C9" w:rsidP="00D106C9">
      <w:pPr>
        <w:widowControl w:val="0"/>
        <w:tabs>
          <w:tab w:val="left" w:pos="229"/>
        </w:tabs>
        <w:suppressAutoHyphens w:val="0"/>
        <w:autoSpaceDE w:val="0"/>
        <w:autoSpaceDN w:val="0"/>
        <w:adjustRightInd w:val="0"/>
        <w:ind w:left="851" w:right="851" w:firstLine="709"/>
        <w:contextualSpacing/>
        <w:jc w:val="both"/>
        <w:rPr>
          <w:rFonts w:eastAsia="Calibri"/>
          <w:i/>
          <w:iCs/>
          <w:lang w:eastAsia="es-ES"/>
        </w:rPr>
      </w:pPr>
    </w:p>
    <w:p w14:paraId="0E7EC6A2" w14:textId="77777777" w:rsidR="00D106C9" w:rsidRPr="00D106C9" w:rsidRDefault="00D106C9" w:rsidP="003B2E9B">
      <w:pPr>
        <w:widowControl w:val="0"/>
        <w:numPr>
          <w:ilvl w:val="1"/>
          <w:numId w:val="76"/>
        </w:numPr>
        <w:tabs>
          <w:tab w:val="left" w:pos="229"/>
        </w:tabs>
        <w:suppressAutoHyphens w:val="0"/>
        <w:autoSpaceDE w:val="0"/>
        <w:autoSpaceDN w:val="0"/>
        <w:adjustRightInd w:val="0"/>
        <w:ind w:left="851" w:right="851" w:firstLine="709"/>
        <w:contextualSpacing/>
        <w:jc w:val="both"/>
        <w:rPr>
          <w:rFonts w:eastAsia="Calibri"/>
          <w:i/>
          <w:iCs/>
          <w:lang w:eastAsia="es-ES"/>
        </w:rPr>
      </w:pPr>
      <w:r w:rsidRPr="00D106C9">
        <w:rPr>
          <w:rFonts w:eastAsia="Calibri"/>
          <w:i/>
          <w:iCs/>
          <w:lang w:eastAsia="es-ES"/>
        </w:rPr>
        <w:t>En el caso de los Centros de Responsabilidad, se requiere que brinden un apoyo y acompañamiento a las oficinas que los integran. El seguimiento efectivo de la ejecución de las actividades programadas en la forma y plazo establecido, garantizando el avance de las metas y la efectiva distribución a lo largo del año. Esta actividad será complementada por medio de notificaciones automáticas que generará el Sistema PAO en el caso de las oficinas y despachos que tengan metas pendientes de actualizar. Las notificaciones provenientes del Sistema PAO le llegarán tanto a las personas encargadas de los Centros de Responsabilidad, como a las oficinas, despachos y coordinadores de Comisiones Institucionales respectivas.</w:t>
      </w:r>
    </w:p>
    <w:p w14:paraId="3096FA63" w14:textId="77777777" w:rsidR="00D106C9" w:rsidRPr="00D106C9" w:rsidRDefault="00D106C9" w:rsidP="003B2E9B">
      <w:pPr>
        <w:widowControl w:val="0"/>
        <w:numPr>
          <w:ilvl w:val="1"/>
          <w:numId w:val="76"/>
        </w:numPr>
        <w:tabs>
          <w:tab w:val="left" w:pos="229"/>
        </w:tabs>
        <w:suppressAutoHyphens w:val="0"/>
        <w:autoSpaceDE w:val="0"/>
        <w:autoSpaceDN w:val="0"/>
        <w:adjustRightInd w:val="0"/>
        <w:ind w:left="851" w:right="851" w:firstLine="709"/>
        <w:contextualSpacing/>
        <w:jc w:val="both"/>
        <w:rPr>
          <w:rFonts w:eastAsia="Calibri"/>
          <w:i/>
          <w:iCs/>
          <w:lang w:eastAsia="es-ES"/>
        </w:rPr>
      </w:pPr>
      <w:r w:rsidRPr="00D106C9">
        <w:rPr>
          <w:rFonts w:eastAsia="Calibri"/>
          <w:i/>
          <w:iCs/>
          <w:lang w:eastAsia="es-ES"/>
        </w:rPr>
        <w:t xml:space="preserve">A raíz de la necesidad de realizar mejores y más constantes </w:t>
      </w:r>
      <w:r w:rsidRPr="00D106C9">
        <w:rPr>
          <w:rFonts w:eastAsia="Calibri"/>
          <w:i/>
          <w:iCs/>
          <w:lang w:eastAsia="es-ES"/>
        </w:rPr>
        <w:lastRenderedPageBreak/>
        <w:t xml:space="preserve">seguimientos por parte de los Centros de Responsabilidad, se desarrolló una mejora en el Sistema PAO para que los encargados de Centros de Responsabilidad pueden revisar los documentos y la evidencias que las oficinas suben como justificación del avance de las metas PAO. Esos perfiles pueden ver los documentos solo de las que las oficinas pertenecientes a su propio Centro de Responsabilidad. Este seguimiento debería estar documentado en las reuniones de los Consejos de Administración para que se visualice su seguimiento y dejarlo consignado en las minutas de las sesiones de estos Consejos. </w:t>
      </w:r>
    </w:p>
    <w:p w14:paraId="2B107106" w14:textId="77777777" w:rsidR="00D106C9" w:rsidRPr="00D106C9" w:rsidRDefault="00D106C9" w:rsidP="00D106C9">
      <w:pPr>
        <w:widowControl w:val="0"/>
        <w:tabs>
          <w:tab w:val="left" w:pos="229"/>
        </w:tabs>
        <w:suppressAutoHyphens w:val="0"/>
        <w:autoSpaceDE w:val="0"/>
        <w:autoSpaceDN w:val="0"/>
        <w:adjustRightInd w:val="0"/>
        <w:ind w:left="851" w:right="851" w:firstLine="709"/>
        <w:contextualSpacing/>
        <w:jc w:val="both"/>
        <w:rPr>
          <w:rFonts w:eastAsia="Calibri"/>
          <w:i/>
          <w:iCs/>
          <w:lang w:eastAsia="es-ES"/>
        </w:rPr>
      </w:pPr>
    </w:p>
    <w:p w14:paraId="30CCAA7A" w14:textId="77777777" w:rsidR="00D106C9" w:rsidRPr="00D106C9" w:rsidRDefault="00D106C9" w:rsidP="003B2E9B">
      <w:pPr>
        <w:widowControl w:val="0"/>
        <w:numPr>
          <w:ilvl w:val="1"/>
          <w:numId w:val="76"/>
        </w:numPr>
        <w:tabs>
          <w:tab w:val="left" w:pos="229"/>
        </w:tabs>
        <w:suppressAutoHyphens w:val="0"/>
        <w:autoSpaceDE w:val="0"/>
        <w:autoSpaceDN w:val="0"/>
        <w:adjustRightInd w:val="0"/>
        <w:ind w:left="851" w:right="851" w:firstLine="709"/>
        <w:contextualSpacing/>
        <w:jc w:val="both"/>
        <w:rPr>
          <w:rFonts w:eastAsia="Calibri"/>
          <w:i/>
          <w:iCs/>
          <w:lang w:eastAsia="es-ES"/>
        </w:rPr>
      </w:pPr>
      <w:r w:rsidRPr="00D106C9">
        <w:rPr>
          <w:rFonts w:eastAsia="Calibri"/>
          <w:i/>
          <w:iCs/>
          <w:lang w:eastAsia="es-ES"/>
        </w:rPr>
        <w:t>Todos los Centros de Responsabilidad a nivel nacional deberán replicar la capacitación que imparte la Dirección de Planificación al personal de las oficinas administrativas y jurisdiccionales; así como, atender las distintas consultas relacionadas con la formulación y seguimiento del PAO, en caso de requerir estos Centros la capacitación por parte de la Dirección de Planificación, solicitarla para realizar la respectiva programación. (…)”</w:t>
      </w:r>
    </w:p>
    <w:p w14:paraId="36B4E61C"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i/>
          <w:iCs/>
          <w:lang w:eastAsia="es-ES"/>
        </w:rPr>
      </w:pPr>
    </w:p>
    <w:p w14:paraId="54EC8734"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p>
    <w:p w14:paraId="110BB73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Finalmente, es importante destacar que la Dirección de Planificación lidera este proceso evaluativo ya que responde a la estrategia; así como, el Consejo Superior quien al final de cada periodo aprueban la evaluación.</w:t>
      </w:r>
    </w:p>
    <w:p w14:paraId="0980DDAD" w14:textId="77777777" w:rsidR="00D106C9" w:rsidRPr="00D106C9" w:rsidRDefault="00D106C9" w:rsidP="00D106C9">
      <w:pPr>
        <w:widowControl w:val="0"/>
        <w:suppressAutoHyphens w:val="0"/>
        <w:autoSpaceDE w:val="0"/>
        <w:autoSpaceDN w:val="0"/>
        <w:adjustRightInd w:val="0"/>
        <w:ind w:left="851" w:right="851" w:firstLine="709"/>
        <w:jc w:val="both"/>
        <w:rPr>
          <w:rFonts w:eastAsia="Calibri"/>
          <w:lang w:eastAsia="es-ES"/>
        </w:rPr>
      </w:pPr>
    </w:p>
    <w:p w14:paraId="2FC4F2C4"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44" w:name="_Toc90563632"/>
      <w:bookmarkStart w:id="45" w:name="_Toc102390786"/>
      <w:r w:rsidRPr="00D106C9">
        <w:rPr>
          <w:lang w:eastAsia="es-ES"/>
        </w:rPr>
        <w:t>Hallazgos de</w:t>
      </w:r>
      <w:bookmarkEnd w:id="44"/>
      <w:r w:rsidRPr="00D106C9">
        <w:rPr>
          <w:lang w:eastAsia="es-ES"/>
        </w:rPr>
        <w:t xml:space="preserve"> la evaluación al Plan Anual Operativo 2021,</w:t>
      </w:r>
      <w:bookmarkEnd w:id="45"/>
    </w:p>
    <w:p w14:paraId="31A21688" w14:textId="77777777" w:rsidR="00D106C9" w:rsidRPr="00D106C9" w:rsidRDefault="00D106C9" w:rsidP="00D106C9">
      <w:pPr>
        <w:widowControl w:val="0"/>
        <w:suppressAutoHyphens w:val="0"/>
        <w:autoSpaceDE w:val="0"/>
        <w:autoSpaceDN w:val="0"/>
        <w:adjustRightInd w:val="0"/>
        <w:ind w:left="851" w:right="851" w:firstLine="709"/>
        <w:rPr>
          <w:lang w:eastAsia="es-CR"/>
        </w:rPr>
      </w:pPr>
      <w:r w:rsidRPr="00D106C9">
        <w:rPr>
          <w:lang w:eastAsia="es-CR"/>
        </w:rPr>
        <w:t>A continuación, se presenta una descripción de los hallazgos de la evaluación al Plan Anual Operativo 2021:</w:t>
      </w:r>
    </w:p>
    <w:p w14:paraId="32472444" w14:textId="77777777" w:rsidR="00D106C9" w:rsidRPr="00D106C9" w:rsidRDefault="00D106C9" w:rsidP="00D106C9">
      <w:pPr>
        <w:tabs>
          <w:tab w:val="left" w:pos="993"/>
        </w:tabs>
        <w:suppressAutoHyphens w:val="0"/>
        <w:ind w:left="851" w:right="851" w:firstLine="709"/>
        <w:jc w:val="both"/>
        <w:rPr>
          <w:lang w:eastAsia="es-CR"/>
        </w:rPr>
      </w:pPr>
    </w:p>
    <w:p w14:paraId="6E471BC4"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rFonts w:eastAsia="Calibri"/>
          <w:lang w:eastAsia="es-ES"/>
        </w:rPr>
        <w:t xml:space="preserve">De acuerdo con el análisis realizado se determinó que se tiene un avance de cumplimiento de las metas operativas para la evaluación del PAO 2021 de un 96,40% contra un 3,60% </w:t>
      </w:r>
      <w:r w:rsidRPr="00D106C9">
        <w:rPr>
          <w:lang w:eastAsia="es-ES"/>
        </w:rPr>
        <w:t xml:space="preserve">que no logró ser cumplido </w:t>
      </w:r>
      <w:r w:rsidRPr="00D106C9">
        <w:rPr>
          <w:rFonts w:eastAsia="Calibri"/>
          <w:lang w:eastAsia="es-ES"/>
        </w:rPr>
        <w:t>al 19 de enero del 2022.</w:t>
      </w:r>
    </w:p>
    <w:p w14:paraId="390130F4" w14:textId="77777777" w:rsidR="00D106C9" w:rsidRPr="00D106C9" w:rsidRDefault="00D106C9" w:rsidP="00D106C9">
      <w:pPr>
        <w:suppressAutoHyphens w:val="0"/>
        <w:ind w:left="851" w:right="851" w:firstLine="709"/>
        <w:rPr>
          <w:lang w:eastAsia="es-CR"/>
        </w:rPr>
      </w:pPr>
    </w:p>
    <w:p w14:paraId="7DBFD921"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lang w:eastAsia="es-CR"/>
        </w:rPr>
        <w:t xml:space="preserve">Del análisis </w:t>
      </w:r>
      <w:r w:rsidRPr="00D106C9">
        <w:rPr>
          <w:lang w:eastAsia="es-ES"/>
        </w:rPr>
        <w:t>del porcentaje de avances al PAO 2021 por Programa Presupuestario, se observa un cumplimiento alto por parte de la Defensa Pública con 100,00%, de seguido del Organismo de Investigación Judicial con un 99,71%, así como la Dirección, Administración y Otros Órganos de Apoyo con un 98,94%, el Ministerio Público registra un 98,33% y el Servicio de Atención y Protección de Víctimas y Testigos con un 97,88%.</w:t>
      </w:r>
    </w:p>
    <w:p w14:paraId="43F9B4AF" w14:textId="77777777" w:rsidR="00D106C9" w:rsidRPr="00D106C9" w:rsidRDefault="00D106C9" w:rsidP="00D106C9">
      <w:pPr>
        <w:suppressAutoHyphens w:val="0"/>
        <w:ind w:left="851" w:right="851" w:firstLine="709"/>
        <w:rPr>
          <w:lang w:eastAsia="es-CR"/>
        </w:rPr>
      </w:pPr>
    </w:p>
    <w:p w14:paraId="5D95746A"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lang w:eastAsia="es-ES"/>
        </w:rPr>
        <w:t xml:space="preserve">De los 56 Centros de Responsabilidad que compone la estructura institucional, se tiene que un 95% tiene un cumplimiento alto mayor o igual a un 90%, lo cual evidencia una atención y actualización oportuna para lograr alcanzar las metas programadas, así como una buena gestión como Centro de Responsabilidad en coadyuvar y supervisar a las oficinas que los integran para </w:t>
      </w:r>
      <w:r w:rsidRPr="00D106C9">
        <w:rPr>
          <w:lang w:eastAsia="es-ES"/>
        </w:rPr>
        <w:lastRenderedPageBreak/>
        <w:t>realizar el registro óptimo de avances y cumplimiento de las metas.</w:t>
      </w:r>
    </w:p>
    <w:p w14:paraId="499FF45A" w14:textId="77777777" w:rsidR="00D106C9" w:rsidRPr="00D106C9" w:rsidRDefault="00D106C9" w:rsidP="00D106C9">
      <w:pPr>
        <w:suppressAutoHyphens w:val="0"/>
        <w:ind w:left="851" w:right="851" w:firstLine="709"/>
        <w:rPr>
          <w:lang w:eastAsia="es-CR"/>
        </w:rPr>
      </w:pPr>
    </w:p>
    <w:p w14:paraId="186E057A"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lang w:eastAsia="es-CR"/>
        </w:rPr>
        <w:t xml:space="preserve">Del análisis anterior </w:t>
      </w:r>
      <w:r w:rsidRPr="00D106C9">
        <w:rPr>
          <w:lang w:eastAsia="es-ES"/>
        </w:rPr>
        <w:t>se puede destacar que hay un total de 122 oficinas con un avance de cumplimiento inferior al 90%, donde un 97% (119 oficinas) corresponden a oficinas o despachos pertenecientes al Programa de Servicio Jurisdiccional, un 2% (2 oficinas) o despachos pertenecen al Programa Dirección, Administración y Otros Órganos de Apoyo y finalmente un 1% (una oficina) pertenece al programa Organismo de Investigación Judicial.</w:t>
      </w:r>
    </w:p>
    <w:p w14:paraId="4FD4D88F" w14:textId="77777777" w:rsidR="00D106C9" w:rsidRPr="00D106C9" w:rsidRDefault="00D106C9" w:rsidP="00D106C9">
      <w:pPr>
        <w:suppressAutoHyphens w:val="0"/>
        <w:ind w:left="851" w:right="851" w:firstLine="709"/>
        <w:rPr>
          <w:lang w:eastAsia="es-CR"/>
        </w:rPr>
      </w:pPr>
    </w:p>
    <w:p w14:paraId="3384CB7A"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lang w:eastAsia="es-CR"/>
        </w:rPr>
        <w:t xml:space="preserve">Dentro del análisis de los ejes trasversales, se puede mencionar que tiene un avance en promedio del 96,20%, </w:t>
      </w:r>
      <w:r w:rsidRPr="00D106C9">
        <w:rPr>
          <w:lang w:eastAsia="es-ES"/>
        </w:rPr>
        <w:t>lo cual es un dato que destaca por el compromiso implícito en el cumplimiento de las metas operativas y su alineación de acuerdo con los ejes transversales.</w:t>
      </w:r>
    </w:p>
    <w:p w14:paraId="087EE5E2" w14:textId="77777777" w:rsidR="00D106C9" w:rsidRPr="00D106C9" w:rsidRDefault="00D106C9" w:rsidP="00D106C9">
      <w:pPr>
        <w:tabs>
          <w:tab w:val="left" w:pos="993"/>
        </w:tabs>
        <w:suppressAutoHyphens w:val="0"/>
        <w:ind w:left="851" w:right="851" w:firstLine="709"/>
        <w:jc w:val="both"/>
        <w:rPr>
          <w:lang w:eastAsia="es-CR"/>
        </w:rPr>
      </w:pPr>
    </w:p>
    <w:p w14:paraId="0745CB6C"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lang w:eastAsia="es-CR"/>
        </w:rPr>
        <w:t>Sobre el estado de metas del PAO se puede concluir que el</w:t>
      </w:r>
      <w:r w:rsidRPr="00D106C9">
        <w:rPr>
          <w:lang w:eastAsia="zh-CN"/>
        </w:rPr>
        <w:t xml:space="preserve"> 87,75% de metas operativas se encuentran en estado “</w:t>
      </w:r>
      <w:r w:rsidRPr="00D106C9">
        <w:rPr>
          <w:b/>
          <w:bCs/>
          <w:lang w:eastAsia="zh-CN"/>
        </w:rPr>
        <w:t>Completado</w:t>
      </w:r>
      <w:r w:rsidRPr="00D106C9">
        <w:rPr>
          <w:lang w:eastAsia="zh-CN"/>
        </w:rPr>
        <w:t xml:space="preserve">”, </w:t>
      </w:r>
      <w:r w:rsidRPr="00D106C9">
        <w:rPr>
          <w:i/>
          <w:iCs/>
          <w:lang w:eastAsia="zh-CN"/>
        </w:rPr>
        <w:t>(Cuando la meta inició su ejecución y fue completada)</w:t>
      </w:r>
      <w:r w:rsidRPr="00D106C9">
        <w:rPr>
          <w:lang w:eastAsia="zh-CN"/>
        </w:rPr>
        <w:t xml:space="preserve"> en otras palabras, de cada diez metas formuladas, prácticamente nueve fueron completadas a nivel nacional, lo cual evidencia, en términos generales, una apropiada programación y ejecución a lo largo del año, de manera que se ha logrado concretar metas paulatinamente a lo largo de todo el periodo, esto muestra una mejor gestión del trabajo y la organización de una manera programada.</w:t>
      </w:r>
    </w:p>
    <w:p w14:paraId="1B99AA2E" w14:textId="77777777" w:rsidR="00D106C9" w:rsidRPr="00D106C9" w:rsidRDefault="00D106C9" w:rsidP="00D106C9">
      <w:pPr>
        <w:tabs>
          <w:tab w:val="left" w:pos="993"/>
        </w:tabs>
        <w:suppressAutoHyphens w:val="0"/>
        <w:ind w:left="851" w:right="851" w:firstLine="709"/>
        <w:jc w:val="both"/>
        <w:rPr>
          <w:lang w:eastAsia="es-CR"/>
        </w:rPr>
      </w:pPr>
    </w:p>
    <w:p w14:paraId="7122662C"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lang w:eastAsia="zh-CN"/>
        </w:rPr>
        <w:t xml:space="preserve">Los estados </w:t>
      </w:r>
      <w:r w:rsidRPr="00D106C9">
        <w:rPr>
          <w:b/>
          <w:bCs/>
          <w:lang w:eastAsia="zh-CN"/>
        </w:rPr>
        <w:t xml:space="preserve">Pendiente, Demorado en progreso y en pendiente, No iniciadas y en Progreso </w:t>
      </w:r>
      <w:r w:rsidRPr="00D106C9">
        <w:rPr>
          <w:lang w:eastAsia="zh-CN"/>
        </w:rPr>
        <w:t>equivalen a un 11,13% (751 metas operativas) de la totalidad de las metas operativas,</w:t>
      </w:r>
      <w:r w:rsidRPr="00D106C9">
        <w:rPr>
          <w:b/>
          <w:bCs/>
          <w:lang w:eastAsia="zh-CN"/>
        </w:rPr>
        <w:t xml:space="preserve"> </w:t>
      </w:r>
      <w:r w:rsidRPr="00D106C9">
        <w:rPr>
          <w:lang w:eastAsia="zh-CN"/>
        </w:rPr>
        <w:t xml:space="preserve">registrándose diversos avances sin lograr ser completadas en su totalidad y las cuales </w:t>
      </w:r>
      <w:r w:rsidRPr="00D106C9">
        <w:rPr>
          <w:bCs/>
          <w:lang w:eastAsia="es-ES"/>
        </w:rPr>
        <w:t xml:space="preserve">son </w:t>
      </w:r>
      <w:r w:rsidRPr="00D106C9">
        <w:rPr>
          <w:lang w:eastAsia="es-ES"/>
        </w:rPr>
        <w:t>estados no avalados por la Dirección de Planificación para una meta en el PAO al momento de cierre de avances.</w:t>
      </w:r>
    </w:p>
    <w:p w14:paraId="4FB6A06B" w14:textId="77777777" w:rsidR="00D106C9" w:rsidRPr="00D106C9" w:rsidRDefault="00D106C9" w:rsidP="00D106C9">
      <w:pPr>
        <w:tabs>
          <w:tab w:val="left" w:pos="993"/>
        </w:tabs>
        <w:suppressAutoHyphens w:val="0"/>
        <w:ind w:left="851" w:right="851" w:firstLine="709"/>
        <w:jc w:val="both"/>
        <w:rPr>
          <w:lang w:eastAsia="es-CR"/>
        </w:rPr>
      </w:pPr>
    </w:p>
    <w:p w14:paraId="2C34FB38" w14:textId="77777777" w:rsidR="00D106C9" w:rsidRPr="00D106C9" w:rsidRDefault="00D106C9" w:rsidP="00D106C9">
      <w:pPr>
        <w:suppressAutoHyphens w:val="0"/>
        <w:ind w:left="851" w:right="851" w:firstLine="709"/>
        <w:rPr>
          <w:lang w:eastAsia="es-CR"/>
        </w:rPr>
      </w:pPr>
    </w:p>
    <w:p w14:paraId="07965EBA"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lang w:eastAsia="es-CR"/>
        </w:rPr>
        <w:t xml:space="preserve">De </w:t>
      </w:r>
      <w:r w:rsidRPr="00D106C9">
        <w:rPr>
          <w:lang w:eastAsia="zh-CN"/>
        </w:rPr>
        <w:t xml:space="preserve">acuerdo al análisis de la evaluación de los Planes Anuales Operativos y su vinculación con el Plan Estratégico Institucional se puede destacar que hay </w:t>
      </w:r>
      <w:r w:rsidRPr="00D106C9">
        <w:rPr>
          <w:lang w:eastAsia="es-ES"/>
        </w:rPr>
        <w:t>3000 metas que se encuentran completadas al 100% eso equivale a un 83% de todas las metas operativas enlazadas al PEI, las cuales fueron exitosas en su cumplimiento, aspecto de relevancia y que resulta positivo para enfocar esfuerzos realizados por la oficina con el fin de cumplir los compromisos adquiridos en el Plan Estratégico Institucional.</w:t>
      </w:r>
    </w:p>
    <w:p w14:paraId="2EBCAEB5" w14:textId="77777777" w:rsidR="00D106C9" w:rsidRPr="00D106C9" w:rsidRDefault="00D106C9" w:rsidP="00D106C9">
      <w:pPr>
        <w:suppressAutoHyphens w:val="0"/>
        <w:ind w:left="851" w:right="851" w:firstLine="709"/>
        <w:rPr>
          <w:lang w:eastAsia="es-CR"/>
        </w:rPr>
      </w:pPr>
    </w:p>
    <w:p w14:paraId="178724E2" w14:textId="77777777" w:rsidR="00D106C9" w:rsidRPr="00D106C9" w:rsidRDefault="00D106C9" w:rsidP="003B2E9B">
      <w:pPr>
        <w:widowControl w:val="0"/>
        <w:numPr>
          <w:ilvl w:val="0"/>
          <w:numId w:val="55"/>
        </w:numPr>
        <w:tabs>
          <w:tab w:val="left" w:pos="993"/>
        </w:tabs>
        <w:suppressAutoHyphens w:val="0"/>
        <w:autoSpaceDE w:val="0"/>
        <w:autoSpaceDN w:val="0"/>
        <w:adjustRightInd w:val="0"/>
        <w:ind w:left="851" w:right="851" w:firstLine="709"/>
        <w:contextualSpacing/>
        <w:jc w:val="both"/>
        <w:rPr>
          <w:lang w:eastAsia="es-CR"/>
        </w:rPr>
      </w:pPr>
      <w:r w:rsidRPr="00D106C9">
        <w:rPr>
          <w:lang w:eastAsia="es-CR"/>
        </w:rPr>
        <w:t xml:space="preserve">Finalmente, se analizaron </w:t>
      </w:r>
      <w:r w:rsidRPr="00D106C9">
        <w:rPr>
          <w:lang w:eastAsia="es-ES"/>
        </w:rPr>
        <w:t xml:space="preserve">19 Planes de Acción Covid-19, que se encuentran vinculadas al Plan Estratégico Institucional, en donde se destaca el cumplimiento por cada meta estratégica y meta operativa, con el hallazgo de que </w:t>
      </w:r>
      <w:r w:rsidRPr="00D106C9">
        <w:rPr>
          <w:lang w:eastAsia="es-ES"/>
        </w:rPr>
        <w:lastRenderedPageBreak/>
        <w:t>17 Planes de Acción Covid-19 se encuentran con un 100% del cumplimiento, mientas que solo dos Planes de Acción Covid-19 se encuentran en un porcentaje inferior al 100%.</w:t>
      </w:r>
    </w:p>
    <w:p w14:paraId="369E9E63" w14:textId="77777777" w:rsidR="00D106C9" w:rsidRPr="00D106C9" w:rsidRDefault="00D106C9" w:rsidP="00D106C9">
      <w:pPr>
        <w:widowControl w:val="0"/>
        <w:tabs>
          <w:tab w:val="left" w:pos="993"/>
        </w:tabs>
        <w:suppressAutoHyphens w:val="0"/>
        <w:autoSpaceDE w:val="0"/>
        <w:autoSpaceDN w:val="0"/>
        <w:adjustRightInd w:val="0"/>
        <w:ind w:left="851" w:right="851" w:firstLine="709"/>
        <w:jc w:val="both"/>
        <w:rPr>
          <w:lang w:eastAsia="es-CR"/>
        </w:rPr>
      </w:pPr>
    </w:p>
    <w:p w14:paraId="7E2EFCD9"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46" w:name="_Toc90563633"/>
      <w:bookmarkStart w:id="47" w:name="_Toc102390787"/>
      <w:r w:rsidRPr="00D106C9">
        <w:rPr>
          <w:lang w:eastAsia="es-ES"/>
        </w:rPr>
        <w:t>Plan de acción</w:t>
      </w:r>
      <w:bookmarkEnd w:id="46"/>
      <w:bookmarkEnd w:id="47"/>
    </w:p>
    <w:p w14:paraId="6BA71C92" w14:textId="77777777" w:rsidR="00D106C9" w:rsidRPr="00D106C9" w:rsidRDefault="00D106C9" w:rsidP="00D106C9">
      <w:pPr>
        <w:widowControl w:val="0"/>
        <w:suppressAutoHyphens w:val="0"/>
        <w:autoSpaceDE w:val="0"/>
        <w:autoSpaceDN w:val="0"/>
        <w:adjustRightInd w:val="0"/>
        <w:ind w:left="851" w:right="851" w:firstLine="709"/>
        <w:jc w:val="both"/>
        <w:rPr>
          <w:lang w:eastAsia="es-CR"/>
        </w:rPr>
      </w:pPr>
      <w:r w:rsidRPr="00D106C9">
        <w:rPr>
          <w:lang w:eastAsia="es-CR"/>
        </w:rPr>
        <w:t>Con base en los resultados y hallazgos de la evaluación del Plan Anual Operativo 2021, se propone la realización de un plan de acción en aras de mejorar la gestión orientada a los resultados de las áreas que se hayan determinado y que se deben priorizar o atender a la brevedad, por lo cual será analizado y revisado en el informe del primer semestre del PAO 2022. A continuación, se adjunta el Plan de Acción:</w:t>
      </w: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8"/>
        <w:gridCol w:w="1275"/>
        <w:gridCol w:w="3119"/>
        <w:gridCol w:w="3402"/>
      </w:tblGrid>
      <w:tr w:rsidR="00D106C9" w:rsidRPr="00D106C9" w14:paraId="2C18BD80" w14:textId="77777777" w:rsidTr="006D7BCD">
        <w:trPr>
          <w:trHeight w:val="290"/>
        </w:trPr>
        <w:tc>
          <w:tcPr>
            <w:tcW w:w="2978" w:type="dxa"/>
            <w:shd w:val="clear" w:color="000000" w:fill="0070C0"/>
            <w:vAlign w:val="center"/>
            <w:hideMark/>
          </w:tcPr>
          <w:p w14:paraId="0500041B" w14:textId="77777777" w:rsidR="00D106C9" w:rsidRPr="00D106C9" w:rsidRDefault="00D106C9" w:rsidP="00D106C9">
            <w:pPr>
              <w:widowControl w:val="0"/>
              <w:suppressAutoHyphens w:val="0"/>
              <w:autoSpaceDE w:val="0"/>
              <w:autoSpaceDN w:val="0"/>
              <w:adjustRightInd w:val="0"/>
              <w:ind w:left="-364" w:firstLine="364"/>
              <w:jc w:val="center"/>
              <w:rPr>
                <w:b/>
                <w:bCs/>
                <w:lang w:eastAsia="es-CR"/>
              </w:rPr>
            </w:pPr>
            <w:r w:rsidRPr="00D106C9">
              <w:rPr>
                <w:b/>
                <w:bCs/>
                <w:lang w:eastAsia="es-CR"/>
              </w:rPr>
              <w:t xml:space="preserve">Actividades </w:t>
            </w:r>
          </w:p>
        </w:tc>
        <w:tc>
          <w:tcPr>
            <w:tcW w:w="1275" w:type="dxa"/>
            <w:shd w:val="clear" w:color="000000" w:fill="0070C0"/>
            <w:vAlign w:val="center"/>
            <w:hideMark/>
          </w:tcPr>
          <w:p w14:paraId="6CAA250C"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Plazo</w:t>
            </w:r>
          </w:p>
        </w:tc>
        <w:tc>
          <w:tcPr>
            <w:tcW w:w="3119" w:type="dxa"/>
            <w:shd w:val="clear" w:color="000000" w:fill="0070C0"/>
            <w:vAlign w:val="center"/>
            <w:hideMark/>
          </w:tcPr>
          <w:p w14:paraId="565C21C3"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Responsables</w:t>
            </w:r>
          </w:p>
        </w:tc>
        <w:tc>
          <w:tcPr>
            <w:tcW w:w="3402" w:type="dxa"/>
            <w:shd w:val="clear" w:color="000000" w:fill="0070C0"/>
            <w:vAlign w:val="center"/>
            <w:hideMark/>
          </w:tcPr>
          <w:p w14:paraId="27881EF7"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Resultados esperados</w:t>
            </w:r>
          </w:p>
        </w:tc>
      </w:tr>
      <w:tr w:rsidR="00D106C9" w:rsidRPr="00D106C9" w14:paraId="76C90FBE" w14:textId="77777777" w:rsidTr="006D7BCD">
        <w:trPr>
          <w:trHeight w:val="1050"/>
        </w:trPr>
        <w:tc>
          <w:tcPr>
            <w:tcW w:w="2978" w:type="dxa"/>
            <w:shd w:val="clear" w:color="auto" w:fill="auto"/>
            <w:vAlign w:val="center"/>
            <w:hideMark/>
          </w:tcPr>
          <w:p w14:paraId="4C2AB43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Brindar un seguimiento y acompañamiento a las oficinas que los integran, para que, al término del primer semestre del 2022, el Plan Anual Operativo de cada oficina, registre un avance de al menos un 40% de cumplimiento.</w:t>
            </w:r>
          </w:p>
        </w:tc>
        <w:tc>
          <w:tcPr>
            <w:tcW w:w="1275" w:type="dxa"/>
            <w:shd w:val="clear" w:color="auto" w:fill="auto"/>
            <w:vAlign w:val="center"/>
            <w:hideMark/>
          </w:tcPr>
          <w:p w14:paraId="1D4F635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9A3BD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 Centro Responsabilidad Administración del Primer Circuito Judicial Zona Sur</w:t>
            </w:r>
          </w:p>
        </w:tc>
        <w:tc>
          <w:tcPr>
            <w:tcW w:w="3402" w:type="dxa"/>
            <w:shd w:val="clear" w:color="auto" w:fill="auto"/>
            <w:vAlign w:val="center"/>
            <w:hideMark/>
          </w:tcPr>
          <w:p w14:paraId="6997920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9DFEE3A" w14:textId="77777777" w:rsidTr="006D7BCD">
        <w:trPr>
          <w:trHeight w:val="1050"/>
        </w:trPr>
        <w:tc>
          <w:tcPr>
            <w:tcW w:w="2978" w:type="dxa"/>
            <w:shd w:val="clear" w:color="auto" w:fill="auto"/>
            <w:hideMark/>
          </w:tcPr>
          <w:p w14:paraId="1A6DF4F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Brindar un seguimiento y acompañamiento a las oficinas que los integran, para que, al término del primer semestre del 2022, el Plan Anual Operativo de cada oficina, registre un avance de al menos un 40% de cumplimiento.</w:t>
            </w:r>
          </w:p>
        </w:tc>
        <w:tc>
          <w:tcPr>
            <w:tcW w:w="1275" w:type="dxa"/>
            <w:shd w:val="clear" w:color="auto" w:fill="auto"/>
            <w:vAlign w:val="center"/>
            <w:hideMark/>
          </w:tcPr>
          <w:p w14:paraId="075C8F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4FE3D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 Centro Responsabilidad Administración de Osa</w:t>
            </w:r>
          </w:p>
        </w:tc>
        <w:tc>
          <w:tcPr>
            <w:tcW w:w="3402" w:type="dxa"/>
            <w:shd w:val="clear" w:color="auto" w:fill="auto"/>
            <w:vAlign w:val="center"/>
            <w:hideMark/>
          </w:tcPr>
          <w:p w14:paraId="288ED0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60C6466" w14:textId="77777777" w:rsidTr="006D7BCD">
        <w:trPr>
          <w:trHeight w:val="1050"/>
        </w:trPr>
        <w:tc>
          <w:tcPr>
            <w:tcW w:w="2978" w:type="dxa"/>
            <w:shd w:val="clear" w:color="auto" w:fill="auto"/>
            <w:hideMark/>
          </w:tcPr>
          <w:p w14:paraId="6EC2D2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Brindar un seguimiento y acompañamiento a las oficinas que los integran, para que, al término del primer semestre del 2022, el Plan Anual Operativo de cada oficina, registre un avance de al menos un 40% de cumplimiento.</w:t>
            </w:r>
          </w:p>
        </w:tc>
        <w:tc>
          <w:tcPr>
            <w:tcW w:w="1275" w:type="dxa"/>
            <w:shd w:val="clear" w:color="auto" w:fill="auto"/>
            <w:vAlign w:val="center"/>
            <w:hideMark/>
          </w:tcPr>
          <w:p w14:paraId="431C0B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6047C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 Centro Responsabilidad Administración de Turrialba</w:t>
            </w:r>
          </w:p>
        </w:tc>
        <w:tc>
          <w:tcPr>
            <w:tcW w:w="3402" w:type="dxa"/>
            <w:shd w:val="clear" w:color="auto" w:fill="auto"/>
            <w:vAlign w:val="center"/>
            <w:hideMark/>
          </w:tcPr>
          <w:p w14:paraId="15220AF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2E4332D" w14:textId="77777777" w:rsidTr="006D7BCD">
        <w:trPr>
          <w:trHeight w:val="840"/>
        </w:trPr>
        <w:tc>
          <w:tcPr>
            <w:tcW w:w="2978" w:type="dxa"/>
            <w:shd w:val="clear" w:color="auto" w:fill="auto"/>
            <w:vAlign w:val="center"/>
            <w:hideMark/>
          </w:tcPr>
          <w:p w14:paraId="34748A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5FBBE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5CB94B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Biblioteca Judicial</w:t>
            </w:r>
          </w:p>
        </w:tc>
        <w:tc>
          <w:tcPr>
            <w:tcW w:w="3402" w:type="dxa"/>
            <w:shd w:val="clear" w:color="auto" w:fill="auto"/>
            <w:vAlign w:val="center"/>
            <w:hideMark/>
          </w:tcPr>
          <w:p w14:paraId="7E147BF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B6983B9" w14:textId="77777777" w:rsidTr="006D7BCD">
        <w:trPr>
          <w:trHeight w:val="840"/>
        </w:trPr>
        <w:tc>
          <w:tcPr>
            <w:tcW w:w="2978" w:type="dxa"/>
            <w:shd w:val="clear" w:color="auto" w:fill="auto"/>
            <w:hideMark/>
          </w:tcPr>
          <w:p w14:paraId="378C492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BDEFD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4B9FC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del Poder Judicial</w:t>
            </w:r>
          </w:p>
        </w:tc>
        <w:tc>
          <w:tcPr>
            <w:tcW w:w="3402" w:type="dxa"/>
            <w:shd w:val="clear" w:color="auto" w:fill="auto"/>
            <w:vAlign w:val="center"/>
            <w:hideMark/>
          </w:tcPr>
          <w:p w14:paraId="7E0D32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0D9F2CB" w14:textId="77777777" w:rsidTr="006D7BCD">
        <w:trPr>
          <w:trHeight w:val="840"/>
        </w:trPr>
        <w:tc>
          <w:tcPr>
            <w:tcW w:w="2978" w:type="dxa"/>
            <w:shd w:val="clear" w:color="auto" w:fill="auto"/>
            <w:hideMark/>
          </w:tcPr>
          <w:p w14:paraId="79EF47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B93AD5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B6D91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Sede II Circuito Judicial de Alajuela</w:t>
            </w:r>
          </w:p>
        </w:tc>
        <w:tc>
          <w:tcPr>
            <w:tcW w:w="3402" w:type="dxa"/>
            <w:shd w:val="clear" w:color="auto" w:fill="auto"/>
            <w:vAlign w:val="center"/>
            <w:hideMark/>
          </w:tcPr>
          <w:p w14:paraId="5576FD2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62630E6" w14:textId="77777777" w:rsidTr="006D7BCD">
        <w:trPr>
          <w:trHeight w:val="840"/>
        </w:trPr>
        <w:tc>
          <w:tcPr>
            <w:tcW w:w="2978" w:type="dxa"/>
            <w:shd w:val="clear" w:color="auto" w:fill="auto"/>
            <w:hideMark/>
          </w:tcPr>
          <w:p w14:paraId="54442F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6E81E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1F67B6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Sede III Circuito Judicial Alajuela (San Ramon)</w:t>
            </w:r>
          </w:p>
        </w:tc>
        <w:tc>
          <w:tcPr>
            <w:tcW w:w="3402" w:type="dxa"/>
            <w:shd w:val="clear" w:color="auto" w:fill="auto"/>
            <w:vAlign w:val="center"/>
            <w:hideMark/>
          </w:tcPr>
          <w:p w14:paraId="07E9F9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79AA3C3" w14:textId="77777777" w:rsidTr="006D7BCD">
        <w:trPr>
          <w:trHeight w:val="840"/>
        </w:trPr>
        <w:tc>
          <w:tcPr>
            <w:tcW w:w="2978" w:type="dxa"/>
            <w:shd w:val="clear" w:color="auto" w:fill="auto"/>
            <w:hideMark/>
          </w:tcPr>
          <w:p w14:paraId="722EB0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43D0E3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556B8A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Comision de la Jurisdicción Agrario y Agroambiental</w:t>
            </w:r>
          </w:p>
        </w:tc>
        <w:tc>
          <w:tcPr>
            <w:tcW w:w="3402" w:type="dxa"/>
            <w:shd w:val="clear" w:color="auto" w:fill="auto"/>
            <w:vAlign w:val="center"/>
            <w:hideMark/>
          </w:tcPr>
          <w:p w14:paraId="5AF5ED3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6BCB3CB" w14:textId="77777777" w:rsidTr="006D7BCD">
        <w:trPr>
          <w:trHeight w:val="840"/>
        </w:trPr>
        <w:tc>
          <w:tcPr>
            <w:tcW w:w="2978" w:type="dxa"/>
            <w:shd w:val="clear" w:color="auto" w:fill="auto"/>
            <w:hideMark/>
          </w:tcPr>
          <w:p w14:paraId="728933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148C700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6AB2D6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Comisión de la Jurisdicción Laboral</w:t>
            </w:r>
          </w:p>
        </w:tc>
        <w:tc>
          <w:tcPr>
            <w:tcW w:w="3402" w:type="dxa"/>
            <w:shd w:val="clear" w:color="auto" w:fill="auto"/>
            <w:vAlign w:val="center"/>
            <w:hideMark/>
          </w:tcPr>
          <w:p w14:paraId="69E810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2A7AB50" w14:textId="77777777" w:rsidTr="006D7BCD">
        <w:trPr>
          <w:trHeight w:val="840"/>
        </w:trPr>
        <w:tc>
          <w:tcPr>
            <w:tcW w:w="2978" w:type="dxa"/>
            <w:shd w:val="clear" w:color="auto" w:fill="auto"/>
            <w:hideMark/>
          </w:tcPr>
          <w:p w14:paraId="104A29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83604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B45E9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del I Circ. Jud. de la Zona Atlántica</w:t>
            </w:r>
          </w:p>
        </w:tc>
        <w:tc>
          <w:tcPr>
            <w:tcW w:w="3402" w:type="dxa"/>
            <w:shd w:val="clear" w:color="auto" w:fill="auto"/>
            <w:vAlign w:val="center"/>
            <w:hideMark/>
          </w:tcPr>
          <w:p w14:paraId="6412DCA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649F9CF" w14:textId="77777777" w:rsidTr="006D7BCD">
        <w:trPr>
          <w:trHeight w:val="840"/>
        </w:trPr>
        <w:tc>
          <w:tcPr>
            <w:tcW w:w="2978" w:type="dxa"/>
            <w:shd w:val="clear" w:color="auto" w:fill="auto"/>
            <w:hideMark/>
          </w:tcPr>
          <w:p w14:paraId="356402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8B4DB6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D5100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I Circuito Judicial Alajuela</w:t>
            </w:r>
          </w:p>
        </w:tc>
        <w:tc>
          <w:tcPr>
            <w:tcW w:w="3402" w:type="dxa"/>
            <w:shd w:val="clear" w:color="auto" w:fill="auto"/>
            <w:vAlign w:val="center"/>
            <w:hideMark/>
          </w:tcPr>
          <w:p w14:paraId="1785E25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FEA8C6F" w14:textId="77777777" w:rsidTr="006D7BCD">
        <w:trPr>
          <w:trHeight w:val="840"/>
        </w:trPr>
        <w:tc>
          <w:tcPr>
            <w:tcW w:w="2978" w:type="dxa"/>
            <w:shd w:val="clear" w:color="auto" w:fill="auto"/>
            <w:hideMark/>
          </w:tcPr>
          <w:p w14:paraId="5F011C8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8AFD52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C9069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w:t>
            </w:r>
            <w:proofErr w:type="spellStart"/>
            <w:r w:rsidRPr="00D106C9">
              <w:rPr>
                <w:lang w:eastAsia="es-CR"/>
              </w:rPr>
              <w:t>Civ</w:t>
            </w:r>
            <w:proofErr w:type="spellEnd"/>
            <w:r w:rsidRPr="00D106C9">
              <w:rPr>
                <w:lang w:eastAsia="es-CR"/>
              </w:rPr>
              <w:t xml:space="preserve">, </w:t>
            </w:r>
            <w:proofErr w:type="spellStart"/>
            <w:r w:rsidRPr="00D106C9">
              <w:rPr>
                <w:lang w:eastAsia="es-CR"/>
              </w:rPr>
              <w:t>Tra</w:t>
            </w:r>
            <w:proofErr w:type="spellEnd"/>
            <w:r w:rsidRPr="00D106C9">
              <w:rPr>
                <w:lang w:eastAsia="es-CR"/>
              </w:rPr>
              <w:t xml:space="preserve">, </w:t>
            </w:r>
            <w:proofErr w:type="spellStart"/>
            <w:r w:rsidRPr="00D106C9">
              <w:rPr>
                <w:lang w:eastAsia="es-CR"/>
              </w:rPr>
              <w:t>Agr</w:t>
            </w:r>
            <w:proofErr w:type="spellEnd"/>
            <w:r w:rsidRPr="00D106C9">
              <w:rPr>
                <w:lang w:eastAsia="es-CR"/>
              </w:rPr>
              <w:t xml:space="preserve">, Fam, Pen Juv, Vio Dom y Prot </w:t>
            </w:r>
            <w:proofErr w:type="spellStart"/>
            <w:r w:rsidRPr="00D106C9">
              <w:rPr>
                <w:lang w:eastAsia="es-CR"/>
              </w:rPr>
              <w:t>Cau</w:t>
            </w:r>
            <w:proofErr w:type="spellEnd"/>
            <w:r w:rsidRPr="00D106C9">
              <w:rPr>
                <w:lang w:eastAsia="es-CR"/>
              </w:rPr>
              <w:t xml:space="preserve"> II Cir Jud Ala, Sede Upala</w:t>
            </w:r>
          </w:p>
        </w:tc>
        <w:tc>
          <w:tcPr>
            <w:tcW w:w="3402" w:type="dxa"/>
            <w:shd w:val="clear" w:color="auto" w:fill="auto"/>
            <w:vAlign w:val="center"/>
            <w:hideMark/>
          </w:tcPr>
          <w:p w14:paraId="6B3589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EEF7037" w14:textId="77777777" w:rsidTr="006D7BCD">
        <w:trPr>
          <w:trHeight w:val="840"/>
        </w:trPr>
        <w:tc>
          <w:tcPr>
            <w:tcW w:w="2978" w:type="dxa"/>
            <w:shd w:val="clear" w:color="auto" w:fill="auto"/>
            <w:hideMark/>
          </w:tcPr>
          <w:p w14:paraId="641A70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563EA9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52B53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del II Circuito Judicial de Alajuela</w:t>
            </w:r>
          </w:p>
        </w:tc>
        <w:tc>
          <w:tcPr>
            <w:tcW w:w="3402" w:type="dxa"/>
            <w:shd w:val="clear" w:color="auto" w:fill="auto"/>
            <w:vAlign w:val="center"/>
            <w:hideMark/>
          </w:tcPr>
          <w:p w14:paraId="2A3CF0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3E9831F" w14:textId="77777777" w:rsidTr="006D7BCD">
        <w:trPr>
          <w:trHeight w:val="840"/>
        </w:trPr>
        <w:tc>
          <w:tcPr>
            <w:tcW w:w="2978" w:type="dxa"/>
            <w:shd w:val="clear" w:color="auto" w:fill="auto"/>
            <w:hideMark/>
          </w:tcPr>
          <w:p w14:paraId="42B0FC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AD639F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77B8DA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 Grecia</w:t>
            </w:r>
          </w:p>
        </w:tc>
        <w:tc>
          <w:tcPr>
            <w:tcW w:w="3402" w:type="dxa"/>
            <w:shd w:val="clear" w:color="auto" w:fill="auto"/>
            <w:vAlign w:val="center"/>
            <w:hideMark/>
          </w:tcPr>
          <w:p w14:paraId="49F62B5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F69CAB4" w14:textId="77777777" w:rsidTr="006D7BCD">
        <w:trPr>
          <w:trHeight w:val="840"/>
        </w:trPr>
        <w:tc>
          <w:tcPr>
            <w:tcW w:w="2978" w:type="dxa"/>
            <w:shd w:val="clear" w:color="auto" w:fill="auto"/>
            <w:hideMark/>
          </w:tcPr>
          <w:p w14:paraId="3057FFE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B01DB6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14AA9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 Quepos</w:t>
            </w:r>
          </w:p>
        </w:tc>
        <w:tc>
          <w:tcPr>
            <w:tcW w:w="3402" w:type="dxa"/>
            <w:shd w:val="clear" w:color="auto" w:fill="auto"/>
            <w:vAlign w:val="center"/>
            <w:hideMark/>
          </w:tcPr>
          <w:p w14:paraId="385B3E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0BA22B9" w14:textId="77777777" w:rsidTr="006D7BCD">
        <w:trPr>
          <w:trHeight w:val="840"/>
        </w:trPr>
        <w:tc>
          <w:tcPr>
            <w:tcW w:w="2978" w:type="dxa"/>
            <w:shd w:val="clear" w:color="auto" w:fill="auto"/>
            <w:hideMark/>
          </w:tcPr>
          <w:p w14:paraId="389226C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9E623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CDC124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del I Circuito Judicial de la Zona Sur</w:t>
            </w:r>
          </w:p>
        </w:tc>
        <w:tc>
          <w:tcPr>
            <w:tcW w:w="3402" w:type="dxa"/>
            <w:shd w:val="clear" w:color="auto" w:fill="auto"/>
            <w:vAlign w:val="center"/>
            <w:hideMark/>
          </w:tcPr>
          <w:p w14:paraId="51B6E6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C30160B" w14:textId="77777777" w:rsidTr="006D7BCD">
        <w:trPr>
          <w:trHeight w:val="840"/>
        </w:trPr>
        <w:tc>
          <w:tcPr>
            <w:tcW w:w="2978" w:type="dxa"/>
            <w:shd w:val="clear" w:color="auto" w:fill="auto"/>
            <w:hideMark/>
          </w:tcPr>
          <w:p w14:paraId="2FD2FF8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CA2B73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95C720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II Circ. Jud. de Guanacaste</w:t>
            </w:r>
          </w:p>
        </w:tc>
        <w:tc>
          <w:tcPr>
            <w:tcW w:w="3402" w:type="dxa"/>
            <w:shd w:val="clear" w:color="auto" w:fill="auto"/>
            <w:vAlign w:val="center"/>
            <w:hideMark/>
          </w:tcPr>
          <w:p w14:paraId="0A8F72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32B488F" w14:textId="77777777" w:rsidTr="006D7BCD">
        <w:trPr>
          <w:trHeight w:val="840"/>
        </w:trPr>
        <w:tc>
          <w:tcPr>
            <w:tcW w:w="2978" w:type="dxa"/>
            <w:shd w:val="clear" w:color="auto" w:fill="auto"/>
            <w:hideMark/>
          </w:tcPr>
          <w:p w14:paraId="1BCA75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113DA6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1ADABB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II Circuito Judicial Zona Sur</w:t>
            </w:r>
          </w:p>
        </w:tc>
        <w:tc>
          <w:tcPr>
            <w:tcW w:w="3402" w:type="dxa"/>
            <w:shd w:val="clear" w:color="auto" w:fill="auto"/>
            <w:vAlign w:val="center"/>
            <w:hideMark/>
          </w:tcPr>
          <w:p w14:paraId="6EA10A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F4D6A31" w14:textId="77777777" w:rsidTr="006D7BCD">
        <w:trPr>
          <w:trHeight w:val="840"/>
        </w:trPr>
        <w:tc>
          <w:tcPr>
            <w:tcW w:w="2978" w:type="dxa"/>
            <w:shd w:val="clear" w:color="auto" w:fill="auto"/>
            <w:hideMark/>
          </w:tcPr>
          <w:p w14:paraId="1E8B624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447015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30B00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Trab, Fam, Agra, Penal Juv, </w:t>
            </w:r>
            <w:proofErr w:type="spellStart"/>
            <w:r w:rsidRPr="00D106C9">
              <w:rPr>
                <w:lang w:eastAsia="es-CR"/>
              </w:rPr>
              <w:t>Viol</w:t>
            </w:r>
            <w:proofErr w:type="spellEnd"/>
            <w:r w:rsidRPr="00D106C9">
              <w:rPr>
                <w:lang w:eastAsia="es-CR"/>
              </w:rPr>
              <w:t xml:space="preserve"> Dom y Prot Cautelar Buenos Aires</w:t>
            </w:r>
          </w:p>
        </w:tc>
        <w:tc>
          <w:tcPr>
            <w:tcW w:w="3402" w:type="dxa"/>
            <w:shd w:val="clear" w:color="auto" w:fill="auto"/>
            <w:vAlign w:val="center"/>
            <w:hideMark/>
          </w:tcPr>
          <w:p w14:paraId="2811D6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B3614BC" w14:textId="77777777" w:rsidTr="006D7BCD">
        <w:trPr>
          <w:trHeight w:val="840"/>
        </w:trPr>
        <w:tc>
          <w:tcPr>
            <w:tcW w:w="2978" w:type="dxa"/>
            <w:shd w:val="clear" w:color="auto" w:fill="auto"/>
            <w:hideMark/>
          </w:tcPr>
          <w:p w14:paraId="67EFBFD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739FF7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5ADA18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 Cautelar Puriscal</w:t>
            </w:r>
          </w:p>
        </w:tc>
        <w:tc>
          <w:tcPr>
            <w:tcW w:w="3402" w:type="dxa"/>
            <w:shd w:val="clear" w:color="auto" w:fill="auto"/>
            <w:vAlign w:val="center"/>
            <w:hideMark/>
          </w:tcPr>
          <w:p w14:paraId="7BF6EED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6A2FFA2" w14:textId="77777777" w:rsidTr="006D7BCD">
        <w:trPr>
          <w:trHeight w:val="840"/>
        </w:trPr>
        <w:tc>
          <w:tcPr>
            <w:tcW w:w="2978" w:type="dxa"/>
            <w:shd w:val="clear" w:color="auto" w:fill="auto"/>
            <w:hideMark/>
          </w:tcPr>
          <w:p w14:paraId="74C64DB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6A0EC2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69174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Protección Cautelar Osa</w:t>
            </w:r>
          </w:p>
        </w:tc>
        <w:tc>
          <w:tcPr>
            <w:tcW w:w="3402" w:type="dxa"/>
            <w:shd w:val="clear" w:color="auto" w:fill="auto"/>
            <w:vAlign w:val="center"/>
            <w:hideMark/>
          </w:tcPr>
          <w:p w14:paraId="6525CFD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16D10DD" w14:textId="77777777" w:rsidTr="006D7BCD">
        <w:trPr>
          <w:trHeight w:val="840"/>
        </w:trPr>
        <w:tc>
          <w:tcPr>
            <w:tcW w:w="2978" w:type="dxa"/>
            <w:shd w:val="clear" w:color="auto" w:fill="auto"/>
            <w:hideMark/>
          </w:tcPr>
          <w:p w14:paraId="6635E1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C0DBC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5F5B8A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Trabajo, Familia, Penal Juv, </w:t>
            </w:r>
            <w:proofErr w:type="spellStart"/>
            <w:r w:rsidRPr="00D106C9">
              <w:rPr>
                <w:lang w:eastAsia="es-CR"/>
              </w:rPr>
              <w:t>Viol</w:t>
            </w:r>
            <w:proofErr w:type="spellEnd"/>
            <w:r w:rsidRPr="00D106C9">
              <w:rPr>
                <w:lang w:eastAsia="es-CR"/>
              </w:rPr>
              <w:t xml:space="preserve"> Dom y Prot Cautelar Sarapiquí</w:t>
            </w:r>
          </w:p>
        </w:tc>
        <w:tc>
          <w:tcPr>
            <w:tcW w:w="3402" w:type="dxa"/>
            <w:shd w:val="clear" w:color="auto" w:fill="auto"/>
            <w:vAlign w:val="center"/>
            <w:hideMark/>
          </w:tcPr>
          <w:p w14:paraId="6EB92FD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097AD7D" w14:textId="77777777" w:rsidTr="006D7BCD">
        <w:trPr>
          <w:trHeight w:val="840"/>
        </w:trPr>
        <w:tc>
          <w:tcPr>
            <w:tcW w:w="2978" w:type="dxa"/>
            <w:shd w:val="clear" w:color="auto" w:fill="auto"/>
            <w:hideMark/>
          </w:tcPr>
          <w:p w14:paraId="602CCC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1A73E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80477D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Contencioso Administrativo y Civil de Hacienda</w:t>
            </w:r>
          </w:p>
        </w:tc>
        <w:tc>
          <w:tcPr>
            <w:tcW w:w="3402" w:type="dxa"/>
            <w:shd w:val="clear" w:color="auto" w:fill="auto"/>
            <w:vAlign w:val="center"/>
            <w:hideMark/>
          </w:tcPr>
          <w:p w14:paraId="5E77AF9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443C6EC" w14:textId="77777777" w:rsidTr="006D7BCD">
        <w:trPr>
          <w:trHeight w:val="840"/>
        </w:trPr>
        <w:tc>
          <w:tcPr>
            <w:tcW w:w="2978" w:type="dxa"/>
            <w:shd w:val="clear" w:color="auto" w:fill="auto"/>
            <w:hideMark/>
          </w:tcPr>
          <w:p w14:paraId="45E75D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7F69C0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ACC4B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Atenas</w:t>
            </w:r>
          </w:p>
        </w:tc>
        <w:tc>
          <w:tcPr>
            <w:tcW w:w="3402" w:type="dxa"/>
            <w:shd w:val="clear" w:color="auto" w:fill="auto"/>
            <w:vAlign w:val="center"/>
            <w:hideMark/>
          </w:tcPr>
          <w:p w14:paraId="7A81E53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F6821B2" w14:textId="77777777" w:rsidTr="006D7BCD">
        <w:trPr>
          <w:trHeight w:val="840"/>
        </w:trPr>
        <w:tc>
          <w:tcPr>
            <w:tcW w:w="2978" w:type="dxa"/>
            <w:shd w:val="clear" w:color="auto" w:fill="auto"/>
            <w:hideMark/>
          </w:tcPr>
          <w:p w14:paraId="173338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309A9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4B7D0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Carrillo</w:t>
            </w:r>
          </w:p>
        </w:tc>
        <w:tc>
          <w:tcPr>
            <w:tcW w:w="3402" w:type="dxa"/>
            <w:shd w:val="clear" w:color="auto" w:fill="auto"/>
            <w:vAlign w:val="center"/>
            <w:hideMark/>
          </w:tcPr>
          <w:p w14:paraId="5ACFC29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9EDDDAA" w14:textId="77777777" w:rsidTr="006D7BCD">
        <w:trPr>
          <w:trHeight w:val="840"/>
        </w:trPr>
        <w:tc>
          <w:tcPr>
            <w:tcW w:w="2978" w:type="dxa"/>
            <w:shd w:val="clear" w:color="auto" w:fill="auto"/>
            <w:hideMark/>
          </w:tcPr>
          <w:p w14:paraId="08E18E8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0254AA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1AE97D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Grecia</w:t>
            </w:r>
          </w:p>
        </w:tc>
        <w:tc>
          <w:tcPr>
            <w:tcW w:w="3402" w:type="dxa"/>
            <w:shd w:val="clear" w:color="auto" w:fill="auto"/>
            <w:vAlign w:val="center"/>
            <w:hideMark/>
          </w:tcPr>
          <w:p w14:paraId="620376B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F182BEE" w14:textId="77777777" w:rsidTr="006D7BCD">
        <w:trPr>
          <w:trHeight w:val="840"/>
        </w:trPr>
        <w:tc>
          <w:tcPr>
            <w:tcW w:w="2978" w:type="dxa"/>
            <w:shd w:val="clear" w:color="auto" w:fill="auto"/>
            <w:hideMark/>
          </w:tcPr>
          <w:p w14:paraId="755D89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06D8C5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5AE922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Guácimo</w:t>
            </w:r>
          </w:p>
        </w:tc>
        <w:tc>
          <w:tcPr>
            <w:tcW w:w="3402" w:type="dxa"/>
            <w:shd w:val="clear" w:color="auto" w:fill="auto"/>
            <w:vAlign w:val="center"/>
            <w:hideMark/>
          </w:tcPr>
          <w:p w14:paraId="35295E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A7A4345" w14:textId="77777777" w:rsidTr="006D7BCD">
        <w:trPr>
          <w:trHeight w:val="840"/>
        </w:trPr>
        <w:tc>
          <w:tcPr>
            <w:tcW w:w="2978" w:type="dxa"/>
            <w:shd w:val="clear" w:color="auto" w:fill="auto"/>
            <w:hideMark/>
          </w:tcPr>
          <w:p w14:paraId="2D5A030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1322A6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C90D6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Guatuso</w:t>
            </w:r>
          </w:p>
        </w:tc>
        <w:tc>
          <w:tcPr>
            <w:tcW w:w="3402" w:type="dxa"/>
            <w:shd w:val="clear" w:color="auto" w:fill="auto"/>
            <w:vAlign w:val="center"/>
            <w:hideMark/>
          </w:tcPr>
          <w:p w14:paraId="4B800C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24288AF" w14:textId="77777777" w:rsidTr="006D7BCD">
        <w:trPr>
          <w:trHeight w:val="840"/>
        </w:trPr>
        <w:tc>
          <w:tcPr>
            <w:tcW w:w="2978" w:type="dxa"/>
            <w:shd w:val="clear" w:color="auto" w:fill="auto"/>
            <w:hideMark/>
          </w:tcPr>
          <w:p w14:paraId="0F735E6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7F928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C97629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Jiménez</w:t>
            </w:r>
          </w:p>
        </w:tc>
        <w:tc>
          <w:tcPr>
            <w:tcW w:w="3402" w:type="dxa"/>
            <w:shd w:val="clear" w:color="auto" w:fill="auto"/>
            <w:vAlign w:val="center"/>
            <w:hideMark/>
          </w:tcPr>
          <w:p w14:paraId="26AE92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588F1A8" w14:textId="77777777" w:rsidTr="006D7BCD">
        <w:trPr>
          <w:trHeight w:val="840"/>
        </w:trPr>
        <w:tc>
          <w:tcPr>
            <w:tcW w:w="2978" w:type="dxa"/>
            <w:shd w:val="clear" w:color="auto" w:fill="auto"/>
            <w:hideMark/>
          </w:tcPr>
          <w:p w14:paraId="1D825C9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D27F85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16EB40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los Chiles</w:t>
            </w:r>
          </w:p>
        </w:tc>
        <w:tc>
          <w:tcPr>
            <w:tcW w:w="3402" w:type="dxa"/>
            <w:shd w:val="clear" w:color="auto" w:fill="auto"/>
            <w:vAlign w:val="center"/>
            <w:hideMark/>
          </w:tcPr>
          <w:p w14:paraId="3EFDB15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DB442B0" w14:textId="77777777" w:rsidTr="006D7BCD">
        <w:trPr>
          <w:trHeight w:val="840"/>
        </w:trPr>
        <w:tc>
          <w:tcPr>
            <w:tcW w:w="2978" w:type="dxa"/>
            <w:shd w:val="clear" w:color="auto" w:fill="auto"/>
            <w:hideMark/>
          </w:tcPr>
          <w:p w14:paraId="11AB837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7BDF200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39DBB3E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Nandayure</w:t>
            </w:r>
          </w:p>
        </w:tc>
        <w:tc>
          <w:tcPr>
            <w:tcW w:w="3402" w:type="dxa"/>
            <w:shd w:val="clear" w:color="auto" w:fill="auto"/>
            <w:vAlign w:val="center"/>
            <w:hideMark/>
          </w:tcPr>
          <w:p w14:paraId="3C91BAB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0A884C1" w14:textId="77777777" w:rsidTr="006D7BCD">
        <w:trPr>
          <w:trHeight w:val="840"/>
        </w:trPr>
        <w:tc>
          <w:tcPr>
            <w:tcW w:w="2978" w:type="dxa"/>
            <w:shd w:val="clear" w:color="auto" w:fill="auto"/>
            <w:hideMark/>
          </w:tcPr>
          <w:p w14:paraId="476F35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06CE79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CFDE04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Parrita</w:t>
            </w:r>
          </w:p>
        </w:tc>
        <w:tc>
          <w:tcPr>
            <w:tcW w:w="3402" w:type="dxa"/>
            <w:shd w:val="clear" w:color="auto" w:fill="auto"/>
            <w:vAlign w:val="center"/>
            <w:hideMark/>
          </w:tcPr>
          <w:p w14:paraId="7291DBC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EEC4072" w14:textId="77777777" w:rsidTr="006D7BCD">
        <w:trPr>
          <w:trHeight w:val="840"/>
        </w:trPr>
        <w:tc>
          <w:tcPr>
            <w:tcW w:w="2978" w:type="dxa"/>
            <w:shd w:val="clear" w:color="auto" w:fill="auto"/>
            <w:hideMark/>
          </w:tcPr>
          <w:p w14:paraId="3BF9D3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A422A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767CF9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Puerto Jimenez</w:t>
            </w:r>
          </w:p>
        </w:tc>
        <w:tc>
          <w:tcPr>
            <w:tcW w:w="3402" w:type="dxa"/>
            <w:shd w:val="clear" w:color="auto" w:fill="auto"/>
            <w:vAlign w:val="center"/>
            <w:hideMark/>
          </w:tcPr>
          <w:p w14:paraId="4494E3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81A1D76" w14:textId="77777777" w:rsidTr="006D7BCD">
        <w:trPr>
          <w:trHeight w:val="840"/>
        </w:trPr>
        <w:tc>
          <w:tcPr>
            <w:tcW w:w="2978" w:type="dxa"/>
            <w:shd w:val="clear" w:color="auto" w:fill="auto"/>
            <w:hideMark/>
          </w:tcPr>
          <w:p w14:paraId="687123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76876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D9F49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Puriscal</w:t>
            </w:r>
          </w:p>
        </w:tc>
        <w:tc>
          <w:tcPr>
            <w:tcW w:w="3402" w:type="dxa"/>
            <w:shd w:val="clear" w:color="auto" w:fill="auto"/>
            <w:vAlign w:val="center"/>
            <w:hideMark/>
          </w:tcPr>
          <w:p w14:paraId="42C76FD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153CC4D" w14:textId="77777777" w:rsidTr="006D7BCD">
        <w:trPr>
          <w:trHeight w:val="840"/>
        </w:trPr>
        <w:tc>
          <w:tcPr>
            <w:tcW w:w="2978" w:type="dxa"/>
            <w:shd w:val="clear" w:color="auto" w:fill="auto"/>
            <w:hideMark/>
          </w:tcPr>
          <w:p w14:paraId="1CE924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73BDD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EA162E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San Rafael</w:t>
            </w:r>
          </w:p>
        </w:tc>
        <w:tc>
          <w:tcPr>
            <w:tcW w:w="3402" w:type="dxa"/>
            <w:shd w:val="clear" w:color="auto" w:fill="auto"/>
            <w:vAlign w:val="center"/>
            <w:hideMark/>
          </w:tcPr>
          <w:p w14:paraId="605B803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22B8C04" w14:textId="77777777" w:rsidTr="006D7BCD">
        <w:trPr>
          <w:trHeight w:val="840"/>
        </w:trPr>
        <w:tc>
          <w:tcPr>
            <w:tcW w:w="2978" w:type="dxa"/>
            <w:shd w:val="clear" w:color="auto" w:fill="auto"/>
            <w:hideMark/>
          </w:tcPr>
          <w:p w14:paraId="76D170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BD6BA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7C215A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Santo Domingo</w:t>
            </w:r>
          </w:p>
        </w:tc>
        <w:tc>
          <w:tcPr>
            <w:tcW w:w="3402" w:type="dxa"/>
            <w:shd w:val="clear" w:color="auto" w:fill="auto"/>
            <w:vAlign w:val="center"/>
            <w:hideMark/>
          </w:tcPr>
          <w:p w14:paraId="4BC511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335A61A" w14:textId="77777777" w:rsidTr="006D7BCD">
        <w:trPr>
          <w:trHeight w:val="840"/>
        </w:trPr>
        <w:tc>
          <w:tcPr>
            <w:tcW w:w="2978" w:type="dxa"/>
            <w:shd w:val="clear" w:color="auto" w:fill="auto"/>
            <w:hideMark/>
          </w:tcPr>
          <w:p w14:paraId="3BA758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DEA12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7DF92F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Siquirres</w:t>
            </w:r>
          </w:p>
        </w:tc>
        <w:tc>
          <w:tcPr>
            <w:tcW w:w="3402" w:type="dxa"/>
            <w:shd w:val="clear" w:color="auto" w:fill="auto"/>
            <w:vAlign w:val="center"/>
            <w:hideMark/>
          </w:tcPr>
          <w:p w14:paraId="171607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95EDBB3" w14:textId="77777777" w:rsidTr="006D7BCD">
        <w:trPr>
          <w:trHeight w:val="840"/>
        </w:trPr>
        <w:tc>
          <w:tcPr>
            <w:tcW w:w="2978" w:type="dxa"/>
            <w:shd w:val="clear" w:color="auto" w:fill="auto"/>
            <w:hideMark/>
          </w:tcPr>
          <w:p w14:paraId="7C32057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60988A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6CBDB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Tarrazú, Dota y León Cortes</w:t>
            </w:r>
          </w:p>
        </w:tc>
        <w:tc>
          <w:tcPr>
            <w:tcW w:w="3402" w:type="dxa"/>
            <w:shd w:val="clear" w:color="auto" w:fill="auto"/>
            <w:vAlign w:val="center"/>
            <w:hideMark/>
          </w:tcPr>
          <w:p w14:paraId="65B8B0A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92971B9" w14:textId="77777777" w:rsidTr="006D7BCD">
        <w:trPr>
          <w:trHeight w:val="840"/>
        </w:trPr>
        <w:tc>
          <w:tcPr>
            <w:tcW w:w="2978" w:type="dxa"/>
            <w:shd w:val="clear" w:color="auto" w:fill="auto"/>
            <w:hideMark/>
          </w:tcPr>
          <w:p w14:paraId="471F4F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74243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41311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Turrubares</w:t>
            </w:r>
          </w:p>
        </w:tc>
        <w:tc>
          <w:tcPr>
            <w:tcW w:w="3402" w:type="dxa"/>
            <w:shd w:val="clear" w:color="auto" w:fill="auto"/>
            <w:vAlign w:val="center"/>
            <w:hideMark/>
          </w:tcPr>
          <w:p w14:paraId="4A87DC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97B0A0F" w14:textId="77777777" w:rsidTr="006D7BCD">
        <w:trPr>
          <w:trHeight w:val="840"/>
        </w:trPr>
        <w:tc>
          <w:tcPr>
            <w:tcW w:w="2978" w:type="dxa"/>
            <w:shd w:val="clear" w:color="auto" w:fill="auto"/>
            <w:hideMark/>
          </w:tcPr>
          <w:p w14:paraId="25FCAB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95529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33399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Zarcero</w:t>
            </w:r>
          </w:p>
        </w:tc>
        <w:tc>
          <w:tcPr>
            <w:tcW w:w="3402" w:type="dxa"/>
            <w:shd w:val="clear" w:color="auto" w:fill="auto"/>
            <w:vAlign w:val="center"/>
            <w:hideMark/>
          </w:tcPr>
          <w:p w14:paraId="6D8A9B7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14AB25B" w14:textId="77777777" w:rsidTr="006D7BCD">
        <w:trPr>
          <w:trHeight w:val="840"/>
        </w:trPr>
        <w:tc>
          <w:tcPr>
            <w:tcW w:w="2978" w:type="dxa"/>
            <w:shd w:val="clear" w:color="auto" w:fill="auto"/>
            <w:hideMark/>
          </w:tcPr>
          <w:p w14:paraId="003DCC8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DDBF9E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B0E3EB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 Circ. Jud. de la Zona Atlántica</w:t>
            </w:r>
          </w:p>
        </w:tc>
        <w:tc>
          <w:tcPr>
            <w:tcW w:w="3402" w:type="dxa"/>
            <w:shd w:val="clear" w:color="auto" w:fill="auto"/>
            <w:vAlign w:val="center"/>
            <w:hideMark/>
          </w:tcPr>
          <w:p w14:paraId="4C883AF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08E507B" w14:textId="77777777" w:rsidTr="006D7BCD">
        <w:trPr>
          <w:trHeight w:val="840"/>
        </w:trPr>
        <w:tc>
          <w:tcPr>
            <w:tcW w:w="2978" w:type="dxa"/>
            <w:shd w:val="clear" w:color="auto" w:fill="auto"/>
            <w:hideMark/>
          </w:tcPr>
          <w:p w14:paraId="49A90F5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75BF7FD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4E9803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 Circuito Judicial Zona Sur</w:t>
            </w:r>
          </w:p>
        </w:tc>
        <w:tc>
          <w:tcPr>
            <w:tcW w:w="3402" w:type="dxa"/>
            <w:shd w:val="clear" w:color="auto" w:fill="auto"/>
            <w:vAlign w:val="center"/>
            <w:hideMark/>
          </w:tcPr>
          <w:p w14:paraId="38D64E8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2ACD5DC" w14:textId="77777777" w:rsidTr="006D7BCD">
        <w:trPr>
          <w:trHeight w:val="840"/>
        </w:trPr>
        <w:tc>
          <w:tcPr>
            <w:tcW w:w="2978" w:type="dxa"/>
            <w:shd w:val="clear" w:color="auto" w:fill="auto"/>
            <w:hideMark/>
          </w:tcPr>
          <w:p w14:paraId="3EB239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64954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63815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III Circuito Judicial San Jose</w:t>
            </w:r>
          </w:p>
        </w:tc>
        <w:tc>
          <w:tcPr>
            <w:tcW w:w="3402" w:type="dxa"/>
            <w:shd w:val="clear" w:color="auto" w:fill="auto"/>
            <w:vAlign w:val="center"/>
            <w:hideMark/>
          </w:tcPr>
          <w:p w14:paraId="40A8B17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B214AE3" w14:textId="77777777" w:rsidTr="006D7BCD">
        <w:trPr>
          <w:trHeight w:val="840"/>
        </w:trPr>
        <w:tc>
          <w:tcPr>
            <w:tcW w:w="2978" w:type="dxa"/>
            <w:shd w:val="clear" w:color="auto" w:fill="auto"/>
            <w:hideMark/>
          </w:tcPr>
          <w:p w14:paraId="5B95122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0E6CC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14A70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Contravencional y Pens. </w:t>
            </w:r>
            <w:proofErr w:type="spellStart"/>
            <w:r w:rsidRPr="00D106C9">
              <w:rPr>
                <w:lang w:eastAsia="es-CR"/>
              </w:rPr>
              <w:t>Alimen</w:t>
            </w:r>
            <w:proofErr w:type="spellEnd"/>
            <w:r w:rsidRPr="00D106C9">
              <w:rPr>
                <w:lang w:eastAsia="es-CR"/>
              </w:rPr>
              <w:t>. III Circ. Jud. Alajuela (San Ramon)</w:t>
            </w:r>
          </w:p>
        </w:tc>
        <w:tc>
          <w:tcPr>
            <w:tcW w:w="3402" w:type="dxa"/>
            <w:shd w:val="clear" w:color="auto" w:fill="auto"/>
            <w:vAlign w:val="center"/>
            <w:hideMark/>
          </w:tcPr>
          <w:p w14:paraId="0FCC49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B6E5C47" w14:textId="77777777" w:rsidTr="006D7BCD">
        <w:trPr>
          <w:trHeight w:val="840"/>
        </w:trPr>
        <w:tc>
          <w:tcPr>
            <w:tcW w:w="2978" w:type="dxa"/>
            <w:shd w:val="clear" w:color="auto" w:fill="auto"/>
            <w:hideMark/>
          </w:tcPr>
          <w:p w14:paraId="3742B36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4E868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2F6C5F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Pensiones Alimentarias I CJ Guanacaste</w:t>
            </w:r>
          </w:p>
        </w:tc>
        <w:tc>
          <w:tcPr>
            <w:tcW w:w="3402" w:type="dxa"/>
            <w:shd w:val="clear" w:color="auto" w:fill="auto"/>
            <w:vAlign w:val="center"/>
            <w:hideMark/>
          </w:tcPr>
          <w:p w14:paraId="401472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BE7BC7E" w14:textId="77777777" w:rsidTr="006D7BCD">
        <w:trPr>
          <w:trHeight w:val="840"/>
        </w:trPr>
        <w:tc>
          <w:tcPr>
            <w:tcW w:w="2978" w:type="dxa"/>
            <w:shd w:val="clear" w:color="auto" w:fill="auto"/>
            <w:hideMark/>
          </w:tcPr>
          <w:p w14:paraId="03D707C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B51499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881BE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Tránsito I Circuito Judicial Zona Sur</w:t>
            </w:r>
          </w:p>
        </w:tc>
        <w:tc>
          <w:tcPr>
            <w:tcW w:w="3402" w:type="dxa"/>
            <w:shd w:val="clear" w:color="auto" w:fill="auto"/>
            <w:vAlign w:val="center"/>
            <w:hideMark/>
          </w:tcPr>
          <w:p w14:paraId="1488B7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5C095B0" w14:textId="77777777" w:rsidTr="006D7BCD">
        <w:trPr>
          <w:trHeight w:val="840"/>
        </w:trPr>
        <w:tc>
          <w:tcPr>
            <w:tcW w:w="2978" w:type="dxa"/>
            <w:shd w:val="clear" w:color="auto" w:fill="auto"/>
            <w:hideMark/>
          </w:tcPr>
          <w:p w14:paraId="64371F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1C97A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95CA0F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Golfito</w:t>
            </w:r>
          </w:p>
        </w:tc>
        <w:tc>
          <w:tcPr>
            <w:tcW w:w="3402" w:type="dxa"/>
            <w:shd w:val="clear" w:color="auto" w:fill="auto"/>
            <w:vAlign w:val="center"/>
            <w:hideMark/>
          </w:tcPr>
          <w:p w14:paraId="1196EAF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278757E" w14:textId="77777777" w:rsidTr="006D7BCD">
        <w:trPr>
          <w:trHeight w:val="840"/>
        </w:trPr>
        <w:tc>
          <w:tcPr>
            <w:tcW w:w="2978" w:type="dxa"/>
            <w:shd w:val="clear" w:color="auto" w:fill="auto"/>
            <w:hideMark/>
          </w:tcPr>
          <w:p w14:paraId="283B753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C0D08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B04C1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Heredia</w:t>
            </w:r>
          </w:p>
        </w:tc>
        <w:tc>
          <w:tcPr>
            <w:tcW w:w="3402" w:type="dxa"/>
            <w:shd w:val="clear" w:color="auto" w:fill="auto"/>
            <w:vAlign w:val="center"/>
            <w:hideMark/>
          </w:tcPr>
          <w:p w14:paraId="308111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6480693" w14:textId="77777777" w:rsidTr="006D7BCD">
        <w:trPr>
          <w:trHeight w:val="840"/>
        </w:trPr>
        <w:tc>
          <w:tcPr>
            <w:tcW w:w="2978" w:type="dxa"/>
            <w:shd w:val="clear" w:color="auto" w:fill="auto"/>
            <w:hideMark/>
          </w:tcPr>
          <w:p w14:paraId="4240451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6A6F6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E3BCA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Pococi</w:t>
            </w:r>
          </w:p>
        </w:tc>
        <w:tc>
          <w:tcPr>
            <w:tcW w:w="3402" w:type="dxa"/>
            <w:shd w:val="clear" w:color="auto" w:fill="auto"/>
            <w:vAlign w:val="center"/>
            <w:hideMark/>
          </w:tcPr>
          <w:p w14:paraId="16DF799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4FD6710" w14:textId="77777777" w:rsidTr="006D7BCD">
        <w:trPr>
          <w:trHeight w:val="840"/>
        </w:trPr>
        <w:tc>
          <w:tcPr>
            <w:tcW w:w="2978" w:type="dxa"/>
            <w:shd w:val="clear" w:color="auto" w:fill="auto"/>
            <w:hideMark/>
          </w:tcPr>
          <w:p w14:paraId="6430E6C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31255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154ED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Puntarenas</w:t>
            </w:r>
          </w:p>
        </w:tc>
        <w:tc>
          <w:tcPr>
            <w:tcW w:w="3402" w:type="dxa"/>
            <w:shd w:val="clear" w:color="auto" w:fill="auto"/>
            <w:vAlign w:val="center"/>
            <w:hideMark/>
          </w:tcPr>
          <w:p w14:paraId="222BCA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BA6454D" w14:textId="77777777" w:rsidTr="006D7BCD">
        <w:trPr>
          <w:trHeight w:val="840"/>
        </w:trPr>
        <w:tc>
          <w:tcPr>
            <w:tcW w:w="2978" w:type="dxa"/>
            <w:shd w:val="clear" w:color="auto" w:fill="auto"/>
            <w:hideMark/>
          </w:tcPr>
          <w:p w14:paraId="086777E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47091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D99CD0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III Circuito Judicial de Alajuela (San Ramón)</w:t>
            </w:r>
          </w:p>
        </w:tc>
        <w:tc>
          <w:tcPr>
            <w:tcW w:w="3402" w:type="dxa"/>
            <w:shd w:val="clear" w:color="auto" w:fill="auto"/>
            <w:vAlign w:val="center"/>
            <w:hideMark/>
          </w:tcPr>
          <w:p w14:paraId="405AEF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237F5AD" w14:textId="77777777" w:rsidTr="006D7BCD">
        <w:trPr>
          <w:trHeight w:val="840"/>
        </w:trPr>
        <w:tc>
          <w:tcPr>
            <w:tcW w:w="2978" w:type="dxa"/>
            <w:shd w:val="clear" w:color="auto" w:fill="auto"/>
            <w:hideMark/>
          </w:tcPr>
          <w:p w14:paraId="34BD85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5C3A40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D7879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de Alajuela</w:t>
            </w:r>
          </w:p>
        </w:tc>
        <w:tc>
          <w:tcPr>
            <w:tcW w:w="3402" w:type="dxa"/>
            <w:shd w:val="clear" w:color="auto" w:fill="auto"/>
            <w:vAlign w:val="center"/>
            <w:hideMark/>
          </w:tcPr>
          <w:p w14:paraId="31CAF5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98BF9C0" w14:textId="77777777" w:rsidTr="006D7BCD">
        <w:trPr>
          <w:trHeight w:val="840"/>
        </w:trPr>
        <w:tc>
          <w:tcPr>
            <w:tcW w:w="2978" w:type="dxa"/>
            <w:shd w:val="clear" w:color="auto" w:fill="auto"/>
            <w:hideMark/>
          </w:tcPr>
          <w:p w14:paraId="47D8DC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657F596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6196C8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Zona Atlántica</w:t>
            </w:r>
          </w:p>
        </w:tc>
        <w:tc>
          <w:tcPr>
            <w:tcW w:w="3402" w:type="dxa"/>
            <w:shd w:val="clear" w:color="auto" w:fill="auto"/>
            <w:vAlign w:val="center"/>
            <w:hideMark/>
          </w:tcPr>
          <w:p w14:paraId="708FD93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2426E4C" w14:textId="77777777" w:rsidTr="006D7BCD">
        <w:trPr>
          <w:trHeight w:val="840"/>
        </w:trPr>
        <w:tc>
          <w:tcPr>
            <w:tcW w:w="2978" w:type="dxa"/>
            <w:shd w:val="clear" w:color="auto" w:fill="auto"/>
            <w:hideMark/>
          </w:tcPr>
          <w:p w14:paraId="69F9299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6BC92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B4603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 Circuito Judicial Zona Sur</w:t>
            </w:r>
          </w:p>
        </w:tc>
        <w:tc>
          <w:tcPr>
            <w:tcW w:w="3402" w:type="dxa"/>
            <w:shd w:val="clear" w:color="auto" w:fill="auto"/>
            <w:vAlign w:val="center"/>
            <w:hideMark/>
          </w:tcPr>
          <w:p w14:paraId="280D535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C1BAF98" w14:textId="77777777" w:rsidTr="006D7BCD">
        <w:trPr>
          <w:trHeight w:val="840"/>
        </w:trPr>
        <w:tc>
          <w:tcPr>
            <w:tcW w:w="2978" w:type="dxa"/>
            <w:shd w:val="clear" w:color="auto" w:fill="auto"/>
            <w:hideMark/>
          </w:tcPr>
          <w:p w14:paraId="698E16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B05E6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C5E99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II Circuito Judicial Guanacaste (Santa Cruz)</w:t>
            </w:r>
          </w:p>
        </w:tc>
        <w:tc>
          <w:tcPr>
            <w:tcW w:w="3402" w:type="dxa"/>
            <w:shd w:val="clear" w:color="auto" w:fill="auto"/>
            <w:vAlign w:val="center"/>
            <w:hideMark/>
          </w:tcPr>
          <w:p w14:paraId="542A76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FBB1C1B" w14:textId="77777777" w:rsidTr="006D7BCD">
        <w:trPr>
          <w:trHeight w:val="840"/>
        </w:trPr>
        <w:tc>
          <w:tcPr>
            <w:tcW w:w="2978" w:type="dxa"/>
            <w:shd w:val="clear" w:color="auto" w:fill="auto"/>
            <w:hideMark/>
          </w:tcPr>
          <w:p w14:paraId="4D2C4B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753ED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9B9E3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Ejecución de la Pena de Puntarenas, Sede Guanacaste</w:t>
            </w:r>
          </w:p>
        </w:tc>
        <w:tc>
          <w:tcPr>
            <w:tcW w:w="3402" w:type="dxa"/>
            <w:shd w:val="clear" w:color="auto" w:fill="auto"/>
            <w:vAlign w:val="center"/>
            <w:hideMark/>
          </w:tcPr>
          <w:p w14:paraId="5B553A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CD3958A" w14:textId="77777777" w:rsidTr="006D7BCD">
        <w:trPr>
          <w:trHeight w:val="840"/>
        </w:trPr>
        <w:tc>
          <w:tcPr>
            <w:tcW w:w="2978" w:type="dxa"/>
            <w:shd w:val="clear" w:color="auto" w:fill="auto"/>
            <w:hideMark/>
          </w:tcPr>
          <w:p w14:paraId="7832218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63D43A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75886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II Circuito Jud. de San Jose</w:t>
            </w:r>
          </w:p>
        </w:tc>
        <w:tc>
          <w:tcPr>
            <w:tcW w:w="3402" w:type="dxa"/>
            <w:shd w:val="clear" w:color="auto" w:fill="auto"/>
            <w:vAlign w:val="center"/>
            <w:hideMark/>
          </w:tcPr>
          <w:p w14:paraId="4A3EF8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31F6A51" w14:textId="77777777" w:rsidTr="006D7BCD">
        <w:trPr>
          <w:trHeight w:val="840"/>
        </w:trPr>
        <w:tc>
          <w:tcPr>
            <w:tcW w:w="2978" w:type="dxa"/>
            <w:shd w:val="clear" w:color="auto" w:fill="auto"/>
            <w:hideMark/>
          </w:tcPr>
          <w:p w14:paraId="0C1CC3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681DC7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EF410C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de Heredia</w:t>
            </w:r>
          </w:p>
        </w:tc>
        <w:tc>
          <w:tcPr>
            <w:tcW w:w="3402" w:type="dxa"/>
            <w:shd w:val="clear" w:color="auto" w:fill="auto"/>
            <w:vAlign w:val="center"/>
            <w:hideMark/>
          </w:tcPr>
          <w:p w14:paraId="7434A8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C029C3A" w14:textId="77777777" w:rsidTr="006D7BCD">
        <w:trPr>
          <w:trHeight w:val="840"/>
        </w:trPr>
        <w:tc>
          <w:tcPr>
            <w:tcW w:w="2978" w:type="dxa"/>
            <w:shd w:val="clear" w:color="auto" w:fill="auto"/>
            <w:hideMark/>
          </w:tcPr>
          <w:p w14:paraId="073E61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F2D18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01F0C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de Santa Cruz</w:t>
            </w:r>
          </w:p>
        </w:tc>
        <w:tc>
          <w:tcPr>
            <w:tcW w:w="3402" w:type="dxa"/>
            <w:shd w:val="clear" w:color="auto" w:fill="auto"/>
            <w:vAlign w:val="center"/>
            <w:hideMark/>
          </w:tcPr>
          <w:p w14:paraId="423A274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61D3AAC" w14:textId="77777777" w:rsidTr="006D7BCD">
        <w:trPr>
          <w:trHeight w:val="840"/>
        </w:trPr>
        <w:tc>
          <w:tcPr>
            <w:tcW w:w="2978" w:type="dxa"/>
            <w:shd w:val="clear" w:color="auto" w:fill="auto"/>
            <w:hideMark/>
          </w:tcPr>
          <w:p w14:paraId="1B302A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1DA2F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A6804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Segundo Circuito Judicial de San Jose</w:t>
            </w:r>
          </w:p>
        </w:tc>
        <w:tc>
          <w:tcPr>
            <w:tcW w:w="3402" w:type="dxa"/>
            <w:shd w:val="clear" w:color="auto" w:fill="auto"/>
            <w:vAlign w:val="center"/>
            <w:hideMark/>
          </w:tcPr>
          <w:p w14:paraId="1393547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EC64F6B" w14:textId="77777777" w:rsidTr="006D7BCD">
        <w:trPr>
          <w:trHeight w:val="840"/>
        </w:trPr>
        <w:tc>
          <w:tcPr>
            <w:tcW w:w="2978" w:type="dxa"/>
            <w:shd w:val="clear" w:color="auto" w:fill="auto"/>
            <w:hideMark/>
          </w:tcPr>
          <w:p w14:paraId="7A60843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3BE1B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F2C745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Especializado de Cobro II Circuito Judicial de San Jose</w:t>
            </w:r>
          </w:p>
        </w:tc>
        <w:tc>
          <w:tcPr>
            <w:tcW w:w="3402" w:type="dxa"/>
            <w:shd w:val="clear" w:color="auto" w:fill="auto"/>
            <w:vAlign w:val="center"/>
            <w:hideMark/>
          </w:tcPr>
          <w:p w14:paraId="3778C2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20F23BF" w14:textId="77777777" w:rsidTr="006D7BCD">
        <w:trPr>
          <w:trHeight w:val="840"/>
        </w:trPr>
        <w:tc>
          <w:tcPr>
            <w:tcW w:w="2978" w:type="dxa"/>
            <w:shd w:val="clear" w:color="auto" w:fill="auto"/>
            <w:hideMark/>
          </w:tcPr>
          <w:p w14:paraId="08E194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10E1A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52442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Batán</w:t>
            </w:r>
          </w:p>
        </w:tc>
        <w:tc>
          <w:tcPr>
            <w:tcW w:w="3402" w:type="dxa"/>
            <w:shd w:val="clear" w:color="auto" w:fill="auto"/>
            <w:vAlign w:val="center"/>
            <w:hideMark/>
          </w:tcPr>
          <w:p w14:paraId="7B14A5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5293710" w14:textId="77777777" w:rsidTr="006D7BCD">
        <w:trPr>
          <w:trHeight w:val="840"/>
        </w:trPr>
        <w:tc>
          <w:tcPr>
            <w:tcW w:w="2978" w:type="dxa"/>
            <w:shd w:val="clear" w:color="auto" w:fill="auto"/>
            <w:hideMark/>
          </w:tcPr>
          <w:p w14:paraId="79DB4A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CD544B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CB97DA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Buenos Aires</w:t>
            </w:r>
          </w:p>
        </w:tc>
        <w:tc>
          <w:tcPr>
            <w:tcW w:w="3402" w:type="dxa"/>
            <w:shd w:val="clear" w:color="auto" w:fill="auto"/>
            <w:vAlign w:val="center"/>
            <w:hideMark/>
          </w:tcPr>
          <w:p w14:paraId="0315C4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E25F27E" w14:textId="77777777" w:rsidTr="006D7BCD">
        <w:trPr>
          <w:trHeight w:val="840"/>
        </w:trPr>
        <w:tc>
          <w:tcPr>
            <w:tcW w:w="2978" w:type="dxa"/>
            <w:shd w:val="clear" w:color="auto" w:fill="auto"/>
            <w:hideMark/>
          </w:tcPr>
          <w:p w14:paraId="493247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28F52A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6079564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Coto Brus</w:t>
            </w:r>
          </w:p>
        </w:tc>
        <w:tc>
          <w:tcPr>
            <w:tcW w:w="3402" w:type="dxa"/>
            <w:shd w:val="clear" w:color="auto" w:fill="auto"/>
            <w:vAlign w:val="center"/>
            <w:hideMark/>
          </w:tcPr>
          <w:p w14:paraId="29EF589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33E82A7" w14:textId="77777777" w:rsidTr="006D7BCD">
        <w:trPr>
          <w:trHeight w:val="840"/>
        </w:trPr>
        <w:tc>
          <w:tcPr>
            <w:tcW w:w="2978" w:type="dxa"/>
            <w:shd w:val="clear" w:color="auto" w:fill="auto"/>
            <w:hideMark/>
          </w:tcPr>
          <w:p w14:paraId="70D4A5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8E249B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C327E4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Garabito</w:t>
            </w:r>
          </w:p>
        </w:tc>
        <w:tc>
          <w:tcPr>
            <w:tcW w:w="3402" w:type="dxa"/>
            <w:shd w:val="clear" w:color="auto" w:fill="auto"/>
            <w:vAlign w:val="center"/>
            <w:hideMark/>
          </w:tcPr>
          <w:p w14:paraId="0823DF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52D2E12" w14:textId="77777777" w:rsidTr="006D7BCD">
        <w:trPr>
          <w:trHeight w:val="840"/>
        </w:trPr>
        <w:tc>
          <w:tcPr>
            <w:tcW w:w="2978" w:type="dxa"/>
            <w:shd w:val="clear" w:color="auto" w:fill="auto"/>
            <w:hideMark/>
          </w:tcPr>
          <w:p w14:paraId="702733C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AF973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EC9BC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Golfito</w:t>
            </w:r>
          </w:p>
        </w:tc>
        <w:tc>
          <w:tcPr>
            <w:tcW w:w="3402" w:type="dxa"/>
            <w:shd w:val="clear" w:color="auto" w:fill="auto"/>
            <w:vAlign w:val="center"/>
            <w:hideMark/>
          </w:tcPr>
          <w:p w14:paraId="5C44C45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F714F4B" w14:textId="77777777" w:rsidTr="006D7BCD">
        <w:trPr>
          <w:trHeight w:val="840"/>
        </w:trPr>
        <w:tc>
          <w:tcPr>
            <w:tcW w:w="2978" w:type="dxa"/>
            <w:shd w:val="clear" w:color="auto" w:fill="auto"/>
            <w:hideMark/>
          </w:tcPr>
          <w:p w14:paraId="414D5B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FAA0A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95C5E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Hatillo</w:t>
            </w:r>
          </w:p>
        </w:tc>
        <w:tc>
          <w:tcPr>
            <w:tcW w:w="3402" w:type="dxa"/>
            <w:shd w:val="clear" w:color="auto" w:fill="auto"/>
            <w:vAlign w:val="center"/>
            <w:hideMark/>
          </w:tcPr>
          <w:p w14:paraId="779162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1A61E73" w14:textId="77777777" w:rsidTr="006D7BCD">
        <w:trPr>
          <w:trHeight w:val="840"/>
        </w:trPr>
        <w:tc>
          <w:tcPr>
            <w:tcW w:w="2978" w:type="dxa"/>
            <w:shd w:val="clear" w:color="auto" w:fill="auto"/>
            <w:hideMark/>
          </w:tcPr>
          <w:p w14:paraId="58FBA10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85D468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D67CA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Heredia</w:t>
            </w:r>
          </w:p>
        </w:tc>
        <w:tc>
          <w:tcPr>
            <w:tcW w:w="3402" w:type="dxa"/>
            <w:shd w:val="clear" w:color="auto" w:fill="auto"/>
            <w:vAlign w:val="center"/>
            <w:hideMark/>
          </w:tcPr>
          <w:p w14:paraId="51BFAEE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3FD5CE6" w14:textId="77777777" w:rsidTr="006D7BCD">
        <w:trPr>
          <w:trHeight w:val="840"/>
        </w:trPr>
        <w:tc>
          <w:tcPr>
            <w:tcW w:w="2978" w:type="dxa"/>
            <w:shd w:val="clear" w:color="auto" w:fill="auto"/>
            <w:hideMark/>
          </w:tcPr>
          <w:p w14:paraId="1CEAFAA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D9E4F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D6661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Osa</w:t>
            </w:r>
          </w:p>
        </w:tc>
        <w:tc>
          <w:tcPr>
            <w:tcW w:w="3402" w:type="dxa"/>
            <w:shd w:val="clear" w:color="auto" w:fill="auto"/>
            <w:vAlign w:val="center"/>
            <w:hideMark/>
          </w:tcPr>
          <w:p w14:paraId="1BB183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4619EA5" w14:textId="77777777" w:rsidTr="006D7BCD">
        <w:trPr>
          <w:trHeight w:val="840"/>
        </w:trPr>
        <w:tc>
          <w:tcPr>
            <w:tcW w:w="2978" w:type="dxa"/>
            <w:shd w:val="clear" w:color="auto" w:fill="auto"/>
            <w:hideMark/>
          </w:tcPr>
          <w:p w14:paraId="29E1887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C3E38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A10CB5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Pavas</w:t>
            </w:r>
          </w:p>
        </w:tc>
        <w:tc>
          <w:tcPr>
            <w:tcW w:w="3402" w:type="dxa"/>
            <w:shd w:val="clear" w:color="auto" w:fill="auto"/>
            <w:vAlign w:val="center"/>
            <w:hideMark/>
          </w:tcPr>
          <w:p w14:paraId="4156A7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1B8DF5A" w14:textId="77777777" w:rsidTr="006D7BCD">
        <w:trPr>
          <w:trHeight w:val="840"/>
        </w:trPr>
        <w:tc>
          <w:tcPr>
            <w:tcW w:w="2978" w:type="dxa"/>
            <w:shd w:val="clear" w:color="auto" w:fill="auto"/>
            <w:hideMark/>
          </w:tcPr>
          <w:p w14:paraId="200FF3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EFFAA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12BFD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Puntarenas, Sede Cóbano</w:t>
            </w:r>
          </w:p>
        </w:tc>
        <w:tc>
          <w:tcPr>
            <w:tcW w:w="3402" w:type="dxa"/>
            <w:shd w:val="clear" w:color="auto" w:fill="auto"/>
            <w:vAlign w:val="center"/>
            <w:hideMark/>
          </w:tcPr>
          <w:p w14:paraId="1FBB5BA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EDB1026" w14:textId="77777777" w:rsidTr="006D7BCD">
        <w:trPr>
          <w:trHeight w:val="840"/>
        </w:trPr>
        <w:tc>
          <w:tcPr>
            <w:tcW w:w="2978" w:type="dxa"/>
            <w:shd w:val="clear" w:color="auto" w:fill="auto"/>
            <w:hideMark/>
          </w:tcPr>
          <w:p w14:paraId="5C5D61E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582A00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F4232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Puriscal</w:t>
            </w:r>
          </w:p>
        </w:tc>
        <w:tc>
          <w:tcPr>
            <w:tcW w:w="3402" w:type="dxa"/>
            <w:shd w:val="clear" w:color="auto" w:fill="auto"/>
            <w:vAlign w:val="center"/>
            <w:hideMark/>
          </w:tcPr>
          <w:p w14:paraId="298783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66C0285" w14:textId="77777777" w:rsidTr="006D7BCD">
        <w:trPr>
          <w:trHeight w:val="840"/>
        </w:trPr>
        <w:tc>
          <w:tcPr>
            <w:tcW w:w="2978" w:type="dxa"/>
            <w:shd w:val="clear" w:color="auto" w:fill="auto"/>
            <w:hideMark/>
          </w:tcPr>
          <w:p w14:paraId="450771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99DD4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6F684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Sarapiquí</w:t>
            </w:r>
          </w:p>
        </w:tc>
        <w:tc>
          <w:tcPr>
            <w:tcW w:w="3402" w:type="dxa"/>
            <w:shd w:val="clear" w:color="auto" w:fill="auto"/>
            <w:vAlign w:val="center"/>
            <w:hideMark/>
          </w:tcPr>
          <w:p w14:paraId="7A41B93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488138A" w14:textId="77777777" w:rsidTr="006D7BCD">
        <w:trPr>
          <w:trHeight w:val="840"/>
        </w:trPr>
        <w:tc>
          <w:tcPr>
            <w:tcW w:w="2978" w:type="dxa"/>
            <w:shd w:val="clear" w:color="auto" w:fill="auto"/>
            <w:hideMark/>
          </w:tcPr>
          <w:p w14:paraId="38A98C5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B79F8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14387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Talamanca</w:t>
            </w:r>
          </w:p>
        </w:tc>
        <w:tc>
          <w:tcPr>
            <w:tcW w:w="3402" w:type="dxa"/>
            <w:shd w:val="clear" w:color="auto" w:fill="auto"/>
            <w:vAlign w:val="center"/>
            <w:hideMark/>
          </w:tcPr>
          <w:p w14:paraId="46AEA1F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8A742DD" w14:textId="77777777" w:rsidTr="006D7BCD">
        <w:trPr>
          <w:trHeight w:val="840"/>
        </w:trPr>
        <w:tc>
          <w:tcPr>
            <w:tcW w:w="2978" w:type="dxa"/>
            <w:shd w:val="clear" w:color="auto" w:fill="auto"/>
            <w:hideMark/>
          </w:tcPr>
          <w:p w14:paraId="63625F4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4FEF532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2B56103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Turrialba</w:t>
            </w:r>
          </w:p>
        </w:tc>
        <w:tc>
          <w:tcPr>
            <w:tcW w:w="3402" w:type="dxa"/>
            <w:shd w:val="clear" w:color="auto" w:fill="auto"/>
            <w:vAlign w:val="center"/>
            <w:hideMark/>
          </w:tcPr>
          <w:p w14:paraId="1FB9741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1164CD8" w14:textId="77777777" w:rsidTr="006D7BCD">
        <w:trPr>
          <w:trHeight w:val="840"/>
        </w:trPr>
        <w:tc>
          <w:tcPr>
            <w:tcW w:w="2978" w:type="dxa"/>
            <w:shd w:val="clear" w:color="auto" w:fill="auto"/>
            <w:hideMark/>
          </w:tcPr>
          <w:p w14:paraId="33BCEE1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2064E4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6F5F1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Upala</w:t>
            </w:r>
          </w:p>
        </w:tc>
        <w:tc>
          <w:tcPr>
            <w:tcW w:w="3402" w:type="dxa"/>
            <w:shd w:val="clear" w:color="auto" w:fill="auto"/>
            <w:vAlign w:val="center"/>
            <w:hideMark/>
          </w:tcPr>
          <w:p w14:paraId="544E0B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3A16FB0" w14:textId="77777777" w:rsidTr="006D7BCD">
        <w:trPr>
          <w:trHeight w:val="840"/>
        </w:trPr>
        <w:tc>
          <w:tcPr>
            <w:tcW w:w="2978" w:type="dxa"/>
            <w:shd w:val="clear" w:color="auto" w:fill="auto"/>
            <w:hideMark/>
          </w:tcPr>
          <w:p w14:paraId="5F8EC97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3D2DF2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BC697C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Alajuela, Sede Atenas</w:t>
            </w:r>
          </w:p>
        </w:tc>
        <w:tc>
          <w:tcPr>
            <w:tcW w:w="3402" w:type="dxa"/>
            <w:shd w:val="clear" w:color="auto" w:fill="auto"/>
            <w:vAlign w:val="center"/>
            <w:hideMark/>
          </w:tcPr>
          <w:p w14:paraId="1CB8AB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A5D6685" w14:textId="77777777" w:rsidTr="006D7BCD">
        <w:trPr>
          <w:trHeight w:val="840"/>
        </w:trPr>
        <w:tc>
          <w:tcPr>
            <w:tcW w:w="2978" w:type="dxa"/>
            <w:shd w:val="clear" w:color="auto" w:fill="auto"/>
            <w:hideMark/>
          </w:tcPr>
          <w:p w14:paraId="1346A0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7901DA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ECDE6E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Alajuela</w:t>
            </w:r>
          </w:p>
        </w:tc>
        <w:tc>
          <w:tcPr>
            <w:tcW w:w="3402" w:type="dxa"/>
            <w:shd w:val="clear" w:color="auto" w:fill="auto"/>
            <w:vAlign w:val="center"/>
            <w:hideMark/>
          </w:tcPr>
          <w:p w14:paraId="0C2033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6B39640" w14:textId="77777777" w:rsidTr="006D7BCD">
        <w:trPr>
          <w:trHeight w:val="840"/>
        </w:trPr>
        <w:tc>
          <w:tcPr>
            <w:tcW w:w="2978" w:type="dxa"/>
            <w:shd w:val="clear" w:color="auto" w:fill="auto"/>
            <w:hideMark/>
          </w:tcPr>
          <w:p w14:paraId="7C32C9B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37163A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00990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la Zona Atlántica</w:t>
            </w:r>
          </w:p>
        </w:tc>
        <w:tc>
          <w:tcPr>
            <w:tcW w:w="3402" w:type="dxa"/>
            <w:shd w:val="clear" w:color="auto" w:fill="auto"/>
            <w:vAlign w:val="center"/>
            <w:hideMark/>
          </w:tcPr>
          <w:p w14:paraId="39F6A8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A5CFEFD" w14:textId="77777777" w:rsidTr="006D7BCD">
        <w:trPr>
          <w:trHeight w:val="840"/>
        </w:trPr>
        <w:tc>
          <w:tcPr>
            <w:tcW w:w="2978" w:type="dxa"/>
            <w:shd w:val="clear" w:color="auto" w:fill="auto"/>
            <w:hideMark/>
          </w:tcPr>
          <w:p w14:paraId="7297F54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AAAAC4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0A095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San Jose</w:t>
            </w:r>
          </w:p>
        </w:tc>
        <w:tc>
          <w:tcPr>
            <w:tcW w:w="3402" w:type="dxa"/>
            <w:shd w:val="clear" w:color="auto" w:fill="auto"/>
            <w:vAlign w:val="center"/>
            <w:hideMark/>
          </w:tcPr>
          <w:p w14:paraId="7BA4BF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3C0DADD" w14:textId="77777777" w:rsidTr="006D7BCD">
        <w:trPr>
          <w:trHeight w:val="840"/>
        </w:trPr>
        <w:tc>
          <w:tcPr>
            <w:tcW w:w="2978" w:type="dxa"/>
            <w:shd w:val="clear" w:color="auto" w:fill="auto"/>
            <w:hideMark/>
          </w:tcPr>
          <w:p w14:paraId="5CAF32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83D15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A7380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II Circuito Judicial de Alajuela, Sede la Fortuna</w:t>
            </w:r>
          </w:p>
        </w:tc>
        <w:tc>
          <w:tcPr>
            <w:tcW w:w="3402" w:type="dxa"/>
            <w:shd w:val="clear" w:color="auto" w:fill="auto"/>
            <w:vAlign w:val="center"/>
            <w:hideMark/>
          </w:tcPr>
          <w:p w14:paraId="6C1885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37EB1C0" w14:textId="77777777" w:rsidTr="006D7BCD">
        <w:trPr>
          <w:trHeight w:val="840"/>
        </w:trPr>
        <w:tc>
          <w:tcPr>
            <w:tcW w:w="2978" w:type="dxa"/>
            <w:shd w:val="clear" w:color="auto" w:fill="auto"/>
            <w:hideMark/>
          </w:tcPr>
          <w:p w14:paraId="18990B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26893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0F124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II Circuito Judicial de Alajuela, Sede los Chiles</w:t>
            </w:r>
          </w:p>
        </w:tc>
        <w:tc>
          <w:tcPr>
            <w:tcW w:w="3402" w:type="dxa"/>
            <w:shd w:val="clear" w:color="auto" w:fill="auto"/>
            <w:vAlign w:val="center"/>
            <w:hideMark/>
          </w:tcPr>
          <w:p w14:paraId="7E057C4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90D0D9B" w14:textId="77777777" w:rsidTr="006D7BCD">
        <w:trPr>
          <w:trHeight w:val="840"/>
        </w:trPr>
        <w:tc>
          <w:tcPr>
            <w:tcW w:w="2978" w:type="dxa"/>
            <w:shd w:val="clear" w:color="auto" w:fill="auto"/>
            <w:hideMark/>
          </w:tcPr>
          <w:p w14:paraId="1E75DE8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AE5C6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C0A06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 Jud. Guanacaste</w:t>
            </w:r>
          </w:p>
        </w:tc>
        <w:tc>
          <w:tcPr>
            <w:tcW w:w="3402" w:type="dxa"/>
            <w:shd w:val="clear" w:color="auto" w:fill="auto"/>
            <w:vAlign w:val="center"/>
            <w:hideMark/>
          </w:tcPr>
          <w:p w14:paraId="37BAEC6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77F5907" w14:textId="77777777" w:rsidTr="006D7BCD">
        <w:trPr>
          <w:trHeight w:val="840"/>
        </w:trPr>
        <w:tc>
          <w:tcPr>
            <w:tcW w:w="2978" w:type="dxa"/>
            <w:shd w:val="clear" w:color="auto" w:fill="auto"/>
            <w:hideMark/>
          </w:tcPr>
          <w:p w14:paraId="24CFBE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0C7B5F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89C314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Circuito Judicial de San Jose</w:t>
            </w:r>
          </w:p>
        </w:tc>
        <w:tc>
          <w:tcPr>
            <w:tcW w:w="3402" w:type="dxa"/>
            <w:shd w:val="clear" w:color="auto" w:fill="auto"/>
            <w:vAlign w:val="center"/>
            <w:hideMark/>
          </w:tcPr>
          <w:p w14:paraId="3B1A356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5F470AC" w14:textId="77777777" w:rsidTr="006D7BCD">
        <w:trPr>
          <w:trHeight w:val="840"/>
        </w:trPr>
        <w:tc>
          <w:tcPr>
            <w:tcW w:w="2978" w:type="dxa"/>
            <w:shd w:val="clear" w:color="auto" w:fill="auto"/>
            <w:hideMark/>
          </w:tcPr>
          <w:p w14:paraId="6B874C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093129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53D89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Circuito Judicial Zona Sur</w:t>
            </w:r>
          </w:p>
        </w:tc>
        <w:tc>
          <w:tcPr>
            <w:tcW w:w="3402" w:type="dxa"/>
            <w:shd w:val="clear" w:color="auto" w:fill="auto"/>
            <w:vAlign w:val="center"/>
            <w:hideMark/>
          </w:tcPr>
          <w:p w14:paraId="04D54CE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E04CBAA" w14:textId="77777777" w:rsidTr="006D7BCD">
        <w:trPr>
          <w:trHeight w:val="840"/>
        </w:trPr>
        <w:tc>
          <w:tcPr>
            <w:tcW w:w="2978" w:type="dxa"/>
            <w:shd w:val="clear" w:color="auto" w:fill="auto"/>
            <w:hideMark/>
          </w:tcPr>
          <w:p w14:paraId="0D932A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61DD32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7DEBA9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III Circ. Jud. de Alajuela (San Ramón)</w:t>
            </w:r>
          </w:p>
        </w:tc>
        <w:tc>
          <w:tcPr>
            <w:tcW w:w="3402" w:type="dxa"/>
            <w:shd w:val="clear" w:color="auto" w:fill="auto"/>
            <w:vAlign w:val="center"/>
            <w:hideMark/>
          </w:tcPr>
          <w:p w14:paraId="54DEAFA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5668E6A" w14:textId="77777777" w:rsidTr="006D7BCD">
        <w:trPr>
          <w:trHeight w:val="840"/>
        </w:trPr>
        <w:tc>
          <w:tcPr>
            <w:tcW w:w="2978" w:type="dxa"/>
            <w:shd w:val="clear" w:color="auto" w:fill="auto"/>
            <w:hideMark/>
          </w:tcPr>
          <w:p w14:paraId="190635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E42AD0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EF406A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III Circuito Judicial de San Jose</w:t>
            </w:r>
          </w:p>
        </w:tc>
        <w:tc>
          <w:tcPr>
            <w:tcW w:w="3402" w:type="dxa"/>
            <w:shd w:val="clear" w:color="auto" w:fill="auto"/>
            <w:vAlign w:val="center"/>
            <w:hideMark/>
          </w:tcPr>
          <w:p w14:paraId="72B143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B2A2945" w14:textId="77777777" w:rsidTr="006D7BCD">
        <w:trPr>
          <w:trHeight w:val="840"/>
        </w:trPr>
        <w:tc>
          <w:tcPr>
            <w:tcW w:w="2978" w:type="dxa"/>
            <w:shd w:val="clear" w:color="auto" w:fill="auto"/>
            <w:hideMark/>
          </w:tcPr>
          <w:p w14:paraId="1A7224A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7F480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A0198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Cartago</w:t>
            </w:r>
          </w:p>
        </w:tc>
        <w:tc>
          <w:tcPr>
            <w:tcW w:w="3402" w:type="dxa"/>
            <w:shd w:val="clear" w:color="auto" w:fill="auto"/>
            <w:vAlign w:val="center"/>
            <w:hideMark/>
          </w:tcPr>
          <w:p w14:paraId="5A4243A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4AB2822" w14:textId="77777777" w:rsidTr="006D7BCD">
        <w:trPr>
          <w:trHeight w:val="840"/>
        </w:trPr>
        <w:tc>
          <w:tcPr>
            <w:tcW w:w="2978" w:type="dxa"/>
            <w:shd w:val="clear" w:color="auto" w:fill="auto"/>
            <w:hideMark/>
          </w:tcPr>
          <w:p w14:paraId="5B7E20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0B084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EE05A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Heredia</w:t>
            </w:r>
          </w:p>
        </w:tc>
        <w:tc>
          <w:tcPr>
            <w:tcW w:w="3402" w:type="dxa"/>
            <w:shd w:val="clear" w:color="auto" w:fill="auto"/>
            <w:vAlign w:val="center"/>
            <w:hideMark/>
          </w:tcPr>
          <w:p w14:paraId="600115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EB865FD" w14:textId="77777777" w:rsidTr="006D7BCD">
        <w:trPr>
          <w:trHeight w:val="840"/>
        </w:trPr>
        <w:tc>
          <w:tcPr>
            <w:tcW w:w="2978" w:type="dxa"/>
            <w:shd w:val="clear" w:color="auto" w:fill="auto"/>
            <w:hideMark/>
          </w:tcPr>
          <w:p w14:paraId="552F76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8E581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7ACCF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Puntarenas</w:t>
            </w:r>
          </w:p>
        </w:tc>
        <w:tc>
          <w:tcPr>
            <w:tcW w:w="3402" w:type="dxa"/>
            <w:shd w:val="clear" w:color="auto" w:fill="auto"/>
            <w:vAlign w:val="center"/>
            <w:hideMark/>
          </w:tcPr>
          <w:p w14:paraId="7BA4DC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8DE03A4" w14:textId="77777777" w:rsidTr="006D7BCD">
        <w:trPr>
          <w:trHeight w:val="840"/>
        </w:trPr>
        <w:tc>
          <w:tcPr>
            <w:tcW w:w="2978" w:type="dxa"/>
            <w:shd w:val="clear" w:color="auto" w:fill="auto"/>
            <w:hideMark/>
          </w:tcPr>
          <w:p w14:paraId="032D84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4519F9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A632F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San Jose</w:t>
            </w:r>
          </w:p>
        </w:tc>
        <w:tc>
          <w:tcPr>
            <w:tcW w:w="3402" w:type="dxa"/>
            <w:shd w:val="clear" w:color="auto" w:fill="auto"/>
            <w:vAlign w:val="center"/>
            <w:hideMark/>
          </w:tcPr>
          <w:p w14:paraId="5A30B0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60D4139" w14:textId="77777777" w:rsidTr="006D7BCD">
        <w:trPr>
          <w:trHeight w:val="840"/>
        </w:trPr>
        <w:tc>
          <w:tcPr>
            <w:tcW w:w="2978" w:type="dxa"/>
            <w:shd w:val="clear" w:color="auto" w:fill="auto"/>
            <w:hideMark/>
          </w:tcPr>
          <w:p w14:paraId="183E712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E880F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4D235F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del I Circuito Judicial de la Zona Atlántica</w:t>
            </w:r>
          </w:p>
        </w:tc>
        <w:tc>
          <w:tcPr>
            <w:tcW w:w="3402" w:type="dxa"/>
            <w:shd w:val="clear" w:color="auto" w:fill="auto"/>
            <w:vAlign w:val="center"/>
            <w:hideMark/>
          </w:tcPr>
          <w:p w14:paraId="7F6DE5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4B6ED7C" w14:textId="77777777" w:rsidTr="006D7BCD">
        <w:trPr>
          <w:trHeight w:val="840"/>
        </w:trPr>
        <w:tc>
          <w:tcPr>
            <w:tcW w:w="2978" w:type="dxa"/>
            <w:shd w:val="clear" w:color="auto" w:fill="auto"/>
            <w:hideMark/>
          </w:tcPr>
          <w:p w14:paraId="358BF5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54CBE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C3E49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 Circuito Judicial Zona Sur</w:t>
            </w:r>
          </w:p>
        </w:tc>
        <w:tc>
          <w:tcPr>
            <w:tcW w:w="3402" w:type="dxa"/>
            <w:shd w:val="clear" w:color="auto" w:fill="auto"/>
            <w:vAlign w:val="center"/>
            <w:hideMark/>
          </w:tcPr>
          <w:p w14:paraId="7C9F421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4C8E35E" w14:textId="77777777" w:rsidTr="006D7BCD">
        <w:trPr>
          <w:trHeight w:val="840"/>
        </w:trPr>
        <w:tc>
          <w:tcPr>
            <w:tcW w:w="2978" w:type="dxa"/>
            <w:shd w:val="clear" w:color="auto" w:fill="auto"/>
            <w:hideMark/>
          </w:tcPr>
          <w:p w14:paraId="78C157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C34B5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D22248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Alajuela</w:t>
            </w:r>
          </w:p>
        </w:tc>
        <w:tc>
          <w:tcPr>
            <w:tcW w:w="3402" w:type="dxa"/>
            <w:shd w:val="clear" w:color="auto" w:fill="auto"/>
            <w:vAlign w:val="center"/>
            <w:hideMark/>
          </w:tcPr>
          <w:p w14:paraId="21E0B6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C6C9035" w14:textId="77777777" w:rsidTr="006D7BCD">
        <w:trPr>
          <w:trHeight w:val="840"/>
        </w:trPr>
        <w:tc>
          <w:tcPr>
            <w:tcW w:w="2978" w:type="dxa"/>
            <w:shd w:val="clear" w:color="auto" w:fill="auto"/>
            <w:hideMark/>
          </w:tcPr>
          <w:p w14:paraId="69C76F4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305DB3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2B81C6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Atlántica</w:t>
            </w:r>
          </w:p>
        </w:tc>
        <w:tc>
          <w:tcPr>
            <w:tcW w:w="3402" w:type="dxa"/>
            <w:shd w:val="clear" w:color="auto" w:fill="auto"/>
            <w:vAlign w:val="center"/>
            <w:hideMark/>
          </w:tcPr>
          <w:p w14:paraId="5C25AD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5915EDA" w14:textId="77777777" w:rsidTr="006D7BCD">
        <w:trPr>
          <w:trHeight w:val="840"/>
        </w:trPr>
        <w:tc>
          <w:tcPr>
            <w:tcW w:w="2978" w:type="dxa"/>
            <w:shd w:val="clear" w:color="auto" w:fill="auto"/>
            <w:hideMark/>
          </w:tcPr>
          <w:p w14:paraId="5BE51B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F69F8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F5FAD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Sur</w:t>
            </w:r>
          </w:p>
        </w:tc>
        <w:tc>
          <w:tcPr>
            <w:tcW w:w="3402" w:type="dxa"/>
            <w:shd w:val="clear" w:color="auto" w:fill="auto"/>
            <w:vAlign w:val="center"/>
            <w:hideMark/>
          </w:tcPr>
          <w:p w14:paraId="3494A5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AC58C74" w14:textId="77777777" w:rsidTr="006D7BCD">
        <w:trPr>
          <w:trHeight w:val="840"/>
        </w:trPr>
        <w:tc>
          <w:tcPr>
            <w:tcW w:w="2978" w:type="dxa"/>
            <w:shd w:val="clear" w:color="auto" w:fill="auto"/>
            <w:hideMark/>
          </w:tcPr>
          <w:p w14:paraId="74F0B12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50C9FF5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705566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III Circuito Judicial Alajuela (San Ramón)</w:t>
            </w:r>
          </w:p>
        </w:tc>
        <w:tc>
          <w:tcPr>
            <w:tcW w:w="3402" w:type="dxa"/>
            <w:shd w:val="clear" w:color="auto" w:fill="auto"/>
            <w:vAlign w:val="center"/>
            <w:hideMark/>
          </w:tcPr>
          <w:p w14:paraId="175C4B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B8634DE" w14:textId="77777777" w:rsidTr="006D7BCD">
        <w:trPr>
          <w:trHeight w:val="840"/>
        </w:trPr>
        <w:tc>
          <w:tcPr>
            <w:tcW w:w="2978" w:type="dxa"/>
            <w:shd w:val="clear" w:color="auto" w:fill="auto"/>
            <w:hideMark/>
          </w:tcPr>
          <w:p w14:paraId="17AA16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32A6C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D94003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Protección Cautelar Escazú</w:t>
            </w:r>
          </w:p>
        </w:tc>
        <w:tc>
          <w:tcPr>
            <w:tcW w:w="3402" w:type="dxa"/>
            <w:shd w:val="clear" w:color="auto" w:fill="auto"/>
            <w:vAlign w:val="center"/>
            <w:hideMark/>
          </w:tcPr>
          <w:p w14:paraId="71DA37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DABFAFD" w14:textId="77777777" w:rsidTr="006D7BCD">
        <w:trPr>
          <w:trHeight w:val="840"/>
        </w:trPr>
        <w:tc>
          <w:tcPr>
            <w:tcW w:w="2978" w:type="dxa"/>
            <w:shd w:val="clear" w:color="auto" w:fill="auto"/>
            <w:hideMark/>
          </w:tcPr>
          <w:p w14:paraId="46A6FF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FA44C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D0E3E6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Protección Cautelar Pavas</w:t>
            </w:r>
          </w:p>
        </w:tc>
        <w:tc>
          <w:tcPr>
            <w:tcW w:w="3402" w:type="dxa"/>
            <w:shd w:val="clear" w:color="auto" w:fill="auto"/>
            <w:vAlign w:val="center"/>
            <w:hideMark/>
          </w:tcPr>
          <w:p w14:paraId="167C67E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AEBD0B3" w14:textId="77777777" w:rsidTr="006D7BCD">
        <w:trPr>
          <w:trHeight w:val="840"/>
        </w:trPr>
        <w:tc>
          <w:tcPr>
            <w:tcW w:w="2978" w:type="dxa"/>
            <w:shd w:val="clear" w:color="auto" w:fill="auto"/>
            <w:hideMark/>
          </w:tcPr>
          <w:p w14:paraId="09C89A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FDAD0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874EF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Primero Especializado de Cobro I Circuito Judicial de San Jose</w:t>
            </w:r>
          </w:p>
        </w:tc>
        <w:tc>
          <w:tcPr>
            <w:tcW w:w="3402" w:type="dxa"/>
            <w:shd w:val="clear" w:color="auto" w:fill="auto"/>
            <w:vAlign w:val="center"/>
            <w:hideMark/>
          </w:tcPr>
          <w:p w14:paraId="791DE51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D92741D" w14:textId="77777777" w:rsidTr="006D7BCD">
        <w:trPr>
          <w:trHeight w:val="840"/>
        </w:trPr>
        <w:tc>
          <w:tcPr>
            <w:tcW w:w="2978" w:type="dxa"/>
            <w:shd w:val="clear" w:color="auto" w:fill="auto"/>
            <w:hideMark/>
          </w:tcPr>
          <w:p w14:paraId="13B20F0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0F6B1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303181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Tercero Especializado de Cobro I Circuito Judicial de San Jose</w:t>
            </w:r>
          </w:p>
        </w:tc>
        <w:tc>
          <w:tcPr>
            <w:tcW w:w="3402" w:type="dxa"/>
            <w:shd w:val="clear" w:color="auto" w:fill="auto"/>
            <w:vAlign w:val="center"/>
            <w:hideMark/>
          </w:tcPr>
          <w:p w14:paraId="28C01F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F0DA09C" w14:textId="77777777" w:rsidTr="006D7BCD">
        <w:trPr>
          <w:trHeight w:val="840"/>
        </w:trPr>
        <w:tc>
          <w:tcPr>
            <w:tcW w:w="2978" w:type="dxa"/>
            <w:shd w:val="clear" w:color="auto" w:fill="auto"/>
            <w:hideMark/>
          </w:tcPr>
          <w:p w14:paraId="267D7A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6DC73C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25224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de Comunicaciones Judiciales I Circuito Judicial Guanacaste</w:t>
            </w:r>
          </w:p>
        </w:tc>
        <w:tc>
          <w:tcPr>
            <w:tcW w:w="3402" w:type="dxa"/>
            <w:shd w:val="clear" w:color="auto" w:fill="auto"/>
            <w:vAlign w:val="center"/>
            <w:hideMark/>
          </w:tcPr>
          <w:p w14:paraId="646197E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E5D9665" w14:textId="77777777" w:rsidTr="006D7BCD">
        <w:trPr>
          <w:trHeight w:val="840"/>
        </w:trPr>
        <w:tc>
          <w:tcPr>
            <w:tcW w:w="2978" w:type="dxa"/>
            <w:shd w:val="clear" w:color="auto" w:fill="auto"/>
            <w:hideMark/>
          </w:tcPr>
          <w:p w14:paraId="18D747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5E985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AB6EC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Sala Segunda</w:t>
            </w:r>
          </w:p>
        </w:tc>
        <w:tc>
          <w:tcPr>
            <w:tcW w:w="3402" w:type="dxa"/>
            <w:shd w:val="clear" w:color="auto" w:fill="auto"/>
            <w:vAlign w:val="center"/>
            <w:hideMark/>
          </w:tcPr>
          <w:p w14:paraId="168B05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93E9FCA" w14:textId="77777777" w:rsidTr="006D7BCD">
        <w:trPr>
          <w:trHeight w:val="840"/>
        </w:trPr>
        <w:tc>
          <w:tcPr>
            <w:tcW w:w="2978" w:type="dxa"/>
            <w:shd w:val="clear" w:color="auto" w:fill="auto"/>
            <w:hideMark/>
          </w:tcPr>
          <w:p w14:paraId="175F9DA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A30A8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7BA286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Subdelegación Regional de Cañas</w:t>
            </w:r>
          </w:p>
        </w:tc>
        <w:tc>
          <w:tcPr>
            <w:tcW w:w="3402" w:type="dxa"/>
            <w:shd w:val="clear" w:color="auto" w:fill="auto"/>
            <w:vAlign w:val="center"/>
            <w:hideMark/>
          </w:tcPr>
          <w:p w14:paraId="4BABCF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C03840C" w14:textId="77777777" w:rsidTr="006D7BCD">
        <w:trPr>
          <w:trHeight w:val="840"/>
        </w:trPr>
        <w:tc>
          <w:tcPr>
            <w:tcW w:w="2978" w:type="dxa"/>
            <w:shd w:val="clear" w:color="auto" w:fill="auto"/>
            <w:hideMark/>
          </w:tcPr>
          <w:p w14:paraId="1284D80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D6087F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B4CFF7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Subproceso de Gestión Administrativa y Desarrollo</w:t>
            </w:r>
          </w:p>
        </w:tc>
        <w:tc>
          <w:tcPr>
            <w:tcW w:w="3402" w:type="dxa"/>
            <w:shd w:val="clear" w:color="auto" w:fill="auto"/>
            <w:vAlign w:val="center"/>
            <w:hideMark/>
          </w:tcPr>
          <w:p w14:paraId="63F2932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D59B943" w14:textId="77777777" w:rsidTr="006D7BCD">
        <w:trPr>
          <w:trHeight w:val="840"/>
        </w:trPr>
        <w:tc>
          <w:tcPr>
            <w:tcW w:w="2978" w:type="dxa"/>
            <w:shd w:val="clear" w:color="auto" w:fill="auto"/>
            <w:hideMark/>
          </w:tcPr>
          <w:p w14:paraId="5DEDB47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3325AF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DD835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Cartago</w:t>
            </w:r>
          </w:p>
        </w:tc>
        <w:tc>
          <w:tcPr>
            <w:tcW w:w="3402" w:type="dxa"/>
            <w:shd w:val="clear" w:color="auto" w:fill="auto"/>
            <w:vAlign w:val="center"/>
            <w:hideMark/>
          </w:tcPr>
          <w:p w14:paraId="2A80E18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DDB4A65" w14:textId="77777777" w:rsidTr="006D7BCD">
        <w:trPr>
          <w:trHeight w:val="840"/>
        </w:trPr>
        <w:tc>
          <w:tcPr>
            <w:tcW w:w="2978" w:type="dxa"/>
            <w:shd w:val="clear" w:color="auto" w:fill="auto"/>
            <w:hideMark/>
          </w:tcPr>
          <w:p w14:paraId="66250D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6807FB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AAF572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Heredia</w:t>
            </w:r>
          </w:p>
        </w:tc>
        <w:tc>
          <w:tcPr>
            <w:tcW w:w="3402" w:type="dxa"/>
            <w:shd w:val="clear" w:color="auto" w:fill="auto"/>
            <w:vAlign w:val="center"/>
            <w:hideMark/>
          </w:tcPr>
          <w:p w14:paraId="33AF79A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BE12C8E" w14:textId="77777777" w:rsidTr="006D7BCD">
        <w:trPr>
          <w:trHeight w:val="840"/>
        </w:trPr>
        <w:tc>
          <w:tcPr>
            <w:tcW w:w="2978" w:type="dxa"/>
            <w:shd w:val="clear" w:color="auto" w:fill="auto"/>
            <w:hideMark/>
          </w:tcPr>
          <w:p w14:paraId="10C1E42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795A6F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1D7573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 Circuito Jud. Zona Sur (Pérez Zeledón)</w:t>
            </w:r>
          </w:p>
        </w:tc>
        <w:tc>
          <w:tcPr>
            <w:tcW w:w="3402" w:type="dxa"/>
            <w:shd w:val="clear" w:color="auto" w:fill="auto"/>
            <w:vAlign w:val="center"/>
            <w:hideMark/>
          </w:tcPr>
          <w:p w14:paraId="3DD1276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F0BD083" w14:textId="77777777" w:rsidTr="006D7BCD">
        <w:trPr>
          <w:trHeight w:val="840"/>
        </w:trPr>
        <w:tc>
          <w:tcPr>
            <w:tcW w:w="2978" w:type="dxa"/>
            <w:shd w:val="clear" w:color="auto" w:fill="auto"/>
            <w:hideMark/>
          </w:tcPr>
          <w:p w14:paraId="2876F5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6B1B5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A863E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 Circuito Judicial Alajuela</w:t>
            </w:r>
          </w:p>
        </w:tc>
        <w:tc>
          <w:tcPr>
            <w:tcW w:w="3402" w:type="dxa"/>
            <w:shd w:val="clear" w:color="auto" w:fill="auto"/>
            <w:vAlign w:val="center"/>
            <w:hideMark/>
          </w:tcPr>
          <w:p w14:paraId="2B25AA8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2C7A52E" w14:textId="77777777" w:rsidTr="006D7BCD">
        <w:trPr>
          <w:trHeight w:val="840"/>
        </w:trPr>
        <w:tc>
          <w:tcPr>
            <w:tcW w:w="2978" w:type="dxa"/>
            <w:shd w:val="clear" w:color="auto" w:fill="auto"/>
            <w:hideMark/>
          </w:tcPr>
          <w:p w14:paraId="634B18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301F5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D385C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III Circuito Jud Alajuela (San Ramon)</w:t>
            </w:r>
          </w:p>
        </w:tc>
        <w:tc>
          <w:tcPr>
            <w:tcW w:w="3402" w:type="dxa"/>
            <w:shd w:val="clear" w:color="auto" w:fill="auto"/>
            <w:vAlign w:val="center"/>
            <w:hideMark/>
          </w:tcPr>
          <w:p w14:paraId="464C28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3E0CFE7" w14:textId="77777777" w:rsidTr="006D7BCD">
        <w:trPr>
          <w:trHeight w:val="840"/>
        </w:trPr>
        <w:tc>
          <w:tcPr>
            <w:tcW w:w="2978" w:type="dxa"/>
            <w:shd w:val="clear" w:color="auto" w:fill="auto"/>
            <w:hideMark/>
          </w:tcPr>
          <w:p w14:paraId="7018D7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40421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D854B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Puntarenas</w:t>
            </w:r>
          </w:p>
        </w:tc>
        <w:tc>
          <w:tcPr>
            <w:tcW w:w="3402" w:type="dxa"/>
            <w:shd w:val="clear" w:color="auto" w:fill="auto"/>
            <w:vAlign w:val="center"/>
            <w:hideMark/>
          </w:tcPr>
          <w:p w14:paraId="6DBA6C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A8B489B" w14:textId="77777777" w:rsidTr="006D7BCD">
        <w:trPr>
          <w:trHeight w:val="840"/>
        </w:trPr>
        <w:tc>
          <w:tcPr>
            <w:tcW w:w="2978" w:type="dxa"/>
            <w:shd w:val="clear" w:color="auto" w:fill="auto"/>
            <w:hideMark/>
          </w:tcPr>
          <w:p w14:paraId="029498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9A485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7B418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Contencioso Administrativo</w:t>
            </w:r>
          </w:p>
        </w:tc>
        <w:tc>
          <w:tcPr>
            <w:tcW w:w="3402" w:type="dxa"/>
            <w:shd w:val="clear" w:color="auto" w:fill="auto"/>
            <w:vAlign w:val="center"/>
            <w:hideMark/>
          </w:tcPr>
          <w:p w14:paraId="330D268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127ABA6" w14:textId="77777777" w:rsidTr="006D7BCD">
        <w:trPr>
          <w:trHeight w:val="840"/>
        </w:trPr>
        <w:tc>
          <w:tcPr>
            <w:tcW w:w="2978" w:type="dxa"/>
            <w:shd w:val="clear" w:color="auto" w:fill="auto"/>
            <w:hideMark/>
          </w:tcPr>
          <w:p w14:paraId="6C6D34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472DD7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5A628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Cartago, sede Turrialba</w:t>
            </w:r>
          </w:p>
        </w:tc>
        <w:tc>
          <w:tcPr>
            <w:tcW w:w="3402" w:type="dxa"/>
            <w:shd w:val="clear" w:color="auto" w:fill="auto"/>
            <w:vAlign w:val="center"/>
            <w:hideMark/>
          </w:tcPr>
          <w:p w14:paraId="427302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6F8C3A0" w14:textId="77777777" w:rsidTr="006D7BCD">
        <w:trPr>
          <w:trHeight w:val="840"/>
        </w:trPr>
        <w:tc>
          <w:tcPr>
            <w:tcW w:w="2978" w:type="dxa"/>
            <w:shd w:val="clear" w:color="auto" w:fill="auto"/>
            <w:hideMark/>
          </w:tcPr>
          <w:p w14:paraId="79F0F2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B9B660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3A568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Familia</w:t>
            </w:r>
          </w:p>
        </w:tc>
        <w:tc>
          <w:tcPr>
            <w:tcW w:w="3402" w:type="dxa"/>
            <w:shd w:val="clear" w:color="auto" w:fill="auto"/>
            <w:vAlign w:val="center"/>
            <w:hideMark/>
          </w:tcPr>
          <w:p w14:paraId="7BAF165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C753626" w14:textId="77777777" w:rsidTr="006D7BCD">
        <w:trPr>
          <w:trHeight w:val="840"/>
        </w:trPr>
        <w:tc>
          <w:tcPr>
            <w:tcW w:w="2978" w:type="dxa"/>
            <w:shd w:val="clear" w:color="auto" w:fill="auto"/>
            <w:hideMark/>
          </w:tcPr>
          <w:p w14:paraId="107597A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A46F8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FC26C0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Heredia</w:t>
            </w:r>
          </w:p>
        </w:tc>
        <w:tc>
          <w:tcPr>
            <w:tcW w:w="3402" w:type="dxa"/>
            <w:shd w:val="clear" w:color="auto" w:fill="auto"/>
            <w:vAlign w:val="center"/>
            <w:hideMark/>
          </w:tcPr>
          <w:p w14:paraId="40B6B6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0B7AE62" w14:textId="77777777" w:rsidTr="006D7BCD">
        <w:trPr>
          <w:trHeight w:val="840"/>
        </w:trPr>
        <w:tc>
          <w:tcPr>
            <w:tcW w:w="2978" w:type="dxa"/>
            <w:shd w:val="clear" w:color="auto" w:fill="auto"/>
            <w:hideMark/>
          </w:tcPr>
          <w:p w14:paraId="77AB31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DA2C28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80D269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Puntarenas</w:t>
            </w:r>
          </w:p>
        </w:tc>
        <w:tc>
          <w:tcPr>
            <w:tcW w:w="3402" w:type="dxa"/>
            <w:shd w:val="clear" w:color="auto" w:fill="auto"/>
            <w:vAlign w:val="center"/>
            <w:hideMark/>
          </w:tcPr>
          <w:p w14:paraId="5B8DF9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E496F59" w14:textId="77777777" w:rsidTr="006D7BCD">
        <w:trPr>
          <w:trHeight w:val="840"/>
        </w:trPr>
        <w:tc>
          <w:tcPr>
            <w:tcW w:w="2978" w:type="dxa"/>
            <w:shd w:val="clear" w:color="auto" w:fill="auto"/>
            <w:hideMark/>
          </w:tcPr>
          <w:p w14:paraId="51A9E5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DDC21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10B1D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Alajuela</w:t>
            </w:r>
          </w:p>
        </w:tc>
        <w:tc>
          <w:tcPr>
            <w:tcW w:w="3402" w:type="dxa"/>
            <w:shd w:val="clear" w:color="auto" w:fill="auto"/>
            <w:vAlign w:val="center"/>
            <w:hideMark/>
          </w:tcPr>
          <w:p w14:paraId="227F72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0F64A36" w14:textId="77777777" w:rsidTr="006D7BCD">
        <w:trPr>
          <w:trHeight w:val="840"/>
        </w:trPr>
        <w:tc>
          <w:tcPr>
            <w:tcW w:w="2978" w:type="dxa"/>
            <w:shd w:val="clear" w:color="auto" w:fill="auto"/>
            <w:hideMark/>
          </w:tcPr>
          <w:p w14:paraId="324159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01DD8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3F87DD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la Zona Atlántica</w:t>
            </w:r>
          </w:p>
        </w:tc>
        <w:tc>
          <w:tcPr>
            <w:tcW w:w="3402" w:type="dxa"/>
            <w:shd w:val="clear" w:color="auto" w:fill="auto"/>
            <w:vAlign w:val="center"/>
            <w:hideMark/>
          </w:tcPr>
          <w:p w14:paraId="4F00136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5CF930B" w14:textId="77777777" w:rsidTr="006D7BCD">
        <w:trPr>
          <w:trHeight w:val="840"/>
        </w:trPr>
        <w:tc>
          <w:tcPr>
            <w:tcW w:w="2978" w:type="dxa"/>
            <w:shd w:val="clear" w:color="auto" w:fill="auto"/>
            <w:hideMark/>
          </w:tcPr>
          <w:p w14:paraId="1389DF0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2B3CAD4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51CFA7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 Circuito Judicial de Guanacaste, Sede Santa Cruz</w:t>
            </w:r>
          </w:p>
        </w:tc>
        <w:tc>
          <w:tcPr>
            <w:tcW w:w="3402" w:type="dxa"/>
            <w:shd w:val="clear" w:color="auto" w:fill="auto"/>
            <w:vAlign w:val="center"/>
            <w:hideMark/>
          </w:tcPr>
          <w:p w14:paraId="266904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AF80E04" w14:textId="77777777" w:rsidTr="006D7BCD">
        <w:trPr>
          <w:trHeight w:val="840"/>
        </w:trPr>
        <w:tc>
          <w:tcPr>
            <w:tcW w:w="2978" w:type="dxa"/>
            <w:shd w:val="clear" w:color="auto" w:fill="auto"/>
            <w:hideMark/>
          </w:tcPr>
          <w:p w14:paraId="2748E3E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25C56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B6DA72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 Circuito Judicial de la Zona Atlántica</w:t>
            </w:r>
          </w:p>
        </w:tc>
        <w:tc>
          <w:tcPr>
            <w:tcW w:w="3402" w:type="dxa"/>
            <w:shd w:val="clear" w:color="auto" w:fill="auto"/>
            <w:vAlign w:val="center"/>
            <w:hideMark/>
          </w:tcPr>
          <w:p w14:paraId="58B2B5D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D8BA848" w14:textId="77777777" w:rsidTr="006D7BCD">
        <w:trPr>
          <w:trHeight w:val="840"/>
        </w:trPr>
        <w:tc>
          <w:tcPr>
            <w:tcW w:w="2978" w:type="dxa"/>
            <w:shd w:val="clear" w:color="auto" w:fill="auto"/>
            <w:hideMark/>
          </w:tcPr>
          <w:p w14:paraId="793E9F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2842D1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3C3CF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III Circuito Judicial de Alajuela (San Ramón)</w:t>
            </w:r>
          </w:p>
        </w:tc>
        <w:tc>
          <w:tcPr>
            <w:tcW w:w="3402" w:type="dxa"/>
            <w:shd w:val="clear" w:color="auto" w:fill="auto"/>
            <w:vAlign w:val="center"/>
            <w:hideMark/>
          </w:tcPr>
          <w:p w14:paraId="19ED3EB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B6C9EEC" w14:textId="77777777" w:rsidTr="006D7BCD">
        <w:trPr>
          <w:trHeight w:val="840"/>
        </w:trPr>
        <w:tc>
          <w:tcPr>
            <w:tcW w:w="2978" w:type="dxa"/>
            <w:shd w:val="clear" w:color="auto" w:fill="auto"/>
            <w:hideMark/>
          </w:tcPr>
          <w:p w14:paraId="31C395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7518DD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EBB97A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 Circuito Judicial Guanacaste</w:t>
            </w:r>
          </w:p>
        </w:tc>
        <w:tc>
          <w:tcPr>
            <w:tcW w:w="3402" w:type="dxa"/>
            <w:shd w:val="clear" w:color="auto" w:fill="auto"/>
            <w:vAlign w:val="center"/>
            <w:hideMark/>
          </w:tcPr>
          <w:p w14:paraId="0DB673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6D97EBB" w14:textId="77777777" w:rsidTr="006D7BCD">
        <w:trPr>
          <w:trHeight w:val="840"/>
        </w:trPr>
        <w:tc>
          <w:tcPr>
            <w:tcW w:w="2978" w:type="dxa"/>
            <w:shd w:val="clear" w:color="auto" w:fill="auto"/>
            <w:hideMark/>
          </w:tcPr>
          <w:p w14:paraId="011991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D01561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751AF3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II Circuito Judicial Zona Sur, Sede Golfito</w:t>
            </w:r>
          </w:p>
        </w:tc>
        <w:tc>
          <w:tcPr>
            <w:tcW w:w="3402" w:type="dxa"/>
            <w:shd w:val="clear" w:color="auto" w:fill="auto"/>
            <w:vAlign w:val="center"/>
            <w:hideMark/>
          </w:tcPr>
          <w:p w14:paraId="23BCA38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5129765" w14:textId="77777777" w:rsidTr="006D7BCD">
        <w:trPr>
          <w:trHeight w:val="840"/>
        </w:trPr>
        <w:tc>
          <w:tcPr>
            <w:tcW w:w="2978" w:type="dxa"/>
            <w:shd w:val="clear" w:color="auto" w:fill="auto"/>
            <w:hideMark/>
          </w:tcPr>
          <w:p w14:paraId="30DF90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BC572B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0CD7B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II Circuito Judicial Zona Sur, Sede Osa</w:t>
            </w:r>
          </w:p>
        </w:tc>
        <w:tc>
          <w:tcPr>
            <w:tcW w:w="3402" w:type="dxa"/>
            <w:shd w:val="clear" w:color="auto" w:fill="auto"/>
            <w:vAlign w:val="center"/>
            <w:hideMark/>
          </w:tcPr>
          <w:p w14:paraId="5614BF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E880DA9" w14:textId="77777777" w:rsidTr="006D7BCD">
        <w:trPr>
          <w:trHeight w:val="840"/>
        </w:trPr>
        <w:tc>
          <w:tcPr>
            <w:tcW w:w="2978" w:type="dxa"/>
            <w:shd w:val="clear" w:color="auto" w:fill="auto"/>
            <w:hideMark/>
          </w:tcPr>
          <w:p w14:paraId="6546EA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C9BAD8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B5E4A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Primero Colegiado Primera Instancia Civil I Circuito Judicial San Jose</w:t>
            </w:r>
          </w:p>
        </w:tc>
        <w:tc>
          <w:tcPr>
            <w:tcW w:w="3402" w:type="dxa"/>
            <w:shd w:val="clear" w:color="auto" w:fill="auto"/>
            <w:vAlign w:val="center"/>
            <w:hideMark/>
          </w:tcPr>
          <w:p w14:paraId="5B6F0E6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bl>
    <w:p w14:paraId="5480E57C"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48" w:name="_Toc102390788"/>
      <w:r w:rsidRPr="00D106C9">
        <w:rPr>
          <w:lang w:eastAsia="es-ES"/>
        </w:rPr>
        <w:t>Seguimiento a las recomendaciones del informe 1311-PLA-EV-2021 relacionado con el informe semestral de seguimiento de los Planes Anuales Operativos 2021.</w:t>
      </w:r>
      <w:bookmarkEnd w:id="48"/>
    </w:p>
    <w:p w14:paraId="6FF09EC2" w14:textId="77777777" w:rsidR="00D106C9" w:rsidRPr="00D106C9" w:rsidRDefault="00D106C9" w:rsidP="00D106C9">
      <w:pPr>
        <w:widowControl w:val="0"/>
        <w:suppressAutoHyphens w:val="0"/>
        <w:autoSpaceDE w:val="0"/>
        <w:autoSpaceDN w:val="0"/>
        <w:adjustRightInd w:val="0"/>
        <w:ind w:left="851" w:right="851" w:firstLine="709"/>
        <w:rPr>
          <w:lang w:eastAsia="ja-JP"/>
        </w:rPr>
      </w:pPr>
    </w:p>
    <w:p w14:paraId="7D077B1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El resumen del estado de ejecución de las recomendaciones indicadas en el informe 1311-PLA-EV-2021, aprobado por el Consejo Superior en la sesión </w:t>
      </w:r>
      <w:r w:rsidRPr="00D106C9">
        <w:rPr>
          <w:lang w:eastAsia="es-CR"/>
        </w:rPr>
        <w:t>03-2022 celebrada el 11 de enero del 2022, artículo XLVIII, en el cual se acordó “</w:t>
      </w:r>
      <w:r w:rsidRPr="00D106C9">
        <w:rPr>
          <w:i/>
          <w:iCs/>
          <w:lang w:eastAsia="es-CR"/>
        </w:rPr>
        <w:t>Tener por recibido el informe 1311-PLA-EV-2021 de la Dirección de Planificación, relacionado con el seguimiento semestral de las metas del PAO 2021</w:t>
      </w:r>
      <w:r w:rsidRPr="00D106C9">
        <w:rPr>
          <w:lang w:eastAsia="es-CR"/>
        </w:rPr>
        <w:t>”</w:t>
      </w:r>
      <w:r w:rsidRPr="00D106C9">
        <w:rPr>
          <w:lang w:eastAsia="es-ES"/>
        </w:rPr>
        <w:t>, es:</w:t>
      </w:r>
    </w:p>
    <w:p w14:paraId="230978D2"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16.1. Recomendación dirigida al Consejo Superior:</w:t>
      </w:r>
    </w:p>
    <w:p w14:paraId="3D6CDFF0" w14:textId="77777777" w:rsidR="00D106C9" w:rsidRPr="00D106C9" w:rsidRDefault="00D106C9" w:rsidP="00D106C9">
      <w:pPr>
        <w:widowControl w:val="0"/>
        <w:suppressAutoHyphens w:val="0"/>
        <w:autoSpaceDE w:val="0"/>
        <w:autoSpaceDN w:val="0"/>
        <w:adjustRightInd w:val="0"/>
        <w:rPr>
          <w:lang w:eastAsia="es-ES"/>
        </w:rPr>
      </w:pPr>
    </w:p>
    <w:tbl>
      <w:tblPr>
        <w:tblW w:w="4564"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ook w:val="04A0" w:firstRow="1" w:lastRow="0" w:firstColumn="1" w:lastColumn="0" w:noHBand="0" w:noVBand="1"/>
      </w:tblPr>
      <w:tblGrid>
        <w:gridCol w:w="4621"/>
        <w:gridCol w:w="3949"/>
      </w:tblGrid>
      <w:tr w:rsidR="00D106C9" w:rsidRPr="00D106C9" w14:paraId="64DFFAAB" w14:textId="77777777" w:rsidTr="006D7BCD">
        <w:trPr>
          <w:trHeight w:val="900"/>
          <w:tblCellSpacing w:w="20" w:type="dxa"/>
          <w:jc w:val="center"/>
        </w:trPr>
        <w:tc>
          <w:tcPr>
            <w:tcW w:w="2659" w:type="pct"/>
            <w:shd w:val="clear" w:color="auto" w:fill="365F91"/>
            <w:vAlign w:val="center"/>
          </w:tcPr>
          <w:p w14:paraId="14D7D740"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Recomendación</w:t>
            </w:r>
          </w:p>
        </w:tc>
        <w:tc>
          <w:tcPr>
            <w:tcW w:w="2267" w:type="pct"/>
            <w:shd w:val="clear" w:color="auto" w:fill="365F91"/>
            <w:vAlign w:val="center"/>
          </w:tcPr>
          <w:p w14:paraId="37697CA8"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Observación a la Recomendación al concluir el PAO 2021</w:t>
            </w:r>
          </w:p>
        </w:tc>
      </w:tr>
      <w:tr w:rsidR="00D106C9" w:rsidRPr="00D106C9" w14:paraId="524F3E9D" w14:textId="77777777" w:rsidTr="006D7BCD">
        <w:trPr>
          <w:trHeight w:val="712"/>
          <w:tblCellSpacing w:w="20" w:type="dxa"/>
          <w:jc w:val="center"/>
        </w:trPr>
        <w:tc>
          <w:tcPr>
            <w:tcW w:w="2659" w:type="pct"/>
            <w:shd w:val="clear" w:color="auto" w:fill="FFFFFF"/>
          </w:tcPr>
          <w:p w14:paraId="7FA05074" w14:textId="77777777" w:rsidR="00D106C9" w:rsidRPr="00D106C9" w:rsidRDefault="00D106C9" w:rsidP="003B2E9B">
            <w:pPr>
              <w:widowControl w:val="0"/>
              <w:numPr>
                <w:ilvl w:val="1"/>
                <w:numId w:val="78"/>
              </w:numPr>
              <w:tabs>
                <w:tab w:val="left" w:pos="397"/>
                <w:tab w:val="left" w:pos="964"/>
              </w:tabs>
              <w:suppressAutoHyphens w:val="0"/>
              <w:autoSpaceDE w:val="0"/>
              <w:autoSpaceDN w:val="0"/>
              <w:adjustRightInd w:val="0"/>
              <w:spacing w:after="200"/>
              <w:contextualSpacing/>
              <w:jc w:val="both"/>
              <w:rPr>
                <w:lang w:eastAsia="es-ES"/>
              </w:rPr>
            </w:pPr>
            <w:r w:rsidRPr="00D106C9">
              <w:rPr>
                <w:lang w:eastAsia="es-ES"/>
              </w:rPr>
              <w:t>Aprobar el presente informe y sus recomendaciones, del seguimiento semestral de las metas del Plan Anual Operativo 2021.</w:t>
            </w:r>
          </w:p>
          <w:p w14:paraId="443B6648" w14:textId="77777777" w:rsidR="00D106C9" w:rsidRPr="00D106C9" w:rsidRDefault="00D106C9" w:rsidP="00D106C9">
            <w:pPr>
              <w:widowControl w:val="0"/>
              <w:tabs>
                <w:tab w:val="left" w:pos="851"/>
                <w:tab w:val="left" w:pos="993"/>
              </w:tabs>
              <w:suppressAutoHyphens w:val="0"/>
              <w:autoSpaceDE w:val="0"/>
              <w:autoSpaceDN w:val="0"/>
              <w:adjustRightInd w:val="0"/>
              <w:jc w:val="both"/>
              <w:rPr>
                <w:i/>
                <w:iCs/>
                <w:lang w:eastAsia="es-ES"/>
              </w:rPr>
            </w:pPr>
          </w:p>
        </w:tc>
        <w:tc>
          <w:tcPr>
            <w:tcW w:w="2267" w:type="pct"/>
            <w:shd w:val="clear" w:color="auto" w:fill="FFFFFF"/>
          </w:tcPr>
          <w:p w14:paraId="35CFA09D"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El Consejo Superior en sesión 03-2022 celebrada el 11 de enero del 2022, artículo XLVIII, acordó “Tener por recibido el informe 1311-PLA-EV-2021 de la Dirección de Planificación, relacionado con el seguimiento semestral de las metas del PAO 2021”.</w:t>
            </w:r>
          </w:p>
          <w:p w14:paraId="7951734F" w14:textId="77777777" w:rsidR="00D106C9" w:rsidRPr="00D106C9" w:rsidRDefault="00D106C9" w:rsidP="00D106C9">
            <w:pPr>
              <w:widowControl w:val="0"/>
              <w:suppressAutoHyphens w:val="0"/>
              <w:autoSpaceDE w:val="0"/>
              <w:autoSpaceDN w:val="0"/>
              <w:adjustRightInd w:val="0"/>
              <w:jc w:val="both"/>
              <w:rPr>
                <w:lang w:eastAsia="es-CR"/>
              </w:rPr>
            </w:pPr>
          </w:p>
          <w:p w14:paraId="44C19A74" w14:textId="77777777" w:rsidR="00D106C9" w:rsidRPr="00D106C9" w:rsidRDefault="00D106C9" w:rsidP="00D106C9">
            <w:pPr>
              <w:widowControl w:val="0"/>
              <w:suppressAutoHyphens w:val="0"/>
              <w:autoSpaceDE w:val="0"/>
              <w:autoSpaceDN w:val="0"/>
              <w:adjustRightInd w:val="0"/>
              <w:jc w:val="both"/>
              <w:rPr>
                <w:lang w:eastAsia="es-CR"/>
              </w:rPr>
            </w:pPr>
          </w:p>
        </w:tc>
      </w:tr>
    </w:tbl>
    <w:p w14:paraId="4521EB25" w14:textId="77777777" w:rsidR="00D106C9" w:rsidRPr="00D106C9" w:rsidRDefault="00D106C9" w:rsidP="00D106C9">
      <w:pPr>
        <w:widowControl w:val="0"/>
        <w:suppressAutoHyphens w:val="0"/>
        <w:autoSpaceDE w:val="0"/>
        <w:autoSpaceDN w:val="0"/>
        <w:adjustRightInd w:val="0"/>
        <w:jc w:val="both"/>
        <w:rPr>
          <w:lang w:eastAsia="es-ES"/>
        </w:rPr>
      </w:pPr>
    </w:p>
    <w:p w14:paraId="4146C9AD" w14:textId="77777777" w:rsidR="00D106C9" w:rsidRPr="00D106C9" w:rsidRDefault="00D106C9" w:rsidP="00D106C9">
      <w:pPr>
        <w:widowControl w:val="0"/>
        <w:suppressAutoHyphens w:val="0"/>
        <w:autoSpaceDE w:val="0"/>
        <w:autoSpaceDN w:val="0"/>
        <w:adjustRightInd w:val="0"/>
        <w:jc w:val="both"/>
        <w:rPr>
          <w:lang w:eastAsia="es-ES"/>
        </w:rPr>
      </w:pPr>
    </w:p>
    <w:p w14:paraId="53B3C684" w14:textId="77777777" w:rsidR="00D106C9" w:rsidRPr="00D106C9" w:rsidRDefault="00D106C9" w:rsidP="00D106C9">
      <w:pPr>
        <w:widowControl w:val="0"/>
        <w:suppressAutoHyphens w:val="0"/>
        <w:autoSpaceDE w:val="0"/>
        <w:autoSpaceDN w:val="0"/>
        <w:adjustRightInd w:val="0"/>
        <w:jc w:val="both"/>
        <w:rPr>
          <w:lang w:eastAsia="es-ES"/>
        </w:rPr>
      </w:pPr>
    </w:p>
    <w:p w14:paraId="32D39989" w14:textId="77777777" w:rsidR="00D106C9" w:rsidRPr="00D106C9" w:rsidRDefault="00D106C9" w:rsidP="00D106C9">
      <w:pPr>
        <w:widowControl w:val="0"/>
        <w:suppressAutoHyphens w:val="0"/>
        <w:autoSpaceDE w:val="0"/>
        <w:autoSpaceDN w:val="0"/>
        <w:adjustRightInd w:val="0"/>
        <w:jc w:val="both"/>
        <w:rPr>
          <w:lang w:eastAsia="es-ES"/>
        </w:rPr>
      </w:pPr>
    </w:p>
    <w:p w14:paraId="7AB5DF9A" w14:textId="77777777" w:rsidR="00D106C9" w:rsidRPr="00D106C9" w:rsidRDefault="00D106C9" w:rsidP="00D106C9">
      <w:pPr>
        <w:widowControl w:val="0"/>
        <w:suppressAutoHyphens w:val="0"/>
        <w:autoSpaceDE w:val="0"/>
        <w:autoSpaceDN w:val="0"/>
        <w:adjustRightInd w:val="0"/>
        <w:jc w:val="both"/>
        <w:rPr>
          <w:lang w:eastAsia="es-ES"/>
        </w:rPr>
      </w:pPr>
    </w:p>
    <w:p w14:paraId="2E50180C" w14:textId="77777777" w:rsidR="00D106C9" w:rsidRPr="00D106C9" w:rsidRDefault="00D106C9" w:rsidP="00D106C9">
      <w:pPr>
        <w:widowControl w:val="0"/>
        <w:suppressAutoHyphens w:val="0"/>
        <w:autoSpaceDE w:val="0"/>
        <w:autoSpaceDN w:val="0"/>
        <w:adjustRightInd w:val="0"/>
        <w:ind w:left="851" w:right="851" w:firstLine="709"/>
        <w:rPr>
          <w:lang w:eastAsia="es-ES"/>
        </w:rPr>
      </w:pPr>
      <w:bookmarkStart w:id="49" w:name="_Hlk98422711"/>
      <w:r w:rsidRPr="00D106C9">
        <w:rPr>
          <w:lang w:eastAsia="es-ES"/>
        </w:rPr>
        <w:t>16.2. Recomendación dirigida a las Oficinas y despachos judiciales:</w:t>
      </w:r>
    </w:p>
    <w:p w14:paraId="51B75D00" w14:textId="77777777" w:rsidR="00D106C9" w:rsidRPr="00D106C9" w:rsidRDefault="00D106C9" w:rsidP="00D106C9">
      <w:pPr>
        <w:widowControl w:val="0"/>
        <w:suppressAutoHyphens w:val="0"/>
        <w:autoSpaceDE w:val="0"/>
        <w:autoSpaceDN w:val="0"/>
        <w:adjustRightInd w:val="0"/>
        <w:rPr>
          <w:lang w:eastAsia="es-ES"/>
        </w:rPr>
      </w:pPr>
    </w:p>
    <w:tbl>
      <w:tblPr>
        <w:tblW w:w="5000"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5423"/>
        <w:gridCol w:w="3966"/>
      </w:tblGrid>
      <w:tr w:rsidR="00D106C9" w:rsidRPr="00D106C9" w14:paraId="039DE75C" w14:textId="77777777" w:rsidTr="006D7BCD">
        <w:trPr>
          <w:trHeight w:val="900"/>
          <w:tblCellSpacing w:w="20" w:type="dxa"/>
          <w:jc w:val="center"/>
        </w:trPr>
        <w:tc>
          <w:tcPr>
            <w:tcW w:w="2854" w:type="pct"/>
            <w:shd w:val="clear" w:color="auto" w:fill="365F91"/>
            <w:vAlign w:val="center"/>
          </w:tcPr>
          <w:bookmarkEnd w:id="49"/>
          <w:p w14:paraId="02779E46"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lastRenderedPageBreak/>
              <w:t>Recomendación</w:t>
            </w:r>
          </w:p>
        </w:tc>
        <w:tc>
          <w:tcPr>
            <w:tcW w:w="2078" w:type="pct"/>
            <w:shd w:val="clear" w:color="auto" w:fill="365F91"/>
            <w:vAlign w:val="center"/>
          </w:tcPr>
          <w:p w14:paraId="41FF8BAB"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Observación a la Recomendación al concluir el PAO 2021</w:t>
            </w:r>
          </w:p>
        </w:tc>
      </w:tr>
      <w:tr w:rsidR="00D106C9" w:rsidRPr="00D106C9" w14:paraId="44E8A530" w14:textId="77777777" w:rsidTr="006D7BCD">
        <w:trPr>
          <w:trHeight w:val="712"/>
          <w:tblCellSpacing w:w="20" w:type="dxa"/>
          <w:jc w:val="center"/>
        </w:trPr>
        <w:tc>
          <w:tcPr>
            <w:tcW w:w="2854" w:type="pct"/>
            <w:shd w:val="clear" w:color="auto" w:fill="FFFFFF"/>
          </w:tcPr>
          <w:p w14:paraId="5BC15C6F" w14:textId="77777777" w:rsidR="00D106C9" w:rsidRPr="00D106C9" w:rsidRDefault="00D106C9" w:rsidP="003B2E9B">
            <w:pPr>
              <w:widowControl w:val="0"/>
              <w:numPr>
                <w:ilvl w:val="1"/>
                <w:numId w:val="77"/>
              </w:numPr>
              <w:tabs>
                <w:tab w:val="left" w:pos="851"/>
                <w:tab w:val="left" w:pos="993"/>
              </w:tabs>
              <w:suppressAutoHyphens w:val="0"/>
              <w:autoSpaceDE w:val="0"/>
              <w:autoSpaceDN w:val="0"/>
              <w:adjustRightInd w:val="0"/>
              <w:contextualSpacing/>
              <w:jc w:val="both"/>
              <w:rPr>
                <w:i/>
                <w:iCs/>
                <w:lang w:eastAsia="es-ES"/>
              </w:rPr>
            </w:pPr>
            <w:r w:rsidRPr="00D106C9">
              <w:rPr>
                <w:lang w:eastAsia="es-ES"/>
              </w:rPr>
              <w:t xml:space="preserve">Acatar lo indicado en la circular 141-2020, de la Secretaría General de la Corte, del 03 de julio de 2020, denominada “Obligación de realizar evaluaciones semestrales y anuales de Planes anuales y operativos”, A raíz de lo anterior, se solicita a todos los despachos y oficinas judiciales del país que formularon sus Planes Anuales Operativos para el 2021 </w:t>
            </w:r>
            <w:r w:rsidRPr="00D106C9">
              <w:rPr>
                <w:b/>
                <w:lang w:eastAsia="es-ES"/>
              </w:rPr>
              <w:t xml:space="preserve">el deber de mantener actualizado el avance logrado en cada una de las metas formuladas. </w:t>
            </w:r>
          </w:p>
        </w:tc>
        <w:tc>
          <w:tcPr>
            <w:tcW w:w="2078" w:type="pct"/>
            <w:shd w:val="clear" w:color="auto" w:fill="FFFFFF"/>
          </w:tcPr>
          <w:p w14:paraId="2403E804" w14:textId="77777777" w:rsidR="00D106C9" w:rsidRPr="00D106C9" w:rsidRDefault="00D106C9" w:rsidP="00D106C9">
            <w:pPr>
              <w:widowControl w:val="0"/>
              <w:suppressAutoHyphens w:val="0"/>
              <w:autoSpaceDE w:val="0"/>
              <w:autoSpaceDN w:val="0"/>
              <w:adjustRightInd w:val="0"/>
              <w:jc w:val="both"/>
              <w:rPr>
                <w:lang w:eastAsia="es-ES"/>
              </w:rPr>
            </w:pPr>
            <w:r w:rsidRPr="00D106C9">
              <w:rPr>
                <w:lang w:eastAsia="es-CR"/>
              </w:rPr>
              <w:t>Se revisa el Sistema PAO el 19 de enero del 2022, encontrándose al Subproceso de Gestión Administrativa y Desarrollo   con 0% avance para la evaluación del PAO 2021.</w:t>
            </w:r>
          </w:p>
        </w:tc>
      </w:tr>
      <w:tr w:rsidR="00D106C9" w:rsidRPr="00D106C9" w14:paraId="16EC1040" w14:textId="77777777" w:rsidTr="006D7BCD">
        <w:trPr>
          <w:trHeight w:val="712"/>
          <w:tblCellSpacing w:w="20" w:type="dxa"/>
          <w:jc w:val="center"/>
        </w:trPr>
        <w:tc>
          <w:tcPr>
            <w:tcW w:w="2854" w:type="pct"/>
            <w:shd w:val="clear" w:color="auto" w:fill="FFFFFF"/>
          </w:tcPr>
          <w:p w14:paraId="2C160412" w14:textId="77777777" w:rsidR="00D106C9" w:rsidRPr="00D106C9" w:rsidRDefault="00D106C9" w:rsidP="003B2E9B">
            <w:pPr>
              <w:widowControl w:val="0"/>
              <w:numPr>
                <w:ilvl w:val="1"/>
                <w:numId w:val="77"/>
              </w:numPr>
              <w:tabs>
                <w:tab w:val="left" w:pos="851"/>
                <w:tab w:val="left" w:pos="993"/>
              </w:tabs>
              <w:suppressAutoHyphens w:val="0"/>
              <w:autoSpaceDE w:val="0"/>
              <w:autoSpaceDN w:val="0"/>
              <w:adjustRightInd w:val="0"/>
              <w:contextualSpacing/>
              <w:jc w:val="both"/>
              <w:rPr>
                <w:lang w:eastAsia="es-ES"/>
              </w:rPr>
            </w:pPr>
            <w:r w:rsidRPr="00D106C9">
              <w:rPr>
                <w:lang w:eastAsia="es-ES"/>
              </w:rPr>
              <w:t>Registrar avances a las metas de los Planes Anuales Operativos que están vinculados con el Plan Estratégico Institucional de manera periódica, debido a la importancia que revisten esas metas al contribuir de manera directa con el cumplimiento del PEI.</w:t>
            </w:r>
          </w:p>
        </w:tc>
        <w:tc>
          <w:tcPr>
            <w:tcW w:w="2078" w:type="pct"/>
            <w:shd w:val="clear" w:color="auto" w:fill="FFFFFF"/>
          </w:tcPr>
          <w:p w14:paraId="63A6F403" w14:textId="77777777" w:rsidR="00D106C9" w:rsidRPr="00D106C9" w:rsidRDefault="00D106C9" w:rsidP="00D106C9">
            <w:pPr>
              <w:widowControl w:val="0"/>
              <w:suppressAutoHyphens w:val="0"/>
              <w:autoSpaceDE w:val="0"/>
              <w:autoSpaceDN w:val="0"/>
              <w:adjustRightInd w:val="0"/>
              <w:jc w:val="both"/>
              <w:rPr>
                <w:b/>
                <w:bCs/>
                <w:lang w:eastAsia="es-CR"/>
              </w:rPr>
            </w:pPr>
            <w:r w:rsidRPr="00D106C9">
              <w:rPr>
                <w:lang w:eastAsia="es-CR"/>
              </w:rPr>
              <w:t xml:space="preserve">El pasado 19 de enero del 2022, se realizó un análisis de la cantidad de metas operativas </w:t>
            </w:r>
            <w:r w:rsidRPr="00D106C9">
              <w:rPr>
                <w:lang w:eastAsia="es-ES"/>
              </w:rPr>
              <w:t xml:space="preserve">vinculadas al PEI con un porcentaje de cumplimiento igual o menor al 90% de acuerdo con el Tema Estratégico, encontrándose un total de 476 metas operativas con un rango menor al 90% de avance, es </w:t>
            </w:r>
            <w:r w:rsidRPr="00D106C9">
              <w:rPr>
                <w:lang w:eastAsia="es-CR"/>
              </w:rPr>
              <w:t>importante destacar que se evidencia una mejoría en la cantidad de oficinas que registran los avances en los plazos brindados.</w:t>
            </w:r>
          </w:p>
        </w:tc>
      </w:tr>
      <w:tr w:rsidR="00D106C9" w:rsidRPr="00D106C9" w14:paraId="399D503F" w14:textId="77777777" w:rsidTr="006D7BCD">
        <w:trPr>
          <w:trHeight w:val="712"/>
          <w:tblCellSpacing w:w="20" w:type="dxa"/>
          <w:jc w:val="center"/>
        </w:trPr>
        <w:tc>
          <w:tcPr>
            <w:tcW w:w="2854" w:type="pct"/>
            <w:shd w:val="clear" w:color="auto" w:fill="FFFFFF"/>
          </w:tcPr>
          <w:p w14:paraId="79383612" w14:textId="77777777" w:rsidR="00D106C9" w:rsidRPr="00D106C9" w:rsidRDefault="00D106C9" w:rsidP="003B2E9B">
            <w:pPr>
              <w:widowControl w:val="0"/>
              <w:numPr>
                <w:ilvl w:val="1"/>
                <w:numId w:val="77"/>
              </w:numPr>
              <w:tabs>
                <w:tab w:val="left" w:pos="851"/>
                <w:tab w:val="left" w:pos="993"/>
              </w:tabs>
              <w:suppressAutoHyphens w:val="0"/>
              <w:autoSpaceDE w:val="0"/>
              <w:autoSpaceDN w:val="0"/>
              <w:adjustRightInd w:val="0"/>
              <w:contextualSpacing/>
              <w:jc w:val="both"/>
              <w:rPr>
                <w:lang w:eastAsia="es-ES"/>
              </w:rPr>
            </w:pPr>
            <w:r w:rsidRPr="00D106C9">
              <w:rPr>
                <w:bCs/>
                <w:lang w:eastAsia="es-ES"/>
              </w:rPr>
              <w:t xml:space="preserve">Se les recuerda a las oficinas enlistadas de seguido, en específico, el bloque de despachos y oficinas que no registraron ningún tipo de avances que deberán cumplir con la actualización de avances al PAO para el periodo 2021, por lo que se realizarán un monitoreo constante en lo que resta del 2021, con el fin de informarles a los Centros de Responsabilidad y las oficinas el deber de mantener actualizados los registros de avances al PAO.   </w:t>
            </w:r>
          </w:p>
          <w:p w14:paraId="7C7F5409" w14:textId="77777777" w:rsidR="00D106C9" w:rsidRPr="00D106C9" w:rsidRDefault="00D106C9" w:rsidP="00D106C9">
            <w:pPr>
              <w:widowControl w:val="0"/>
              <w:tabs>
                <w:tab w:val="left" w:pos="851"/>
                <w:tab w:val="left" w:pos="993"/>
              </w:tabs>
              <w:suppressAutoHyphens w:val="0"/>
              <w:autoSpaceDE w:val="0"/>
              <w:autoSpaceDN w:val="0"/>
              <w:adjustRightInd w:val="0"/>
              <w:jc w:val="both"/>
              <w:rPr>
                <w:lang w:eastAsia="es-ES"/>
              </w:rPr>
            </w:pPr>
          </w:p>
          <w:tbl>
            <w:tblPr>
              <w:tblW w:w="5000" w:type="pct"/>
              <w:tblLayout w:type="fixed"/>
              <w:tblCellMar>
                <w:left w:w="70" w:type="dxa"/>
                <w:right w:w="70" w:type="dxa"/>
              </w:tblCellMar>
              <w:tblLook w:val="04A0" w:firstRow="1" w:lastRow="0" w:firstColumn="1" w:lastColumn="0" w:noHBand="0" w:noVBand="1"/>
            </w:tblPr>
            <w:tblGrid>
              <w:gridCol w:w="524"/>
              <w:gridCol w:w="1613"/>
              <w:gridCol w:w="980"/>
              <w:gridCol w:w="738"/>
              <w:gridCol w:w="566"/>
              <w:gridCol w:w="686"/>
            </w:tblGrid>
            <w:tr w:rsidR="00D106C9" w:rsidRPr="00D106C9" w14:paraId="5811CB13" w14:textId="77777777" w:rsidTr="006D7BCD">
              <w:trPr>
                <w:trHeight w:val="520"/>
              </w:trPr>
              <w:tc>
                <w:tcPr>
                  <w:tcW w:w="513" w:type="pct"/>
                  <w:tcBorders>
                    <w:top w:val="single" w:sz="4" w:space="0" w:color="000000"/>
                    <w:left w:val="single" w:sz="4" w:space="0" w:color="000000"/>
                    <w:bottom w:val="single" w:sz="4" w:space="0" w:color="000000"/>
                    <w:right w:val="single" w:sz="4" w:space="0" w:color="000000"/>
                  </w:tcBorders>
                  <w:shd w:val="clear" w:color="000000" w:fill="548DD4"/>
                  <w:vAlign w:val="center"/>
                </w:tcPr>
                <w:p w14:paraId="3BC7D515"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Código</w:t>
                  </w:r>
                </w:p>
              </w:tc>
              <w:tc>
                <w:tcPr>
                  <w:tcW w:w="1579" w:type="pct"/>
                  <w:tcBorders>
                    <w:top w:val="single" w:sz="4" w:space="0" w:color="000000"/>
                    <w:left w:val="single" w:sz="4" w:space="0" w:color="000000"/>
                    <w:bottom w:val="single" w:sz="4" w:space="0" w:color="000000"/>
                    <w:right w:val="single" w:sz="4" w:space="0" w:color="000000"/>
                  </w:tcBorders>
                  <w:shd w:val="clear" w:color="000000" w:fill="548DD4"/>
                  <w:vAlign w:val="center"/>
                </w:tcPr>
                <w:p w14:paraId="7C464B2F"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Oficina</w:t>
                  </w:r>
                </w:p>
              </w:tc>
              <w:tc>
                <w:tcPr>
                  <w:tcW w:w="959" w:type="pct"/>
                  <w:tcBorders>
                    <w:top w:val="single" w:sz="4" w:space="0" w:color="000000"/>
                    <w:left w:val="single" w:sz="4" w:space="0" w:color="000000"/>
                    <w:bottom w:val="single" w:sz="4" w:space="0" w:color="000000"/>
                    <w:right w:val="single" w:sz="4" w:space="0" w:color="000000"/>
                  </w:tcBorders>
                  <w:shd w:val="clear" w:color="000000" w:fill="548DD4"/>
                </w:tcPr>
                <w:p w14:paraId="2FBF51FF"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Centro de Respon</w:t>
                  </w:r>
                  <w:r w:rsidRPr="00D106C9">
                    <w:rPr>
                      <w:b/>
                      <w:bCs/>
                      <w:lang w:eastAsia="es-CR"/>
                    </w:rPr>
                    <w:lastRenderedPageBreak/>
                    <w:t>sabilidad</w:t>
                  </w:r>
                </w:p>
              </w:tc>
              <w:tc>
                <w:tcPr>
                  <w:tcW w:w="723" w:type="pct"/>
                  <w:tcBorders>
                    <w:top w:val="single" w:sz="4" w:space="0" w:color="000000"/>
                    <w:left w:val="single" w:sz="4" w:space="0" w:color="000000"/>
                    <w:bottom w:val="single" w:sz="4" w:space="0" w:color="000000"/>
                    <w:right w:val="single" w:sz="4" w:space="0" w:color="000000"/>
                  </w:tcBorders>
                  <w:shd w:val="clear" w:color="000000" w:fill="548DD4"/>
                  <w:vAlign w:val="center"/>
                </w:tcPr>
                <w:p w14:paraId="59B96A4B"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lastRenderedPageBreak/>
                    <w:t>Metas Form</w:t>
                  </w:r>
                  <w:r w:rsidRPr="00D106C9">
                    <w:rPr>
                      <w:b/>
                      <w:bCs/>
                      <w:lang w:eastAsia="es-CR"/>
                    </w:rPr>
                    <w:lastRenderedPageBreak/>
                    <w:t>uladas</w:t>
                  </w:r>
                </w:p>
              </w:tc>
              <w:tc>
                <w:tcPr>
                  <w:tcW w:w="554" w:type="pct"/>
                  <w:tcBorders>
                    <w:top w:val="single" w:sz="4" w:space="0" w:color="000000"/>
                    <w:left w:val="single" w:sz="4" w:space="0" w:color="000000"/>
                    <w:bottom w:val="single" w:sz="4" w:space="0" w:color="000000"/>
                    <w:right w:val="single" w:sz="4" w:space="0" w:color="000000"/>
                  </w:tcBorders>
                  <w:shd w:val="clear" w:color="000000" w:fill="548DD4"/>
                  <w:vAlign w:val="center"/>
                </w:tcPr>
                <w:p w14:paraId="392FA41A"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lastRenderedPageBreak/>
                    <w:t xml:space="preserve">Metas con </w:t>
                  </w:r>
                  <w:r w:rsidRPr="00D106C9">
                    <w:rPr>
                      <w:b/>
                      <w:bCs/>
                      <w:lang w:eastAsia="es-CR"/>
                    </w:rPr>
                    <w:lastRenderedPageBreak/>
                    <w:t>Avance</w:t>
                  </w:r>
                </w:p>
              </w:tc>
              <w:tc>
                <w:tcPr>
                  <w:tcW w:w="672" w:type="pct"/>
                  <w:tcBorders>
                    <w:top w:val="single" w:sz="4" w:space="0" w:color="000000"/>
                    <w:left w:val="single" w:sz="4" w:space="0" w:color="000000"/>
                    <w:bottom w:val="single" w:sz="4" w:space="0" w:color="000000"/>
                    <w:right w:val="single" w:sz="4" w:space="0" w:color="000000"/>
                  </w:tcBorders>
                  <w:shd w:val="clear" w:color="000000" w:fill="548DD4"/>
                  <w:vAlign w:val="center"/>
                </w:tcPr>
                <w:p w14:paraId="73B73FA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lastRenderedPageBreak/>
                    <w:t>Porcentaje</w:t>
                  </w:r>
                </w:p>
              </w:tc>
            </w:tr>
            <w:tr w:rsidR="00D106C9" w:rsidRPr="00D106C9" w14:paraId="6BA0F4A0" w14:textId="77777777" w:rsidTr="006D7BCD">
              <w:trPr>
                <w:trHeight w:val="780"/>
              </w:trPr>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A876D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1073</w:t>
                  </w:r>
                </w:p>
              </w:tc>
              <w:tc>
                <w:tcPr>
                  <w:tcW w:w="15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2E3CE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UNIDAD DE PROGRAMACION Y SEGUIMIENTO DE MATERIALES Y SUMINISTROS</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88541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Dirección Ejecutiva</w:t>
                  </w: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33321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w:t>
                  </w:r>
                </w:p>
              </w:tc>
              <w:tc>
                <w:tcPr>
                  <w:tcW w:w="5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615E8F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197E7B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7B43667A" w14:textId="77777777" w:rsidTr="006D7BCD">
              <w:trPr>
                <w:trHeight w:val="780"/>
              </w:trPr>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8D5914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1847</w:t>
                  </w:r>
                </w:p>
              </w:tc>
              <w:tc>
                <w:tcPr>
                  <w:tcW w:w="15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433A4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SUBPROCESO DE GESTION ADMINISTRATIVA Y DESARROLLO</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C44C7B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Dirección Ejecutiva</w:t>
                  </w: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5AED9D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w:t>
                  </w:r>
                </w:p>
              </w:tc>
              <w:tc>
                <w:tcPr>
                  <w:tcW w:w="5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FE84B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9C96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1E6C8C53" w14:textId="77777777" w:rsidTr="006D7BCD">
              <w:trPr>
                <w:trHeight w:val="1040"/>
              </w:trPr>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3BF4DD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0831</w:t>
                  </w:r>
                </w:p>
              </w:tc>
              <w:tc>
                <w:tcPr>
                  <w:tcW w:w="15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D19B36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DE COMUNICACIONES JUDICIALES I CIRCUITO JUDICIAL ZONA SUR</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054EA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Primer Circuito Judicial de la Zona Sur</w:t>
                  </w: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CA6AE9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w:t>
                  </w:r>
                </w:p>
              </w:tc>
              <w:tc>
                <w:tcPr>
                  <w:tcW w:w="5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184957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667FD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0B503AE4" w14:textId="77777777" w:rsidTr="006D7BCD">
              <w:trPr>
                <w:trHeight w:val="1040"/>
              </w:trPr>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55005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0865</w:t>
                  </w:r>
                </w:p>
              </w:tc>
              <w:tc>
                <w:tcPr>
                  <w:tcW w:w="15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9EECB1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I CIRCUITO JUDICIAL GUANACASTE (SUPERNUMERARIOS)</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F162C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Primer Circuito Judicial de Guanacaste</w:t>
                  </w: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F66718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w:t>
                  </w:r>
                </w:p>
              </w:tc>
              <w:tc>
                <w:tcPr>
                  <w:tcW w:w="5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81F66E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BC3BD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3414DC28" w14:textId="77777777" w:rsidTr="006D7BCD">
              <w:trPr>
                <w:trHeight w:val="780"/>
              </w:trPr>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EFEE8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0901</w:t>
                  </w:r>
                </w:p>
              </w:tc>
              <w:tc>
                <w:tcPr>
                  <w:tcW w:w="15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9DB5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ADMINISTRACION REGIONAL II CIRCUITO JUDICIAL ZONA SUR </w:t>
                  </w:r>
                  <w:r w:rsidRPr="00D106C9">
                    <w:rPr>
                      <w:lang w:eastAsia="es-CR"/>
                    </w:rPr>
                    <w:lastRenderedPageBreak/>
                    <w:t>(SUPERNUMERARIOS)</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739E2B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Segundo Circuito Judicial de la Zona Sur</w:t>
                  </w: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2BC58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2</w:t>
                  </w:r>
                </w:p>
              </w:tc>
              <w:tc>
                <w:tcPr>
                  <w:tcW w:w="5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E92AF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C646F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2468BBD2" w14:textId="77777777" w:rsidTr="006D7BCD">
              <w:trPr>
                <w:trHeight w:val="780"/>
              </w:trPr>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F4EBF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0987</w:t>
                  </w:r>
                </w:p>
              </w:tc>
              <w:tc>
                <w:tcPr>
                  <w:tcW w:w="15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2B1E0A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TURRIALBA (SUPERNUMERARIOS)</w:t>
                  </w: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A7A39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Administración de Turrialba</w:t>
                  </w: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DF2DC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w:t>
                  </w:r>
                </w:p>
              </w:tc>
              <w:tc>
                <w:tcPr>
                  <w:tcW w:w="5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910B06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404B50D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r w:rsidR="00D106C9" w:rsidRPr="00D106C9" w14:paraId="49C30CDC" w14:textId="77777777" w:rsidTr="006D7BCD">
              <w:trPr>
                <w:trHeight w:val="290"/>
              </w:trPr>
              <w:tc>
                <w:tcPr>
                  <w:tcW w:w="51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60FA22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0591</w:t>
                  </w:r>
                </w:p>
              </w:tc>
              <w:tc>
                <w:tcPr>
                  <w:tcW w:w="157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1814E8" w14:textId="77777777" w:rsidR="00D106C9" w:rsidRPr="00D106C9" w:rsidRDefault="00D106C9" w:rsidP="00D106C9">
                  <w:pPr>
                    <w:widowControl w:val="0"/>
                    <w:suppressAutoHyphens w:val="0"/>
                    <w:autoSpaceDE w:val="0"/>
                    <w:autoSpaceDN w:val="0"/>
                    <w:adjustRightInd w:val="0"/>
                    <w:jc w:val="center"/>
                    <w:rPr>
                      <w:lang w:eastAsia="es-CR"/>
                    </w:rPr>
                  </w:pPr>
                </w:p>
                <w:p w14:paraId="71E6F0F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COBANO</w:t>
                  </w:r>
                </w:p>
                <w:p w14:paraId="43B6B767" w14:textId="77777777" w:rsidR="00D106C9" w:rsidRPr="00D106C9" w:rsidRDefault="00D106C9" w:rsidP="00D106C9">
                  <w:pPr>
                    <w:widowControl w:val="0"/>
                    <w:suppressAutoHyphens w:val="0"/>
                    <w:autoSpaceDE w:val="0"/>
                    <w:autoSpaceDN w:val="0"/>
                    <w:adjustRightInd w:val="0"/>
                    <w:jc w:val="center"/>
                    <w:rPr>
                      <w:lang w:eastAsia="es-CR"/>
                    </w:rPr>
                  </w:pPr>
                </w:p>
                <w:p w14:paraId="53A6C082" w14:textId="77777777" w:rsidR="00D106C9" w:rsidRPr="00D106C9" w:rsidRDefault="00D106C9" w:rsidP="00D106C9">
                  <w:pPr>
                    <w:widowControl w:val="0"/>
                    <w:suppressAutoHyphens w:val="0"/>
                    <w:autoSpaceDE w:val="0"/>
                    <w:autoSpaceDN w:val="0"/>
                    <w:adjustRightInd w:val="0"/>
                    <w:jc w:val="center"/>
                    <w:rPr>
                      <w:lang w:eastAsia="es-CR"/>
                    </w:rPr>
                  </w:pPr>
                </w:p>
              </w:tc>
              <w:tc>
                <w:tcPr>
                  <w:tcW w:w="959" w:type="pct"/>
                  <w:tcBorders>
                    <w:top w:val="single" w:sz="4" w:space="0" w:color="000000"/>
                    <w:left w:val="single" w:sz="4" w:space="0" w:color="000000"/>
                    <w:bottom w:val="single" w:sz="4" w:space="0" w:color="000000"/>
                    <w:right w:val="single" w:sz="4" w:space="0" w:color="000000"/>
                  </w:tcBorders>
                  <w:shd w:val="clear" w:color="auto" w:fill="auto"/>
                  <w:vAlign w:val="center"/>
                </w:tcPr>
                <w:p w14:paraId="3F3430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Ministerio Público</w:t>
                  </w:r>
                </w:p>
              </w:tc>
              <w:tc>
                <w:tcPr>
                  <w:tcW w:w="723"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026B0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10</w:t>
                  </w:r>
                </w:p>
              </w:tc>
              <w:tc>
                <w:tcPr>
                  <w:tcW w:w="554" w:type="pct"/>
                  <w:tcBorders>
                    <w:top w:val="single" w:sz="4" w:space="0" w:color="000000"/>
                    <w:left w:val="single" w:sz="4" w:space="0" w:color="000000"/>
                    <w:bottom w:val="single" w:sz="4" w:space="0" w:color="000000"/>
                    <w:right w:val="single" w:sz="4" w:space="0" w:color="000000"/>
                  </w:tcBorders>
                  <w:shd w:val="clear" w:color="auto" w:fill="auto"/>
                  <w:vAlign w:val="center"/>
                </w:tcPr>
                <w:p w14:paraId="7740F6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w:t>
                  </w:r>
                </w:p>
              </w:tc>
              <w:tc>
                <w:tcPr>
                  <w:tcW w:w="672" w:type="pct"/>
                  <w:tcBorders>
                    <w:top w:val="single" w:sz="4" w:space="0" w:color="000000"/>
                    <w:left w:val="single" w:sz="4" w:space="0" w:color="000000"/>
                    <w:bottom w:val="single" w:sz="4" w:space="0" w:color="000000"/>
                    <w:right w:val="single" w:sz="4" w:space="0" w:color="000000"/>
                  </w:tcBorders>
                  <w:shd w:val="clear" w:color="auto" w:fill="auto"/>
                  <w:vAlign w:val="center"/>
                </w:tcPr>
                <w:p w14:paraId="1247062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0,00%</w:t>
                  </w:r>
                </w:p>
              </w:tc>
            </w:tr>
          </w:tbl>
          <w:p w14:paraId="5AD12AD6" w14:textId="77777777" w:rsidR="00D106C9" w:rsidRPr="00D106C9" w:rsidRDefault="00D106C9" w:rsidP="00D106C9">
            <w:pPr>
              <w:widowControl w:val="0"/>
              <w:tabs>
                <w:tab w:val="left" w:pos="851"/>
                <w:tab w:val="left" w:pos="993"/>
              </w:tabs>
              <w:suppressAutoHyphens w:val="0"/>
              <w:autoSpaceDE w:val="0"/>
              <w:autoSpaceDN w:val="0"/>
              <w:adjustRightInd w:val="0"/>
              <w:jc w:val="both"/>
              <w:rPr>
                <w:lang w:eastAsia="es-ES"/>
              </w:rPr>
            </w:pPr>
          </w:p>
        </w:tc>
        <w:tc>
          <w:tcPr>
            <w:tcW w:w="2078" w:type="pct"/>
            <w:shd w:val="clear" w:color="auto" w:fill="FFFFFF"/>
          </w:tcPr>
          <w:p w14:paraId="2565488F" w14:textId="77777777" w:rsidR="00D106C9" w:rsidRPr="00D106C9" w:rsidRDefault="00D106C9" w:rsidP="00D106C9">
            <w:pPr>
              <w:widowControl w:val="0"/>
              <w:suppressAutoHyphens w:val="0"/>
              <w:autoSpaceDE w:val="0"/>
              <w:autoSpaceDN w:val="0"/>
              <w:adjustRightInd w:val="0"/>
              <w:jc w:val="both"/>
              <w:rPr>
                <w:b/>
                <w:bCs/>
                <w:lang w:eastAsia="es-CR"/>
              </w:rPr>
            </w:pPr>
            <w:r w:rsidRPr="00D106C9">
              <w:rPr>
                <w:lang w:eastAsia="es-CR"/>
              </w:rPr>
              <w:lastRenderedPageBreak/>
              <w:t xml:space="preserve">Se revisa el Sistema PAO el 19 de enero del 2022, encontrándose al Subproceso de Gestión Administrativa y Desarrollo   con 0% avance para la evaluación del PAO 2021. </w:t>
            </w:r>
          </w:p>
        </w:tc>
      </w:tr>
      <w:tr w:rsidR="00D106C9" w:rsidRPr="00D106C9" w14:paraId="6994AA43" w14:textId="77777777" w:rsidTr="006D7BCD">
        <w:trPr>
          <w:trHeight w:val="4755"/>
          <w:tblCellSpacing w:w="20" w:type="dxa"/>
          <w:jc w:val="center"/>
        </w:trPr>
        <w:tc>
          <w:tcPr>
            <w:tcW w:w="2854" w:type="pct"/>
            <w:shd w:val="clear" w:color="auto" w:fill="FFFFFF"/>
          </w:tcPr>
          <w:p w14:paraId="631C4080" w14:textId="77777777" w:rsidR="00D106C9" w:rsidRPr="00D106C9" w:rsidRDefault="00D106C9" w:rsidP="003B2E9B">
            <w:pPr>
              <w:widowControl w:val="0"/>
              <w:numPr>
                <w:ilvl w:val="1"/>
                <w:numId w:val="77"/>
              </w:numPr>
              <w:tabs>
                <w:tab w:val="left" w:pos="851"/>
                <w:tab w:val="left" w:pos="993"/>
              </w:tabs>
              <w:suppressAutoHyphens w:val="0"/>
              <w:autoSpaceDE w:val="0"/>
              <w:autoSpaceDN w:val="0"/>
              <w:adjustRightInd w:val="0"/>
              <w:contextualSpacing/>
              <w:jc w:val="both"/>
              <w:rPr>
                <w:lang w:eastAsia="es-ES"/>
              </w:rPr>
            </w:pPr>
            <w:r w:rsidRPr="00D106C9">
              <w:rPr>
                <w:bCs/>
                <w:lang w:eastAsia="es-ES"/>
              </w:rPr>
              <w:lastRenderedPageBreak/>
              <w:t xml:space="preserve">Procurar que los objetivos y metas formuladas sean ejecutadas de manera planificada a lo largo de todo el año y evitar formular que el plazo de las metas sea cumplido en su totalidad al finalizar el año.  </w:t>
            </w:r>
          </w:p>
        </w:tc>
        <w:tc>
          <w:tcPr>
            <w:tcW w:w="2078" w:type="pct"/>
            <w:shd w:val="clear" w:color="auto" w:fill="FFFFFF"/>
          </w:tcPr>
          <w:p w14:paraId="4DE35081"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Se revisa el Sistema PAO el 19 de enero del 2022, encontrándose 123 oficinas con registro de cumplimiento inferior al 90% en los avances al Plan Anual Operativo 2021, por lo anterior, las oficinas citadas en el apartado 9.4 del presente informe, </w:t>
            </w:r>
            <w:r w:rsidRPr="00D106C9">
              <w:rPr>
                <w:lang w:eastAsia="es-ES"/>
              </w:rPr>
              <w:t>deben determinar las causas y analizar las metas operativas formuladas que no lograron ser completadas, con el fin de identificar las razones del no cumplimiento total y evitar que en el PAO 2022 se reitere.</w:t>
            </w:r>
          </w:p>
          <w:p w14:paraId="2494552F" w14:textId="77777777" w:rsidR="00D106C9" w:rsidRPr="00D106C9" w:rsidRDefault="00D106C9" w:rsidP="00D106C9">
            <w:pPr>
              <w:widowControl w:val="0"/>
              <w:suppressAutoHyphens w:val="0"/>
              <w:autoSpaceDE w:val="0"/>
              <w:autoSpaceDN w:val="0"/>
              <w:adjustRightInd w:val="0"/>
              <w:jc w:val="both"/>
              <w:rPr>
                <w:b/>
                <w:bCs/>
                <w:lang w:eastAsia="es-CR"/>
              </w:rPr>
            </w:pPr>
          </w:p>
        </w:tc>
      </w:tr>
      <w:tr w:rsidR="00D106C9" w:rsidRPr="00D106C9" w14:paraId="77924E59" w14:textId="77777777" w:rsidTr="006D7BCD">
        <w:trPr>
          <w:trHeight w:val="712"/>
          <w:tblCellSpacing w:w="20" w:type="dxa"/>
          <w:jc w:val="center"/>
        </w:trPr>
        <w:tc>
          <w:tcPr>
            <w:tcW w:w="2854" w:type="pct"/>
            <w:shd w:val="clear" w:color="auto" w:fill="FFFFFF"/>
          </w:tcPr>
          <w:p w14:paraId="0754C368" w14:textId="77777777" w:rsidR="00D106C9" w:rsidRPr="00D106C9" w:rsidRDefault="00D106C9" w:rsidP="003B2E9B">
            <w:pPr>
              <w:widowControl w:val="0"/>
              <w:numPr>
                <w:ilvl w:val="1"/>
                <w:numId w:val="77"/>
              </w:numPr>
              <w:tabs>
                <w:tab w:val="left" w:pos="851"/>
                <w:tab w:val="left" w:pos="993"/>
              </w:tabs>
              <w:suppressAutoHyphens w:val="0"/>
              <w:autoSpaceDE w:val="0"/>
              <w:autoSpaceDN w:val="0"/>
              <w:adjustRightInd w:val="0"/>
              <w:contextualSpacing/>
              <w:jc w:val="both"/>
              <w:rPr>
                <w:bCs/>
                <w:lang w:eastAsia="es-ES"/>
              </w:rPr>
            </w:pPr>
            <w:r w:rsidRPr="00D106C9">
              <w:rPr>
                <w:bCs/>
                <w:lang w:eastAsia="es-ES"/>
              </w:rPr>
              <w:t xml:space="preserve">Actualizar adecuadamente los estados de las metas contenidas en el Sistema PAO, para que, al llevar a cabo la evaluación del PAO al finalizar el año, las metas queden clasificadas en los únicos tres estados avalados: </w:t>
            </w:r>
            <w:r w:rsidRPr="00D106C9">
              <w:rPr>
                <w:b/>
                <w:i/>
                <w:iCs/>
                <w:lang w:eastAsia="es-ES"/>
              </w:rPr>
              <w:t>completado, pendiente o cancelado</w:t>
            </w:r>
            <w:r w:rsidRPr="00D106C9">
              <w:rPr>
                <w:bCs/>
                <w:lang w:eastAsia="es-ES"/>
              </w:rPr>
              <w:t xml:space="preserve"> (este último debe contar un visto bueno por parte de la Dirección de Planificación).</w:t>
            </w:r>
          </w:p>
        </w:tc>
        <w:tc>
          <w:tcPr>
            <w:tcW w:w="2078" w:type="pct"/>
            <w:shd w:val="clear" w:color="auto" w:fill="FFFFFF"/>
          </w:tcPr>
          <w:p w14:paraId="59D911F2"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Al confeccionar el informe de evaluación del Plan Anual Operativo 2021, se puede evidenciar cómo hay oficinas que mantienen metas con el estado denominado “No iniciado”, el cual tiene 22 metas, “Demorado en progreso” cuenta con 13 metas, “Demorado pendiente” tiene 9 metas y “en progreso” cuenta con 118 metas, </w:t>
            </w:r>
            <w:r w:rsidRPr="00D106C9">
              <w:rPr>
                <w:lang w:eastAsia="es-CR"/>
              </w:rPr>
              <w:lastRenderedPageBreak/>
              <w:t>se deberá mantener los 3 estados avalados y no otros estados que no evidencien la realidad de las metas para el periodo 2022.</w:t>
            </w:r>
          </w:p>
        </w:tc>
      </w:tr>
      <w:tr w:rsidR="00D106C9" w:rsidRPr="00D106C9" w14:paraId="3DD742D8" w14:textId="77777777" w:rsidTr="006D7BCD">
        <w:trPr>
          <w:trHeight w:val="712"/>
          <w:tblCellSpacing w:w="20" w:type="dxa"/>
          <w:jc w:val="center"/>
        </w:trPr>
        <w:tc>
          <w:tcPr>
            <w:tcW w:w="2854" w:type="pct"/>
            <w:shd w:val="clear" w:color="auto" w:fill="FFFFFF"/>
          </w:tcPr>
          <w:p w14:paraId="42D49994" w14:textId="77777777" w:rsidR="00D106C9" w:rsidRPr="00D106C9" w:rsidRDefault="00D106C9" w:rsidP="003B2E9B">
            <w:pPr>
              <w:widowControl w:val="0"/>
              <w:numPr>
                <w:ilvl w:val="1"/>
                <w:numId w:val="77"/>
              </w:numPr>
              <w:tabs>
                <w:tab w:val="left" w:pos="851"/>
                <w:tab w:val="left" w:pos="993"/>
              </w:tabs>
              <w:suppressAutoHyphens w:val="0"/>
              <w:autoSpaceDE w:val="0"/>
              <w:autoSpaceDN w:val="0"/>
              <w:adjustRightInd w:val="0"/>
              <w:contextualSpacing/>
              <w:jc w:val="both"/>
              <w:rPr>
                <w:bCs/>
                <w:lang w:eastAsia="es-ES"/>
              </w:rPr>
            </w:pPr>
            <w:r w:rsidRPr="00D106C9">
              <w:rPr>
                <w:bCs/>
                <w:lang w:eastAsia="es-ES"/>
              </w:rPr>
              <w:lastRenderedPageBreak/>
              <w:t xml:space="preserve">Se reitera que la persona que funge como jefatura de la oficina será la responsable de garantizar el cumplimiento del Plan Anual Operativo, para esto debe procurar la participación activa del personal a cargo; lo cual contribuirá al logro de los objetivos propuestos en el PAO del 2021.  </w:t>
            </w:r>
          </w:p>
        </w:tc>
        <w:tc>
          <w:tcPr>
            <w:tcW w:w="2078" w:type="pct"/>
            <w:shd w:val="clear" w:color="auto" w:fill="FFFFFF"/>
          </w:tcPr>
          <w:p w14:paraId="7114964F" w14:textId="77777777" w:rsidR="00D106C9" w:rsidRPr="00D106C9" w:rsidRDefault="00D106C9" w:rsidP="00D106C9">
            <w:pPr>
              <w:widowControl w:val="0"/>
              <w:suppressAutoHyphens w:val="0"/>
              <w:autoSpaceDE w:val="0"/>
              <w:autoSpaceDN w:val="0"/>
              <w:adjustRightInd w:val="0"/>
              <w:jc w:val="both"/>
              <w:rPr>
                <w:b/>
                <w:bCs/>
                <w:lang w:eastAsia="es-CR"/>
              </w:rPr>
            </w:pPr>
            <w:r w:rsidRPr="00D106C9">
              <w:rPr>
                <w:lang w:eastAsia="es-CR"/>
              </w:rPr>
              <w:t>Se revisa el Sistema PAO el 19 de enero del 2022, encontrándose 123 oficinas con registro de cumplimiento inferior al 90% en los avances al Plan Anual Operativo 2021, por lo anterior, no se logró los objetivos propuestos en el PAO 2021.</w:t>
            </w:r>
          </w:p>
        </w:tc>
      </w:tr>
      <w:tr w:rsidR="00D106C9" w:rsidRPr="00D106C9" w14:paraId="55D0AF07" w14:textId="77777777" w:rsidTr="006D7BCD">
        <w:trPr>
          <w:trHeight w:val="712"/>
          <w:tblCellSpacing w:w="20" w:type="dxa"/>
          <w:jc w:val="center"/>
        </w:trPr>
        <w:tc>
          <w:tcPr>
            <w:tcW w:w="2854" w:type="pct"/>
            <w:shd w:val="clear" w:color="auto" w:fill="FFFFFF"/>
          </w:tcPr>
          <w:p w14:paraId="062C32E9" w14:textId="77777777" w:rsidR="00D106C9" w:rsidRPr="00D106C9" w:rsidRDefault="00D106C9" w:rsidP="003B2E9B">
            <w:pPr>
              <w:widowControl w:val="0"/>
              <w:numPr>
                <w:ilvl w:val="1"/>
                <w:numId w:val="77"/>
              </w:numPr>
              <w:tabs>
                <w:tab w:val="left" w:pos="851"/>
                <w:tab w:val="left" w:pos="993"/>
              </w:tabs>
              <w:suppressAutoHyphens w:val="0"/>
              <w:autoSpaceDE w:val="0"/>
              <w:autoSpaceDN w:val="0"/>
              <w:adjustRightInd w:val="0"/>
              <w:contextualSpacing/>
              <w:jc w:val="both"/>
              <w:rPr>
                <w:bCs/>
                <w:lang w:eastAsia="es-ES"/>
              </w:rPr>
            </w:pPr>
            <w:r w:rsidRPr="00D106C9">
              <w:rPr>
                <w:bCs/>
                <w:lang w:eastAsia="es-ES"/>
              </w:rPr>
              <w:t>Se recomienda a las oficinas y despachos judiciales describir el cumplimiento y adjuntar una evidencia conforme a la meta, al objetivo, al eje transversal, esto con el fin de garantizar un cumplimiento efectivo en las metas operativas.</w:t>
            </w:r>
          </w:p>
        </w:tc>
        <w:tc>
          <w:tcPr>
            <w:tcW w:w="2078" w:type="pct"/>
            <w:shd w:val="clear" w:color="auto" w:fill="FFFFFF"/>
          </w:tcPr>
          <w:p w14:paraId="68A9D156" w14:textId="77777777" w:rsidR="00D106C9" w:rsidRPr="00D106C9" w:rsidRDefault="00D106C9" w:rsidP="00D106C9">
            <w:pPr>
              <w:widowControl w:val="0"/>
              <w:suppressAutoHyphens w:val="0"/>
              <w:autoSpaceDE w:val="0"/>
              <w:autoSpaceDN w:val="0"/>
              <w:adjustRightInd w:val="0"/>
              <w:jc w:val="both"/>
              <w:rPr>
                <w:lang w:eastAsia="es-CR"/>
              </w:rPr>
            </w:pPr>
            <w:r w:rsidRPr="00D106C9">
              <w:rPr>
                <w:b/>
                <w:bCs/>
                <w:lang w:eastAsia="es-CR"/>
              </w:rPr>
              <w:t>A</w:t>
            </w:r>
            <w:r w:rsidRPr="00D106C9">
              <w:rPr>
                <w:lang w:eastAsia="es-ES"/>
              </w:rPr>
              <w:t xml:space="preserve"> partir del 8 de diciembre del 2021 la Dirección de Planificación implementó una mejora en el Sistema PAO que permite a las oficinas y despachos redactar los resultados, beneficios y población beneficiada en caso de lograr el cumplimiento total de una meta PAO.  En el caso de que una meta operativa del PAO 2021 quedará con estado de “</w:t>
            </w:r>
            <w:r w:rsidRPr="00D106C9">
              <w:rPr>
                <w:b/>
                <w:bCs/>
                <w:lang w:eastAsia="es-ES"/>
              </w:rPr>
              <w:t>PENDIENTE”</w:t>
            </w:r>
            <w:r w:rsidRPr="00D106C9">
              <w:rPr>
                <w:lang w:eastAsia="es-ES"/>
              </w:rPr>
              <w:t xml:space="preserve"> al no ser posible su ejecución, se podrá redactar una justificación del no cumplimiento de la meta, en donde permite documentar y tener un registro de cuáles son las razones del no cumplimiento de metas PAO a nivel nacional, para posteriores análisis y valorar si se debe reprogramar la meta en el PAO del 2022.</w:t>
            </w:r>
          </w:p>
        </w:tc>
      </w:tr>
    </w:tbl>
    <w:p w14:paraId="41D770C4" w14:textId="77777777" w:rsidR="00D106C9" w:rsidRPr="00D106C9" w:rsidRDefault="00D106C9" w:rsidP="00D106C9">
      <w:pPr>
        <w:widowControl w:val="0"/>
        <w:suppressAutoHyphens w:val="0"/>
        <w:autoSpaceDE w:val="0"/>
        <w:autoSpaceDN w:val="0"/>
        <w:adjustRightInd w:val="0"/>
        <w:jc w:val="both"/>
        <w:rPr>
          <w:rFonts w:eastAsia="Calibri"/>
          <w:lang w:eastAsia="es-ES"/>
        </w:rPr>
      </w:pPr>
    </w:p>
    <w:p w14:paraId="010DE526"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16.3. Recomendación dirigida a las Administraciones Regionales y Consejos de Administración y Centros de Responsabilidad:</w:t>
      </w:r>
    </w:p>
    <w:p w14:paraId="0D1CA365" w14:textId="77777777" w:rsidR="00D106C9" w:rsidRPr="00D106C9" w:rsidRDefault="00D106C9" w:rsidP="00D106C9">
      <w:pPr>
        <w:widowControl w:val="0"/>
        <w:suppressAutoHyphens w:val="0"/>
        <w:autoSpaceDE w:val="0"/>
        <w:autoSpaceDN w:val="0"/>
        <w:adjustRightInd w:val="0"/>
        <w:jc w:val="both"/>
        <w:rPr>
          <w:rFonts w:eastAsia="Calibri"/>
          <w:lang w:eastAsia="es-ES"/>
        </w:rPr>
      </w:pPr>
    </w:p>
    <w:tbl>
      <w:tblPr>
        <w:tblW w:w="5000"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5877"/>
        <w:gridCol w:w="3512"/>
      </w:tblGrid>
      <w:tr w:rsidR="00D106C9" w:rsidRPr="00D106C9" w14:paraId="6D607AA3" w14:textId="77777777" w:rsidTr="006D7BCD">
        <w:trPr>
          <w:trHeight w:val="900"/>
          <w:tblCellSpacing w:w="20" w:type="dxa"/>
          <w:jc w:val="center"/>
        </w:trPr>
        <w:tc>
          <w:tcPr>
            <w:tcW w:w="3095" w:type="pct"/>
            <w:shd w:val="clear" w:color="auto" w:fill="365F91"/>
            <w:vAlign w:val="center"/>
          </w:tcPr>
          <w:p w14:paraId="1EB52333"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Recomendación</w:t>
            </w:r>
          </w:p>
        </w:tc>
        <w:tc>
          <w:tcPr>
            <w:tcW w:w="1837" w:type="pct"/>
            <w:shd w:val="clear" w:color="auto" w:fill="365F91"/>
            <w:vAlign w:val="center"/>
          </w:tcPr>
          <w:p w14:paraId="261421C6"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Observación a la Recomendación al concluir el PAO 2021</w:t>
            </w:r>
          </w:p>
        </w:tc>
      </w:tr>
      <w:tr w:rsidR="00D106C9" w:rsidRPr="00D106C9" w14:paraId="15E09D84" w14:textId="77777777" w:rsidTr="006D7BCD">
        <w:trPr>
          <w:trHeight w:val="712"/>
          <w:tblCellSpacing w:w="20" w:type="dxa"/>
          <w:jc w:val="center"/>
        </w:trPr>
        <w:tc>
          <w:tcPr>
            <w:tcW w:w="3095" w:type="pct"/>
            <w:shd w:val="clear" w:color="auto" w:fill="FFFFFF"/>
          </w:tcPr>
          <w:p w14:paraId="294DAF46" w14:textId="77777777" w:rsidR="00D106C9" w:rsidRPr="00D106C9" w:rsidRDefault="00D106C9" w:rsidP="003B2E9B">
            <w:pPr>
              <w:widowControl w:val="0"/>
              <w:numPr>
                <w:ilvl w:val="1"/>
                <w:numId w:val="77"/>
              </w:numPr>
              <w:tabs>
                <w:tab w:val="left" w:pos="851"/>
              </w:tabs>
              <w:suppressAutoHyphens w:val="0"/>
              <w:autoSpaceDE w:val="0"/>
              <w:autoSpaceDN w:val="0"/>
              <w:adjustRightInd w:val="0"/>
              <w:contextualSpacing/>
              <w:jc w:val="both"/>
              <w:rPr>
                <w:bCs/>
                <w:lang w:eastAsia="es-ES"/>
              </w:rPr>
            </w:pPr>
            <w:r w:rsidRPr="00D106C9">
              <w:rPr>
                <w:bCs/>
                <w:lang w:eastAsia="es-ES"/>
              </w:rPr>
              <w:lastRenderedPageBreak/>
              <w:t xml:space="preserve">Mejorar el apoyo y revisión del proceso de Formulación y Seguimiento de Planes Anuales Operativos. Lo anterior en apego al contenido de las recomendaciones del informe 604-PLA-2021 relacionado con el Resultado del Cumplimiento de los Planes Anuales Operativos 2020, conocido y aprobado por el Consejo Superior en sesión 51-2021, celebrada el 22 de junio del 2021, artículo XXXII, entre cuyos aspectos sobresalen: </w:t>
            </w:r>
          </w:p>
          <w:p w14:paraId="2449C974" w14:textId="77777777" w:rsidR="00D106C9" w:rsidRPr="00D106C9" w:rsidRDefault="00D106C9" w:rsidP="00D106C9">
            <w:pPr>
              <w:widowControl w:val="0"/>
              <w:tabs>
                <w:tab w:val="left" w:pos="993"/>
              </w:tabs>
              <w:suppressAutoHyphens w:val="0"/>
              <w:autoSpaceDE w:val="0"/>
              <w:autoSpaceDN w:val="0"/>
              <w:adjustRightInd w:val="0"/>
              <w:ind w:left="777"/>
              <w:contextualSpacing/>
              <w:jc w:val="both"/>
              <w:rPr>
                <w:bCs/>
                <w:lang w:eastAsia="es-ES"/>
              </w:rPr>
            </w:pPr>
          </w:p>
          <w:p w14:paraId="3DC22362" w14:textId="77777777" w:rsidR="00D106C9" w:rsidRPr="00D106C9" w:rsidRDefault="00D106C9" w:rsidP="00D106C9">
            <w:pPr>
              <w:widowControl w:val="0"/>
              <w:suppressAutoHyphens w:val="0"/>
              <w:autoSpaceDE w:val="0"/>
              <w:autoSpaceDN w:val="0"/>
              <w:adjustRightInd w:val="0"/>
              <w:ind w:right="851"/>
              <w:jc w:val="both"/>
              <w:rPr>
                <w:bCs/>
                <w:i/>
                <w:iCs/>
                <w:lang w:eastAsia="es-ES"/>
              </w:rPr>
            </w:pPr>
            <w:r w:rsidRPr="00D106C9">
              <w:rPr>
                <w:bCs/>
                <w:i/>
                <w:iCs/>
                <w:lang w:eastAsia="es-ES"/>
              </w:rPr>
              <w:t>“(…) 9.1.1. Se recomienda a las Administraciones Regionales y Consejos de Administración y Centros de Responsabilidad:</w:t>
            </w:r>
          </w:p>
          <w:p w14:paraId="5BD441F0" w14:textId="77777777" w:rsidR="00D106C9" w:rsidRPr="00D106C9" w:rsidRDefault="00D106C9" w:rsidP="00D106C9">
            <w:pPr>
              <w:widowControl w:val="0"/>
              <w:tabs>
                <w:tab w:val="left" w:pos="993"/>
              </w:tabs>
              <w:suppressAutoHyphens w:val="0"/>
              <w:autoSpaceDE w:val="0"/>
              <w:autoSpaceDN w:val="0"/>
              <w:adjustRightInd w:val="0"/>
              <w:ind w:left="1006"/>
              <w:contextualSpacing/>
              <w:jc w:val="both"/>
              <w:rPr>
                <w:bCs/>
                <w:lang w:eastAsia="es-ES"/>
              </w:rPr>
            </w:pPr>
          </w:p>
          <w:p w14:paraId="78F27E22" w14:textId="77777777" w:rsidR="00D106C9" w:rsidRPr="00D106C9" w:rsidRDefault="00D106C9" w:rsidP="00D106C9">
            <w:pPr>
              <w:widowControl w:val="0"/>
              <w:numPr>
                <w:ilvl w:val="1"/>
                <w:numId w:val="33"/>
              </w:numPr>
              <w:tabs>
                <w:tab w:val="num" w:pos="0"/>
                <w:tab w:val="num" w:pos="229"/>
              </w:tabs>
              <w:suppressAutoHyphens w:val="0"/>
              <w:autoSpaceDE w:val="0"/>
              <w:autoSpaceDN w:val="0"/>
              <w:adjustRightInd w:val="0"/>
              <w:ind w:left="1669"/>
              <w:contextualSpacing/>
              <w:jc w:val="both"/>
              <w:rPr>
                <w:i/>
                <w:iCs/>
                <w:lang w:eastAsia="es-ES"/>
              </w:rPr>
            </w:pPr>
            <w:r w:rsidRPr="00D106C9">
              <w:rPr>
                <w:bCs/>
                <w:i/>
                <w:iCs/>
                <w:lang w:eastAsia="es-ES"/>
              </w:rPr>
              <w:t xml:space="preserve">La utilización de </w:t>
            </w:r>
            <w:r w:rsidRPr="00D106C9">
              <w:rPr>
                <w:i/>
                <w:iCs/>
                <w:lang w:eastAsia="es-ES"/>
              </w:rPr>
              <w:t xml:space="preserve">datos históricos de variables que produce la oficina como patrón de comportamiento, para que la formulación de las metas sea acorde a la realidad y se pueda alcanzar efectivamente. </w:t>
            </w:r>
          </w:p>
          <w:p w14:paraId="09DDD86A" w14:textId="77777777" w:rsidR="00D106C9" w:rsidRPr="00D106C9" w:rsidRDefault="00D106C9" w:rsidP="00D106C9">
            <w:pPr>
              <w:widowControl w:val="0"/>
              <w:numPr>
                <w:ilvl w:val="1"/>
                <w:numId w:val="33"/>
              </w:numPr>
              <w:tabs>
                <w:tab w:val="num" w:pos="0"/>
                <w:tab w:val="num" w:pos="229"/>
              </w:tabs>
              <w:suppressAutoHyphens w:val="0"/>
              <w:autoSpaceDE w:val="0"/>
              <w:autoSpaceDN w:val="0"/>
              <w:adjustRightInd w:val="0"/>
              <w:ind w:left="1669"/>
              <w:contextualSpacing/>
              <w:jc w:val="both"/>
              <w:rPr>
                <w:bCs/>
                <w:i/>
                <w:iCs/>
                <w:lang w:eastAsia="es-ES"/>
              </w:rPr>
            </w:pPr>
            <w:r w:rsidRPr="00D106C9">
              <w:rPr>
                <w:i/>
                <w:iCs/>
                <w:lang w:eastAsia="es-ES"/>
              </w:rPr>
              <w:t xml:space="preserve">La importancia de tomar en cuenta la capacidad instalada de la oficina, así como los riesgos asociados a cada objetivo, para valorar la posibilidad de cumplimiento de las metas que se proponen.  </w:t>
            </w:r>
          </w:p>
          <w:p w14:paraId="1EC409F1" w14:textId="77777777" w:rsidR="00D106C9" w:rsidRPr="00D106C9" w:rsidRDefault="00D106C9" w:rsidP="00D106C9">
            <w:pPr>
              <w:widowControl w:val="0"/>
              <w:numPr>
                <w:ilvl w:val="1"/>
                <w:numId w:val="33"/>
              </w:numPr>
              <w:tabs>
                <w:tab w:val="num" w:pos="0"/>
                <w:tab w:val="num" w:pos="229"/>
              </w:tabs>
              <w:suppressAutoHyphens w:val="0"/>
              <w:autoSpaceDE w:val="0"/>
              <w:autoSpaceDN w:val="0"/>
              <w:adjustRightInd w:val="0"/>
              <w:ind w:left="1669"/>
              <w:contextualSpacing/>
              <w:jc w:val="both"/>
              <w:rPr>
                <w:i/>
                <w:iCs/>
                <w:lang w:eastAsia="es-ES"/>
              </w:rPr>
            </w:pPr>
            <w:r w:rsidRPr="00D106C9">
              <w:rPr>
                <w:i/>
                <w:iCs/>
                <w:lang w:eastAsia="es-ES"/>
              </w:rPr>
              <w:t>El seguimiento efectivo de la ejecución de las actividades programadas en la forma y plazo establecido, garantizando el avance de las metas al finalizar el segundo semestre del 2020.</w:t>
            </w:r>
          </w:p>
          <w:p w14:paraId="61BE1533" w14:textId="77777777" w:rsidR="00D106C9" w:rsidRPr="00D106C9" w:rsidRDefault="00D106C9" w:rsidP="00D106C9">
            <w:pPr>
              <w:widowControl w:val="0"/>
              <w:numPr>
                <w:ilvl w:val="1"/>
                <w:numId w:val="33"/>
              </w:numPr>
              <w:tabs>
                <w:tab w:val="num" w:pos="0"/>
                <w:tab w:val="num" w:pos="229"/>
              </w:tabs>
              <w:suppressAutoHyphens w:val="0"/>
              <w:autoSpaceDE w:val="0"/>
              <w:autoSpaceDN w:val="0"/>
              <w:adjustRightInd w:val="0"/>
              <w:ind w:left="1669"/>
              <w:contextualSpacing/>
              <w:jc w:val="both"/>
              <w:rPr>
                <w:i/>
                <w:iCs/>
                <w:lang w:eastAsia="es-ES"/>
              </w:rPr>
            </w:pPr>
            <w:r w:rsidRPr="00D106C9">
              <w:rPr>
                <w:i/>
                <w:iCs/>
                <w:lang w:eastAsia="es-ES"/>
              </w:rPr>
              <w:t>La importancia de realizar de manera anticipada la coordinación con instancias relacionadas a la ejecución de las metas propuestas, que asegure el cumplimiento de los planes de trabajo.</w:t>
            </w:r>
          </w:p>
          <w:p w14:paraId="54403DA3" w14:textId="77777777" w:rsidR="00D106C9" w:rsidRPr="00D106C9" w:rsidRDefault="00D106C9" w:rsidP="00D106C9">
            <w:pPr>
              <w:widowControl w:val="0"/>
              <w:numPr>
                <w:ilvl w:val="1"/>
                <w:numId w:val="33"/>
              </w:numPr>
              <w:tabs>
                <w:tab w:val="num" w:pos="0"/>
                <w:tab w:val="num" w:pos="229"/>
              </w:tabs>
              <w:suppressAutoHyphens w:val="0"/>
              <w:autoSpaceDE w:val="0"/>
              <w:autoSpaceDN w:val="0"/>
              <w:adjustRightInd w:val="0"/>
              <w:ind w:left="1669"/>
              <w:contextualSpacing/>
              <w:jc w:val="both"/>
              <w:rPr>
                <w:i/>
                <w:iCs/>
                <w:lang w:eastAsia="es-ES"/>
              </w:rPr>
            </w:pPr>
            <w:r w:rsidRPr="00D106C9">
              <w:rPr>
                <w:i/>
                <w:iCs/>
                <w:lang w:eastAsia="es-ES"/>
              </w:rPr>
              <w:t xml:space="preserve">En el caso de los Centros de Responsabilidad, se requiere que brinden un apoyo y acompañamiento a las oficinas que los integran. El </w:t>
            </w:r>
            <w:r w:rsidRPr="00D106C9">
              <w:rPr>
                <w:i/>
                <w:iCs/>
                <w:lang w:eastAsia="es-ES"/>
              </w:rPr>
              <w:lastRenderedPageBreak/>
              <w:t>seguimiento efectivo de la ejecución de las actividades programadas en la forma y plazo establecido, garantizando el avance de las metas y la efectiva distribución a lo largo del año. Esta actividad será complementada por medio de notificaciones automáticas que generará el Sistema PAO en el caso de las oficinas y despachos que tengan metas pendientes de actualizar. Las notificaciones provenientes del Sistema PAO le llegarán tanto a las personas encargadas de los Centros de Responsabilidad, como a las oficinas, despachos y coordinadores de Comisiones Institucionales respectivas.</w:t>
            </w:r>
          </w:p>
          <w:p w14:paraId="3F897693" w14:textId="77777777" w:rsidR="00D106C9" w:rsidRPr="00D106C9" w:rsidRDefault="00D106C9" w:rsidP="00D106C9">
            <w:pPr>
              <w:widowControl w:val="0"/>
              <w:numPr>
                <w:ilvl w:val="1"/>
                <w:numId w:val="33"/>
              </w:numPr>
              <w:tabs>
                <w:tab w:val="num" w:pos="0"/>
                <w:tab w:val="num" w:pos="229"/>
              </w:tabs>
              <w:suppressAutoHyphens w:val="0"/>
              <w:autoSpaceDE w:val="0"/>
              <w:autoSpaceDN w:val="0"/>
              <w:adjustRightInd w:val="0"/>
              <w:ind w:left="1669"/>
              <w:contextualSpacing/>
              <w:jc w:val="both"/>
              <w:rPr>
                <w:i/>
                <w:iCs/>
                <w:lang w:eastAsia="es-ES"/>
              </w:rPr>
            </w:pPr>
            <w:r w:rsidRPr="00D106C9">
              <w:rPr>
                <w:i/>
                <w:iCs/>
                <w:lang w:eastAsia="es-ES"/>
              </w:rPr>
              <w:t xml:space="preserve">A raíz de la necesidad de realizar mejores y más constantes seguimientos por parte de los Centros de Responsabilidad, se desarrolló una mejora en el Sistema PAO para que los encargados de Centros de Responsabilidad pueden revisar los documentos y la evidencias que las oficinas suben como justificación del avance de las metas PAO. Esos perfiles pueden ver los documentos solo de las que las oficinas pertenecientes a su propio Centro de Responsabilidad. Este seguimiento debería estar documentado en las reuniones de los Consejos de Administración para que se visualice su seguimiento y dejarlo consignado en las minutas de las sesiones de estos Consejos. </w:t>
            </w:r>
          </w:p>
          <w:p w14:paraId="1796AF82" w14:textId="77777777" w:rsidR="00D106C9" w:rsidRPr="00D106C9" w:rsidRDefault="00D106C9" w:rsidP="00D106C9">
            <w:pPr>
              <w:widowControl w:val="0"/>
              <w:numPr>
                <w:ilvl w:val="1"/>
                <w:numId w:val="33"/>
              </w:numPr>
              <w:tabs>
                <w:tab w:val="num" w:pos="0"/>
                <w:tab w:val="num" w:pos="229"/>
              </w:tabs>
              <w:suppressAutoHyphens w:val="0"/>
              <w:autoSpaceDE w:val="0"/>
              <w:autoSpaceDN w:val="0"/>
              <w:adjustRightInd w:val="0"/>
              <w:ind w:left="1669"/>
              <w:contextualSpacing/>
              <w:jc w:val="both"/>
              <w:rPr>
                <w:i/>
                <w:iCs/>
                <w:lang w:eastAsia="es-ES"/>
              </w:rPr>
            </w:pPr>
            <w:r w:rsidRPr="00D106C9">
              <w:rPr>
                <w:i/>
                <w:iCs/>
                <w:lang w:eastAsia="es-ES"/>
              </w:rPr>
              <w:t xml:space="preserve">Todos los Centros de Responsabilidad a nivel nacional deberán replicar la capacitación que imparte la Dirección de Planificación al personal de las oficinas administrativas y </w:t>
            </w:r>
            <w:r w:rsidRPr="00D106C9">
              <w:rPr>
                <w:i/>
                <w:iCs/>
                <w:lang w:eastAsia="es-ES"/>
              </w:rPr>
              <w:lastRenderedPageBreak/>
              <w:t>jurisdiccionales; así como, atender las distintas consultas relacionadas con la formulación y seguimiento del PAO, en caso de requerir estos Centros la capacitación por parte de la Dirección de Planificación, solicitarla para realizar la respectiva programación. (…)”</w:t>
            </w:r>
          </w:p>
        </w:tc>
        <w:tc>
          <w:tcPr>
            <w:tcW w:w="1837" w:type="pct"/>
            <w:shd w:val="clear" w:color="auto" w:fill="FFFFFF"/>
          </w:tcPr>
          <w:p w14:paraId="0AD7DA5B" w14:textId="77777777" w:rsidR="00D106C9" w:rsidRPr="00D106C9" w:rsidRDefault="00D106C9" w:rsidP="00D106C9">
            <w:pPr>
              <w:widowControl w:val="0"/>
              <w:suppressAutoHyphens w:val="0"/>
              <w:autoSpaceDE w:val="0"/>
              <w:autoSpaceDN w:val="0"/>
              <w:adjustRightInd w:val="0"/>
              <w:jc w:val="both"/>
              <w:rPr>
                <w:b/>
                <w:bCs/>
                <w:lang w:eastAsia="es-CR"/>
              </w:rPr>
            </w:pPr>
            <w:r w:rsidRPr="00D106C9">
              <w:rPr>
                <w:b/>
                <w:bCs/>
                <w:lang w:eastAsia="es-ES"/>
              </w:rPr>
              <w:lastRenderedPageBreak/>
              <w:t>Si bien los Centros de Responsabilidad han mejorado en el apoyo en la revisión de Formulación y Seguimiento de Planes Anuales Operativos, se necesita que los Centros de Responsabilidad atiendan las diferentes consultas que realizan las oficinas y despachos adscritos al Centro de Responsabilidad, relacionadas con la formulación y avance del PAO, esto con el fin de realizar de manera anticipada la coordinación con las instancias relacionadas a la ejecución de las metas propuestas, que asegure el cumplimiento de los planes de trabajo, utilizando los sistemas informáticos que facilitan esta labor. Esto debido a que la Dirección de Planificación recibe consultas de los diferentes oficinas y despachos judiciales sin haber sido canalizadas por medio de los Centros de Responsabilidad.</w:t>
            </w:r>
          </w:p>
        </w:tc>
      </w:tr>
    </w:tbl>
    <w:p w14:paraId="65079D3A" w14:textId="77777777" w:rsidR="00D106C9" w:rsidRPr="00D106C9" w:rsidRDefault="00D106C9" w:rsidP="00D106C9">
      <w:pPr>
        <w:widowControl w:val="0"/>
        <w:suppressAutoHyphens w:val="0"/>
        <w:autoSpaceDE w:val="0"/>
        <w:autoSpaceDN w:val="0"/>
        <w:adjustRightInd w:val="0"/>
        <w:jc w:val="both"/>
        <w:rPr>
          <w:rFonts w:eastAsia="Calibri"/>
          <w:lang w:eastAsia="es-ES"/>
        </w:rPr>
      </w:pPr>
    </w:p>
    <w:p w14:paraId="7027B6D3"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15.4. Recomendación dirigida a los Programas Presupuestarios</w:t>
      </w:r>
    </w:p>
    <w:p w14:paraId="3E9DA70D" w14:textId="77777777" w:rsidR="00D106C9" w:rsidRPr="00D106C9" w:rsidRDefault="00D106C9" w:rsidP="00D106C9">
      <w:pPr>
        <w:widowControl w:val="0"/>
        <w:suppressAutoHyphens w:val="0"/>
        <w:autoSpaceDE w:val="0"/>
        <w:autoSpaceDN w:val="0"/>
        <w:adjustRightInd w:val="0"/>
        <w:rPr>
          <w:lang w:eastAsia="es-ES"/>
        </w:rPr>
      </w:pPr>
    </w:p>
    <w:tbl>
      <w:tblPr>
        <w:tblW w:w="5000"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5877"/>
        <w:gridCol w:w="3512"/>
      </w:tblGrid>
      <w:tr w:rsidR="00D106C9" w:rsidRPr="00D106C9" w14:paraId="778ED8DF" w14:textId="77777777" w:rsidTr="006D7BCD">
        <w:trPr>
          <w:trHeight w:val="900"/>
          <w:tblCellSpacing w:w="20" w:type="dxa"/>
          <w:jc w:val="center"/>
        </w:trPr>
        <w:tc>
          <w:tcPr>
            <w:tcW w:w="3095" w:type="pct"/>
            <w:shd w:val="clear" w:color="auto" w:fill="365F91"/>
            <w:vAlign w:val="center"/>
          </w:tcPr>
          <w:p w14:paraId="411E74DD"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Recomendación</w:t>
            </w:r>
          </w:p>
        </w:tc>
        <w:tc>
          <w:tcPr>
            <w:tcW w:w="1837" w:type="pct"/>
            <w:shd w:val="clear" w:color="auto" w:fill="365F91"/>
            <w:vAlign w:val="center"/>
          </w:tcPr>
          <w:p w14:paraId="487625A4"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Observación a la Recomendación al concluir el PAO 2021</w:t>
            </w:r>
          </w:p>
        </w:tc>
      </w:tr>
      <w:tr w:rsidR="00D106C9" w:rsidRPr="00D106C9" w14:paraId="37405BBE" w14:textId="77777777" w:rsidTr="006D7BCD">
        <w:trPr>
          <w:trHeight w:val="712"/>
          <w:tblCellSpacing w:w="20" w:type="dxa"/>
          <w:jc w:val="center"/>
        </w:trPr>
        <w:tc>
          <w:tcPr>
            <w:tcW w:w="3095" w:type="pct"/>
            <w:shd w:val="clear" w:color="auto" w:fill="FFFFFF"/>
          </w:tcPr>
          <w:p w14:paraId="3E22CA1D" w14:textId="77777777" w:rsidR="00D106C9" w:rsidRPr="00D106C9" w:rsidRDefault="00D106C9" w:rsidP="003B2E9B">
            <w:pPr>
              <w:widowControl w:val="0"/>
              <w:numPr>
                <w:ilvl w:val="1"/>
                <w:numId w:val="77"/>
              </w:numPr>
              <w:tabs>
                <w:tab w:val="left" w:pos="851"/>
              </w:tabs>
              <w:suppressAutoHyphens w:val="0"/>
              <w:autoSpaceDE w:val="0"/>
              <w:autoSpaceDN w:val="0"/>
              <w:adjustRightInd w:val="0"/>
              <w:contextualSpacing/>
              <w:jc w:val="both"/>
              <w:rPr>
                <w:i/>
                <w:iCs/>
                <w:lang w:eastAsia="es-ES"/>
              </w:rPr>
            </w:pPr>
            <w:r w:rsidRPr="00D106C9">
              <w:rPr>
                <w:bCs/>
                <w:lang w:eastAsia="es-ES"/>
              </w:rPr>
              <w:t xml:space="preserve"> </w:t>
            </w:r>
            <w:r w:rsidRPr="00D106C9">
              <w:rPr>
                <w:lang w:eastAsia="es-ES"/>
              </w:rPr>
              <w:t>Instar a las oficinas y despachos judiciales, prestar atención en lo que falta del 2021 para lograr el mejor cumplimiento posible del PAO 2021.</w:t>
            </w:r>
          </w:p>
          <w:p w14:paraId="57B091FA" w14:textId="77777777" w:rsidR="00D106C9" w:rsidRPr="00D106C9" w:rsidRDefault="00D106C9" w:rsidP="00D106C9">
            <w:pPr>
              <w:widowControl w:val="0"/>
              <w:suppressAutoHyphens w:val="0"/>
              <w:autoSpaceDE w:val="0"/>
              <w:autoSpaceDN w:val="0"/>
              <w:adjustRightInd w:val="0"/>
              <w:contextualSpacing/>
              <w:jc w:val="both"/>
              <w:rPr>
                <w:i/>
                <w:iCs/>
                <w:lang w:eastAsia="es-ES"/>
              </w:rPr>
            </w:pPr>
          </w:p>
          <w:p w14:paraId="2BDCFCB0" w14:textId="77777777" w:rsidR="00D106C9" w:rsidRPr="00D106C9" w:rsidRDefault="00D106C9" w:rsidP="00D106C9">
            <w:pPr>
              <w:widowControl w:val="0"/>
              <w:suppressAutoHyphens w:val="0"/>
              <w:autoSpaceDE w:val="0"/>
              <w:autoSpaceDN w:val="0"/>
              <w:adjustRightInd w:val="0"/>
              <w:jc w:val="both"/>
              <w:rPr>
                <w:i/>
                <w:iCs/>
                <w:lang w:eastAsia="es-ES"/>
              </w:rPr>
            </w:pPr>
          </w:p>
        </w:tc>
        <w:tc>
          <w:tcPr>
            <w:tcW w:w="1837" w:type="pct"/>
            <w:shd w:val="clear" w:color="auto" w:fill="FFFFFF"/>
          </w:tcPr>
          <w:p w14:paraId="57D6AFBF" w14:textId="77777777" w:rsidR="00D106C9" w:rsidRPr="00D106C9" w:rsidRDefault="00D106C9" w:rsidP="00D106C9">
            <w:pPr>
              <w:widowControl w:val="0"/>
              <w:suppressAutoHyphens w:val="0"/>
              <w:autoSpaceDE w:val="0"/>
              <w:autoSpaceDN w:val="0"/>
              <w:adjustRightInd w:val="0"/>
              <w:jc w:val="both"/>
              <w:rPr>
                <w:b/>
                <w:bCs/>
                <w:lang w:eastAsia="es-CR"/>
              </w:rPr>
            </w:pPr>
            <w:r w:rsidRPr="00D106C9">
              <w:rPr>
                <w:lang w:eastAsia="es-CR"/>
              </w:rPr>
              <w:t xml:space="preserve">Se analiza los datos presentados en la evaluación del Plan Anual Operativo 2020 y los datos consignados en la evaluación del Plan Anual Operativo 2021, encontrándose los Programas Presupuestario del Mientras el </w:t>
            </w:r>
            <w:r w:rsidRPr="00D106C9">
              <w:rPr>
                <w:lang w:eastAsia="es-ES"/>
              </w:rPr>
              <w:t>Organismo de Investigación, el Servicio Jurisdiccional y el Servicio de Atención y Protección de Víctimas y Testigos, con una disminución en el cumplimiento de los avances del PAO.</w:t>
            </w:r>
          </w:p>
          <w:p w14:paraId="62211AFC" w14:textId="77777777" w:rsidR="00D106C9" w:rsidRPr="00D106C9" w:rsidRDefault="00D106C9" w:rsidP="00D106C9">
            <w:pPr>
              <w:widowControl w:val="0"/>
              <w:suppressAutoHyphens w:val="0"/>
              <w:autoSpaceDE w:val="0"/>
              <w:autoSpaceDN w:val="0"/>
              <w:adjustRightInd w:val="0"/>
              <w:spacing w:before="100" w:after="100"/>
              <w:jc w:val="both"/>
              <w:rPr>
                <w:lang w:eastAsia="es-ES"/>
              </w:rPr>
            </w:pPr>
          </w:p>
          <w:p w14:paraId="2B152544" w14:textId="77777777" w:rsidR="00D106C9" w:rsidRPr="00D106C9" w:rsidRDefault="00D106C9" w:rsidP="00D106C9">
            <w:pPr>
              <w:widowControl w:val="0"/>
              <w:suppressAutoHyphens w:val="0"/>
              <w:autoSpaceDE w:val="0"/>
              <w:autoSpaceDN w:val="0"/>
              <w:adjustRightInd w:val="0"/>
              <w:jc w:val="both"/>
              <w:rPr>
                <w:lang w:eastAsia="es-CR"/>
              </w:rPr>
            </w:pPr>
          </w:p>
          <w:p w14:paraId="654374DF" w14:textId="77777777" w:rsidR="00D106C9" w:rsidRPr="00D106C9" w:rsidRDefault="00D106C9" w:rsidP="00D106C9">
            <w:pPr>
              <w:widowControl w:val="0"/>
              <w:suppressAutoHyphens w:val="0"/>
              <w:autoSpaceDE w:val="0"/>
              <w:autoSpaceDN w:val="0"/>
              <w:adjustRightInd w:val="0"/>
              <w:jc w:val="both"/>
              <w:rPr>
                <w:lang w:eastAsia="es-CR"/>
              </w:rPr>
            </w:pPr>
          </w:p>
          <w:p w14:paraId="67E780AD" w14:textId="77777777" w:rsidR="00D106C9" w:rsidRPr="00D106C9" w:rsidRDefault="00D106C9" w:rsidP="00D106C9">
            <w:pPr>
              <w:widowControl w:val="0"/>
              <w:suppressAutoHyphens w:val="0"/>
              <w:autoSpaceDE w:val="0"/>
              <w:autoSpaceDN w:val="0"/>
              <w:adjustRightInd w:val="0"/>
              <w:jc w:val="both"/>
              <w:rPr>
                <w:lang w:eastAsia="es-CR"/>
              </w:rPr>
            </w:pPr>
          </w:p>
        </w:tc>
      </w:tr>
    </w:tbl>
    <w:p w14:paraId="3B0C5B45" w14:textId="77777777" w:rsidR="00D106C9" w:rsidRPr="00D106C9" w:rsidRDefault="00D106C9" w:rsidP="00D106C9">
      <w:pPr>
        <w:widowControl w:val="0"/>
        <w:suppressAutoHyphens w:val="0"/>
        <w:autoSpaceDE w:val="0"/>
        <w:autoSpaceDN w:val="0"/>
        <w:adjustRightInd w:val="0"/>
        <w:rPr>
          <w:lang w:eastAsia="es-ES"/>
        </w:rPr>
      </w:pPr>
    </w:p>
    <w:p w14:paraId="64163856" w14:textId="77777777" w:rsidR="00D106C9" w:rsidRPr="00D106C9" w:rsidRDefault="00D106C9" w:rsidP="00D106C9">
      <w:pPr>
        <w:widowControl w:val="0"/>
        <w:suppressAutoHyphens w:val="0"/>
        <w:autoSpaceDE w:val="0"/>
        <w:autoSpaceDN w:val="0"/>
        <w:adjustRightInd w:val="0"/>
        <w:rPr>
          <w:lang w:eastAsia="es-ES"/>
        </w:rPr>
      </w:pPr>
    </w:p>
    <w:p w14:paraId="437C2604" w14:textId="77777777" w:rsidR="00D106C9" w:rsidRPr="00D106C9" w:rsidRDefault="00D106C9" w:rsidP="00D106C9">
      <w:pPr>
        <w:widowControl w:val="0"/>
        <w:suppressAutoHyphens w:val="0"/>
        <w:autoSpaceDE w:val="0"/>
        <w:autoSpaceDN w:val="0"/>
        <w:adjustRightInd w:val="0"/>
        <w:ind w:left="851" w:right="851" w:firstLine="709"/>
        <w:rPr>
          <w:lang w:eastAsia="es-ES"/>
        </w:rPr>
      </w:pPr>
      <w:r w:rsidRPr="00D106C9">
        <w:rPr>
          <w:lang w:eastAsia="es-ES"/>
        </w:rPr>
        <w:t xml:space="preserve"> 16.5. Recomendación dirigida a los </w:t>
      </w:r>
      <w:proofErr w:type="gramStart"/>
      <w:r w:rsidRPr="00D106C9">
        <w:rPr>
          <w:lang w:eastAsia="es-ES"/>
        </w:rPr>
        <w:t>Responsables</w:t>
      </w:r>
      <w:proofErr w:type="gramEnd"/>
      <w:r w:rsidRPr="00D106C9">
        <w:rPr>
          <w:lang w:eastAsia="es-ES"/>
        </w:rPr>
        <w:t xml:space="preserve"> Estratégicos.</w:t>
      </w:r>
    </w:p>
    <w:p w14:paraId="0CCB3B14" w14:textId="77777777" w:rsidR="00D106C9" w:rsidRPr="00D106C9" w:rsidRDefault="00D106C9" w:rsidP="00D106C9">
      <w:pPr>
        <w:widowControl w:val="0"/>
        <w:suppressAutoHyphens w:val="0"/>
        <w:autoSpaceDE w:val="0"/>
        <w:autoSpaceDN w:val="0"/>
        <w:adjustRightInd w:val="0"/>
        <w:jc w:val="both"/>
        <w:rPr>
          <w:rFonts w:eastAsia="Calibri"/>
          <w:lang w:eastAsia="es-ES"/>
        </w:rPr>
      </w:pPr>
    </w:p>
    <w:tbl>
      <w:tblPr>
        <w:tblW w:w="5000" w:type="pct"/>
        <w:jc w:val="center"/>
        <w:tblCellSpacing w:w="20" w:type="dxa"/>
        <w:tblBorders>
          <w:top w:val="outset" w:sz="6" w:space="0" w:color="365F91"/>
          <w:left w:val="outset" w:sz="6" w:space="0" w:color="365F91"/>
          <w:bottom w:val="inset" w:sz="6" w:space="0" w:color="365F91"/>
          <w:right w:val="inset" w:sz="6" w:space="0" w:color="365F91"/>
          <w:insideH w:val="single" w:sz="6" w:space="0" w:color="365F91"/>
          <w:insideV w:val="single" w:sz="6" w:space="0" w:color="365F91"/>
        </w:tblBorders>
        <w:tblLayout w:type="fixed"/>
        <w:tblLook w:val="04A0" w:firstRow="1" w:lastRow="0" w:firstColumn="1" w:lastColumn="0" w:noHBand="0" w:noVBand="1"/>
      </w:tblPr>
      <w:tblGrid>
        <w:gridCol w:w="5877"/>
        <w:gridCol w:w="3512"/>
      </w:tblGrid>
      <w:tr w:rsidR="00D106C9" w:rsidRPr="00D106C9" w14:paraId="243B1963" w14:textId="77777777" w:rsidTr="006D7BCD">
        <w:trPr>
          <w:trHeight w:val="900"/>
          <w:tblCellSpacing w:w="20" w:type="dxa"/>
          <w:jc w:val="center"/>
        </w:trPr>
        <w:tc>
          <w:tcPr>
            <w:tcW w:w="3095" w:type="pct"/>
            <w:shd w:val="clear" w:color="auto" w:fill="365F91"/>
            <w:vAlign w:val="center"/>
          </w:tcPr>
          <w:p w14:paraId="6BA616A6"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lastRenderedPageBreak/>
              <w:t>Recomendación</w:t>
            </w:r>
          </w:p>
        </w:tc>
        <w:tc>
          <w:tcPr>
            <w:tcW w:w="1837" w:type="pct"/>
            <w:shd w:val="clear" w:color="auto" w:fill="365F91"/>
            <w:vAlign w:val="center"/>
          </w:tcPr>
          <w:p w14:paraId="5DBFDAD6" w14:textId="77777777" w:rsidR="00D106C9" w:rsidRPr="00D106C9" w:rsidRDefault="00D106C9" w:rsidP="00D106C9">
            <w:pPr>
              <w:widowControl w:val="0"/>
              <w:suppressAutoHyphens w:val="0"/>
              <w:autoSpaceDE w:val="0"/>
              <w:autoSpaceDN w:val="0"/>
              <w:adjustRightInd w:val="0"/>
              <w:jc w:val="center"/>
              <w:rPr>
                <w:b/>
                <w:lang w:eastAsia="es-ES"/>
              </w:rPr>
            </w:pPr>
            <w:r w:rsidRPr="00D106C9">
              <w:rPr>
                <w:b/>
                <w:lang w:eastAsia="es-ES"/>
              </w:rPr>
              <w:t>Observación a la Recomendación al concluir el PAO 2021</w:t>
            </w:r>
          </w:p>
        </w:tc>
      </w:tr>
      <w:tr w:rsidR="00D106C9" w:rsidRPr="00D106C9" w14:paraId="6B80F34B" w14:textId="77777777" w:rsidTr="006D7BCD">
        <w:trPr>
          <w:trHeight w:val="712"/>
          <w:tblCellSpacing w:w="20" w:type="dxa"/>
          <w:jc w:val="center"/>
        </w:trPr>
        <w:tc>
          <w:tcPr>
            <w:tcW w:w="3095" w:type="pct"/>
            <w:shd w:val="clear" w:color="auto" w:fill="FFFFFF"/>
          </w:tcPr>
          <w:p w14:paraId="0A49B60C" w14:textId="77777777" w:rsidR="00D106C9" w:rsidRPr="00D106C9" w:rsidRDefault="00D106C9" w:rsidP="003B2E9B">
            <w:pPr>
              <w:widowControl w:val="0"/>
              <w:numPr>
                <w:ilvl w:val="1"/>
                <w:numId w:val="77"/>
              </w:numPr>
              <w:tabs>
                <w:tab w:val="left" w:pos="851"/>
              </w:tabs>
              <w:suppressAutoHyphens w:val="0"/>
              <w:autoSpaceDE w:val="0"/>
              <w:autoSpaceDN w:val="0"/>
              <w:adjustRightInd w:val="0"/>
              <w:contextualSpacing/>
              <w:jc w:val="both"/>
              <w:rPr>
                <w:lang w:eastAsia="es-ES"/>
              </w:rPr>
            </w:pPr>
            <w:r w:rsidRPr="00D106C9">
              <w:rPr>
                <w:lang w:eastAsia="es-ES"/>
              </w:rPr>
              <w:t xml:space="preserve"> Coordinar y dar seguimiento a los responsables operativos con el fin de registrar los avances de las metas contenidas en los Planes Anuales Operativos que están vinculados con el Plan Estratégico Institucional de manera periódica, debido a la importancia que revisten esas metas al contribuir de manera directa con el cumplimiento del PEI. </w:t>
            </w:r>
          </w:p>
          <w:p w14:paraId="48D99DFC" w14:textId="77777777" w:rsidR="00D106C9" w:rsidRPr="00D106C9" w:rsidRDefault="00D106C9" w:rsidP="00D106C9">
            <w:pPr>
              <w:widowControl w:val="0"/>
              <w:tabs>
                <w:tab w:val="left" w:pos="851"/>
              </w:tabs>
              <w:suppressAutoHyphens w:val="0"/>
              <w:autoSpaceDE w:val="0"/>
              <w:autoSpaceDN w:val="0"/>
              <w:adjustRightInd w:val="0"/>
              <w:jc w:val="both"/>
              <w:rPr>
                <w:i/>
                <w:iCs/>
                <w:lang w:eastAsia="es-ES"/>
              </w:rPr>
            </w:pPr>
          </w:p>
          <w:p w14:paraId="5F8EAC27" w14:textId="77777777" w:rsidR="00D106C9" w:rsidRPr="00D106C9" w:rsidRDefault="00D106C9" w:rsidP="00D106C9">
            <w:pPr>
              <w:widowControl w:val="0"/>
              <w:suppressAutoHyphens w:val="0"/>
              <w:autoSpaceDE w:val="0"/>
              <w:autoSpaceDN w:val="0"/>
              <w:adjustRightInd w:val="0"/>
              <w:contextualSpacing/>
              <w:jc w:val="both"/>
              <w:rPr>
                <w:i/>
                <w:iCs/>
                <w:lang w:eastAsia="es-ES"/>
              </w:rPr>
            </w:pPr>
          </w:p>
          <w:p w14:paraId="7F6F4BAD" w14:textId="77777777" w:rsidR="00D106C9" w:rsidRPr="00D106C9" w:rsidRDefault="00D106C9" w:rsidP="00D106C9">
            <w:pPr>
              <w:widowControl w:val="0"/>
              <w:suppressAutoHyphens w:val="0"/>
              <w:autoSpaceDE w:val="0"/>
              <w:autoSpaceDN w:val="0"/>
              <w:adjustRightInd w:val="0"/>
              <w:jc w:val="both"/>
              <w:rPr>
                <w:i/>
                <w:iCs/>
                <w:lang w:eastAsia="es-ES"/>
              </w:rPr>
            </w:pPr>
          </w:p>
        </w:tc>
        <w:tc>
          <w:tcPr>
            <w:tcW w:w="1837" w:type="pct"/>
            <w:shd w:val="clear" w:color="auto" w:fill="FFFFFF"/>
          </w:tcPr>
          <w:p w14:paraId="6BB7212F" w14:textId="77777777" w:rsidR="00D106C9" w:rsidRPr="00D106C9" w:rsidRDefault="00D106C9" w:rsidP="00D106C9">
            <w:pPr>
              <w:widowControl w:val="0"/>
              <w:suppressAutoHyphens w:val="0"/>
              <w:autoSpaceDE w:val="0"/>
              <w:autoSpaceDN w:val="0"/>
              <w:adjustRightInd w:val="0"/>
              <w:jc w:val="both"/>
              <w:rPr>
                <w:lang w:eastAsia="es-CR"/>
              </w:rPr>
            </w:pPr>
            <w:r w:rsidRPr="00D106C9">
              <w:rPr>
                <w:lang w:eastAsia="es-CR"/>
              </w:rPr>
              <w:t xml:space="preserve">Se revisa el Sistema PAO el 19 de enero del 2022, encontrándose 476 metas operativas vinculadas al PEI con registro de cumplimiento inferior al 90%, </w:t>
            </w:r>
            <w:r w:rsidRPr="00D106C9">
              <w:rPr>
                <w:lang w:eastAsia="es-ES"/>
              </w:rPr>
              <w:t xml:space="preserve">es </w:t>
            </w:r>
            <w:r w:rsidRPr="00D106C9">
              <w:rPr>
                <w:lang w:eastAsia="es-CR"/>
              </w:rPr>
              <w:t>importante destacar que se evidencia una mejoría en la cantidad de metas operativas vinculadas al PEI que registran los avances en los plazos brindados, ya que, en el seguimiento realizado en el mes de setiembre del 2021 se evidenciaron un total de 2076 metas operativas vinculadas al PEI con el avance adecuado para ese momento.</w:t>
            </w:r>
          </w:p>
        </w:tc>
      </w:tr>
    </w:tbl>
    <w:p w14:paraId="4D0281C0" w14:textId="77777777" w:rsidR="00D106C9" w:rsidRPr="00D106C9" w:rsidRDefault="00D106C9" w:rsidP="00D106C9">
      <w:pPr>
        <w:widowControl w:val="0"/>
        <w:suppressAutoHyphens w:val="0"/>
        <w:autoSpaceDE w:val="0"/>
        <w:autoSpaceDN w:val="0"/>
        <w:adjustRightInd w:val="0"/>
        <w:jc w:val="both"/>
        <w:rPr>
          <w:rFonts w:eastAsia="Calibri"/>
          <w:lang w:eastAsia="es-ES"/>
        </w:rPr>
      </w:pPr>
    </w:p>
    <w:p w14:paraId="7438862D"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50" w:name="_Toc90563634"/>
      <w:bookmarkStart w:id="51" w:name="_Toc102390789"/>
      <w:r w:rsidRPr="00D106C9">
        <w:rPr>
          <w:lang w:eastAsia="es-ES"/>
        </w:rPr>
        <w:t>Transparencia y Rendición de Cuentas</w:t>
      </w:r>
      <w:bookmarkEnd w:id="50"/>
      <w:bookmarkEnd w:id="51"/>
    </w:p>
    <w:p w14:paraId="37806DF9"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 xml:space="preserve">Como parte de la Política de Justicia Abierta para el Poder Judicial, todos los Planes Anuales Operativos institucionales son de acceso público, así como los reportes que permiten observar el nivel de avance Institucional, por Programa Presupuestario, Centro de Responsabilidad y por Oficina. </w:t>
      </w:r>
    </w:p>
    <w:p w14:paraId="5507CC96"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27407C3F"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lang w:eastAsia="zh-CN"/>
        </w:rPr>
        <w:t xml:space="preserve">Se puede acceder a la información por medio de los siguientes links: </w:t>
      </w:r>
    </w:p>
    <w:p w14:paraId="6FEB49FC"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3082453B" w14:textId="77777777" w:rsidR="00D106C9" w:rsidRPr="00D106C9" w:rsidRDefault="00D106C9" w:rsidP="003B2E9B">
      <w:pPr>
        <w:widowControl w:val="0"/>
        <w:numPr>
          <w:ilvl w:val="0"/>
          <w:numId w:val="51"/>
        </w:numPr>
        <w:suppressAutoHyphens w:val="0"/>
        <w:autoSpaceDE w:val="0"/>
        <w:autoSpaceDN w:val="0"/>
        <w:adjustRightInd w:val="0"/>
        <w:ind w:left="851" w:right="851" w:firstLine="709"/>
        <w:rPr>
          <w:lang w:eastAsia="zh-CN"/>
        </w:rPr>
      </w:pPr>
      <w:r w:rsidRPr="00D106C9">
        <w:rPr>
          <w:lang w:eastAsia="zh-CN"/>
        </w:rPr>
        <w:t xml:space="preserve">Acceso externo a informes y consultas: </w:t>
      </w:r>
      <w:hyperlink r:id="rId30" w:history="1">
        <w:r w:rsidRPr="00D106C9">
          <w:rPr>
            <w:u w:val="single"/>
            <w:lang w:eastAsia="zh-CN"/>
          </w:rPr>
          <w:t>https://planificacion.poder-judicial.go.cr/index.php/evaluacion/plan-anual-operativo</w:t>
        </w:r>
      </w:hyperlink>
    </w:p>
    <w:p w14:paraId="10A6A581"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6427FAC3" w14:textId="77777777" w:rsidR="00D106C9" w:rsidRPr="00D106C9" w:rsidRDefault="00D106C9" w:rsidP="003B2E9B">
      <w:pPr>
        <w:widowControl w:val="0"/>
        <w:numPr>
          <w:ilvl w:val="0"/>
          <w:numId w:val="51"/>
        </w:numPr>
        <w:suppressAutoHyphens w:val="0"/>
        <w:autoSpaceDE w:val="0"/>
        <w:autoSpaceDN w:val="0"/>
        <w:adjustRightInd w:val="0"/>
        <w:ind w:left="851" w:right="851" w:firstLine="709"/>
        <w:rPr>
          <w:u w:val="single"/>
          <w:lang w:eastAsia="zh-CN"/>
        </w:rPr>
      </w:pPr>
      <w:r w:rsidRPr="00D106C9">
        <w:rPr>
          <w:lang w:eastAsia="zh-CN"/>
        </w:rPr>
        <w:t xml:space="preserve">Sitio Externo del Sistema </w:t>
      </w:r>
      <w:proofErr w:type="gramStart"/>
      <w:r w:rsidRPr="00D106C9">
        <w:rPr>
          <w:lang w:eastAsia="zh-CN"/>
        </w:rPr>
        <w:t>PAO :</w:t>
      </w:r>
      <w:proofErr w:type="gramEnd"/>
      <w:r w:rsidRPr="00D106C9">
        <w:rPr>
          <w:u w:val="single"/>
          <w:lang w:eastAsia="zh-CN"/>
        </w:rPr>
        <w:t xml:space="preserve"> </w:t>
      </w:r>
      <w:hyperlink r:id="rId31" w:history="1">
        <w:r w:rsidRPr="00D106C9">
          <w:rPr>
            <w:u w:val="single"/>
            <w:lang w:eastAsia="es-ES"/>
          </w:rPr>
          <w:t>https://pjenlinea3.poder-judicial.go.cr/SitioExternoPAO/</w:t>
        </w:r>
      </w:hyperlink>
    </w:p>
    <w:p w14:paraId="6CCBEDD1"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666F691A"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5B200627" w14:textId="77777777" w:rsidR="00D106C9" w:rsidRPr="00D106C9" w:rsidRDefault="00D106C9" w:rsidP="00D106C9">
      <w:pPr>
        <w:widowControl w:val="0"/>
        <w:suppressAutoHyphens w:val="0"/>
        <w:autoSpaceDE w:val="0"/>
        <w:autoSpaceDN w:val="0"/>
        <w:adjustRightInd w:val="0"/>
        <w:ind w:left="851" w:right="851" w:firstLine="709"/>
        <w:jc w:val="both"/>
        <w:rPr>
          <w:bCs/>
          <w:lang w:eastAsia="es-ES"/>
        </w:rPr>
      </w:pPr>
      <w:r w:rsidRPr="00D106C9">
        <w:rPr>
          <w:lang w:eastAsia="zh-CN"/>
        </w:rPr>
        <w:t>En el anexo 1 se detalla la Circular 32-2022 del 11 de enero del 2022, denominada “</w:t>
      </w:r>
      <w:r w:rsidRPr="00D106C9">
        <w:rPr>
          <w:b/>
          <w:bCs/>
          <w:i/>
          <w:iCs/>
          <w:lang w:eastAsia="es-ES"/>
        </w:rPr>
        <w:t xml:space="preserve">Reiteración de la circular 141-2020 sobre la Obligación de </w:t>
      </w:r>
      <w:r w:rsidRPr="00D106C9">
        <w:rPr>
          <w:b/>
          <w:bCs/>
          <w:i/>
          <w:iCs/>
          <w:lang w:eastAsia="es-ES"/>
        </w:rPr>
        <w:lastRenderedPageBreak/>
        <w:t>realizar evaluaciones semestrales y anuales de Planes anuales y operativos</w:t>
      </w:r>
      <w:r w:rsidRPr="00D106C9">
        <w:rPr>
          <w:lang w:eastAsia="zh-CN"/>
        </w:rPr>
        <w:t>”, adicionalmente en el anexo 2 se describe las oficinas que formularon el PAO para el 2022, así como, las que no lo formularon, de igual manera en el anexo 3 se describe las oficinas con registro de cumplimiento inferior al 90% en los avances al Plan Anual Operativo, por otro lado el anexo 4 se detalla la circular externa 12-2021 del 16 de diciembre del 2021 denominada “</w:t>
      </w:r>
      <w:r w:rsidRPr="00D106C9">
        <w:rPr>
          <w:bCs/>
          <w:lang w:eastAsia="es-ES"/>
        </w:rPr>
        <w:t>Fecha límite para el registro de avances en el cumplimiento de objetivos y metas de los Planes Anuales Operativos (PAO) 2021”, por otro lado, en el anexo 5 se describe las oficinas con estado de metas operativas no avalados por la Dirección de Planificación.</w:t>
      </w:r>
    </w:p>
    <w:p w14:paraId="7698DBBC" w14:textId="77777777" w:rsidR="00D106C9" w:rsidRPr="00D106C9" w:rsidRDefault="00D106C9" w:rsidP="00D106C9">
      <w:pPr>
        <w:widowControl w:val="0"/>
        <w:suppressAutoHyphens w:val="0"/>
        <w:autoSpaceDE w:val="0"/>
        <w:autoSpaceDN w:val="0"/>
        <w:adjustRightInd w:val="0"/>
        <w:ind w:left="851" w:right="851" w:firstLine="709"/>
        <w:jc w:val="both"/>
        <w:rPr>
          <w:bCs/>
          <w:lang w:eastAsia="es-ES"/>
        </w:rPr>
      </w:pPr>
    </w:p>
    <w:p w14:paraId="6132A5C5"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r w:rsidRPr="00D106C9">
        <w:rPr>
          <w:bCs/>
          <w:lang w:eastAsia="es-ES"/>
        </w:rPr>
        <w:t xml:space="preserve">En el anexo 6 se adjunta el correo electrónico a todos los despachos y oficinas a nivel nacional que contaban con estado de meta operativa no avalado por la Dirección de Planificación al cierre del PAO 2021; así mismo, en el anexo 7 se adjunta </w:t>
      </w:r>
      <w:r w:rsidRPr="00D106C9">
        <w:rPr>
          <w:lang w:eastAsia="zh-CN"/>
        </w:rPr>
        <w:t>el correo electrónico remitido a todos los despachos y oficinas a nivel nacional que contaban con 0% de avance en el Sistema PAO al 10 de junio del 2021; adicionalmente, en el anexo 8 se adjunta correo electrónico a todos los despachos y oficinas a nivel nacional sobre la mejora realizada por la Dirección de Tecnología de la Información y Comunicaciones denominada “Notificación automática Sistema PAO”, por otro lado, en el anexo 9 se describe la cantidad de metas operativas vinculadas al PEI con un porcentaje de cumplimiento menor al 90%.</w:t>
      </w:r>
    </w:p>
    <w:p w14:paraId="6F0E54C0"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13D62FF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zh-CN"/>
        </w:rPr>
        <w:t xml:space="preserve">Por medio de los anexos 10 al 28 se adjuntan los planes de acción de Covid-19 de las estrategias desarrolladas en el plan, por otro lado, </w:t>
      </w:r>
      <w:r w:rsidRPr="00D106C9">
        <w:rPr>
          <w:lang w:eastAsia="es-CR"/>
        </w:rPr>
        <w:t xml:space="preserve">en el anexo 29 </w:t>
      </w:r>
      <w:r w:rsidRPr="00D106C9">
        <w:rPr>
          <w:lang w:eastAsia="zh-CN"/>
        </w:rPr>
        <w:t>se adjunta el acuerdo del Consejo Superior en sesión 03-2022 celebrada el 11 de enero del 2022, artículo XLVIII; así como en el anexo 30 y 31 se adjuntan las circulares 01-2022 y la 02-2021 correspondiente al “</w:t>
      </w:r>
      <w:hyperlink r:id="rId32" w:tooltip="Circular externa 5-2021 Recordatorio de reprogramación de objetivos y metas de los Planes Anuales Operativos PAO 2021" w:history="1">
        <w:r w:rsidRPr="00D106C9">
          <w:rPr>
            <w:lang w:eastAsia="es-ES"/>
          </w:rPr>
          <w:t>R</w:t>
        </w:r>
        <w:r w:rsidRPr="00D106C9">
          <w:rPr>
            <w:snapToGrid w:val="0"/>
            <w:lang w:eastAsia="es-ES"/>
          </w:rPr>
          <w:t>ecordatorio de reprogramación de objetivos y metas de los Planes Anuales Operativos PAO 202</w:t>
        </w:r>
      </w:hyperlink>
      <w:r w:rsidRPr="00D106C9">
        <w:rPr>
          <w:snapToGrid w:val="0"/>
          <w:lang w:eastAsia="es-ES"/>
        </w:rPr>
        <w:t>2 y la circular” y “</w:t>
      </w:r>
      <w:r w:rsidRPr="00D106C9">
        <w:rPr>
          <w:b/>
          <w:bCs/>
          <w:snapToGrid w:val="0"/>
          <w:lang w:eastAsia="es-ES"/>
        </w:rPr>
        <w:t xml:space="preserve"> </w:t>
      </w:r>
      <w:r w:rsidRPr="00D106C9">
        <w:rPr>
          <w:lang w:eastAsia="es-ES"/>
        </w:rPr>
        <w:t>Elaboración y entrega de los Planes Anuales Operativos para el período 2022 en el Sistema PAO.”</w:t>
      </w:r>
    </w:p>
    <w:p w14:paraId="1AFA7431"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15483965" w14:textId="77777777" w:rsidR="00D106C9" w:rsidRPr="00D106C9" w:rsidRDefault="00D106C9" w:rsidP="00D106C9">
      <w:pPr>
        <w:widowControl w:val="0"/>
        <w:suppressAutoHyphens w:val="0"/>
        <w:autoSpaceDE w:val="0"/>
        <w:autoSpaceDN w:val="0"/>
        <w:adjustRightInd w:val="0"/>
        <w:ind w:left="851" w:right="851" w:firstLine="709"/>
        <w:jc w:val="both"/>
        <w:rPr>
          <w:u w:color="000000"/>
          <w:lang w:eastAsia="zh-CN"/>
        </w:rPr>
      </w:pPr>
      <w:r w:rsidRPr="00D106C9">
        <w:rPr>
          <w:u w:color="000000"/>
          <w:lang w:eastAsia="zh-CN"/>
        </w:rPr>
        <w:t>Por otro lado, en el anexo 32 se remitieron cápsulas informativas a todos los despachos sobre la fecha máxima para el registro de avances en el cumplimiento de objetivos y metas de los Planes Anuales Operativos (PAO) 2021.</w:t>
      </w:r>
    </w:p>
    <w:p w14:paraId="0ECE9702" w14:textId="77777777" w:rsidR="00D106C9" w:rsidRPr="00D106C9" w:rsidRDefault="00D106C9" w:rsidP="00D106C9">
      <w:pPr>
        <w:widowControl w:val="0"/>
        <w:suppressAutoHyphens w:val="0"/>
        <w:autoSpaceDE w:val="0"/>
        <w:autoSpaceDN w:val="0"/>
        <w:adjustRightInd w:val="0"/>
        <w:ind w:left="851" w:right="851" w:firstLine="709"/>
        <w:jc w:val="both"/>
        <w:rPr>
          <w:lang w:eastAsia="zh-CN"/>
        </w:rPr>
      </w:pPr>
    </w:p>
    <w:p w14:paraId="2683EDDC" w14:textId="77777777" w:rsidR="00D106C9" w:rsidRPr="00D106C9" w:rsidRDefault="00D106C9" w:rsidP="00D106C9">
      <w:pPr>
        <w:widowControl w:val="0"/>
        <w:tabs>
          <w:tab w:val="left" w:pos="8364"/>
        </w:tabs>
        <w:suppressAutoHyphens w:val="0"/>
        <w:autoSpaceDE w:val="0"/>
        <w:autoSpaceDN w:val="0"/>
        <w:adjustRightInd w:val="0"/>
        <w:ind w:left="851" w:right="851" w:firstLine="709"/>
        <w:jc w:val="both"/>
        <w:rPr>
          <w:lang w:eastAsia="zh-CN"/>
        </w:rPr>
      </w:pPr>
      <w:r w:rsidRPr="00D106C9">
        <w:rPr>
          <w:lang w:eastAsia="zh-CN"/>
        </w:rPr>
        <w:t>Finalmente, por medio de los anexos 33 a la 40 se detallan las labores realizadas por parte de la Dirección de Planificación como circulares, cápsulas informativas, boletines, correos electrónicos, entre otros.</w:t>
      </w:r>
    </w:p>
    <w:p w14:paraId="2E48EB5D" w14:textId="77777777" w:rsidR="00D106C9" w:rsidRPr="00D106C9" w:rsidRDefault="00D106C9" w:rsidP="00D106C9">
      <w:pPr>
        <w:widowControl w:val="0"/>
        <w:tabs>
          <w:tab w:val="left" w:pos="8364"/>
        </w:tabs>
        <w:suppressAutoHyphens w:val="0"/>
        <w:autoSpaceDE w:val="0"/>
        <w:autoSpaceDN w:val="0"/>
        <w:adjustRightInd w:val="0"/>
        <w:ind w:left="851" w:right="851" w:firstLine="709"/>
        <w:jc w:val="both"/>
        <w:rPr>
          <w:lang w:eastAsia="zh-CN"/>
        </w:rPr>
      </w:pPr>
    </w:p>
    <w:p w14:paraId="3E7A0B7A"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52" w:name="_Toc90563635"/>
      <w:bookmarkStart w:id="53" w:name="_Toc102390790"/>
      <w:r w:rsidRPr="00D106C9">
        <w:rPr>
          <w:lang w:eastAsia="es-ES"/>
        </w:rPr>
        <w:t>Conclusiones</w:t>
      </w:r>
      <w:bookmarkEnd w:id="52"/>
      <w:bookmarkEnd w:id="53"/>
    </w:p>
    <w:p w14:paraId="6B17261A" w14:textId="77777777" w:rsidR="00D106C9" w:rsidRPr="00D106C9" w:rsidRDefault="00D106C9" w:rsidP="00D106C9">
      <w:pPr>
        <w:widowControl w:val="0"/>
        <w:suppressAutoHyphens w:val="0"/>
        <w:autoSpaceDE w:val="0"/>
        <w:autoSpaceDN w:val="0"/>
        <w:adjustRightInd w:val="0"/>
        <w:ind w:left="851" w:right="851" w:firstLine="709"/>
        <w:rPr>
          <w:lang w:eastAsia="ja-JP"/>
        </w:rPr>
      </w:pPr>
    </w:p>
    <w:p w14:paraId="721DAB07" w14:textId="77777777" w:rsidR="00D106C9" w:rsidRPr="00D106C9" w:rsidRDefault="00D106C9" w:rsidP="003B2E9B">
      <w:pPr>
        <w:widowControl w:val="0"/>
        <w:numPr>
          <w:ilvl w:val="0"/>
          <w:numId w:val="57"/>
        </w:numPr>
        <w:tabs>
          <w:tab w:val="left" w:pos="851"/>
        </w:tabs>
        <w:suppressAutoHyphens w:val="0"/>
        <w:autoSpaceDE w:val="0"/>
        <w:autoSpaceDN w:val="0"/>
        <w:adjustRightInd w:val="0"/>
        <w:ind w:left="851" w:right="851" w:firstLine="709"/>
        <w:contextualSpacing/>
        <w:jc w:val="both"/>
        <w:rPr>
          <w:lang w:eastAsia="es-ES"/>
        </w:rPr>
      </w:pPr>
      <w:r w:rsidRPr="00D106C9">
        <w:rPr>
          <w:lang w:eastAsia="es-ES"/>
        </w:rPr>
        <w:t xml:space="preserve">La circular 32-2022 del 11 de enero del 2022, denominada </w:t>
      </w:r>
      <w:r w:rsidRPr="00D106C9">
        <w:rPr>
          <w:i/>
          <w:iCs/>
          <w:lang w:eastAsia="es-ES"/>
        </w:rPr>
        <w:t>“</w:t>
      </w:r>
      <w:r w:rsidRPr="00D106C9">
        <w:rPr>
          <w:rFonts w:eastAsia="Calibri"/>
          <w:i/>
          <w:iCs/>
        </w:rPr>
        <w:t>Reiteración de la circular 141-2020 sobre la</w:t>
      </w:r>
      <w:r w:rsidRPr="00D106C9">
        <w:rPr>
          <w:rFonts w:eastAsia="Calibri"/>
          <w:b/>
          <w:bCs/>
          <w:i/>
          <w:iCs/>
        </w:rPr>
        <w:t xml:space="preserve"> </w:t>
      </w:r>
      <w:r w:rsidRPr="00D106C9">
        <w:rPr>
          <w:i/>
          <w:iCs/>
          <w:lang w:eastAsia="es-ES"/>
        </w:rPr>
        <w:t xml:space="preserve">Obligación de realizar evaluaciones semestrales y anuales de Planes anuales y operativos”, </w:t>
      </w:r>
      <w:r w:rsidRPr="00D106C9">
        <w:rPr>
          <w:lang w:eastAsia="es-ES"/>
        </w:rPr>
        <w:t>establece la responsabilidad de los despachos judiciales de realizar seguimientos periódicos a sus Planes Anuales Operativos, para tener un mayor control y seguimiento por medio del Sistema PAO de sus planes y su ejecución.</w:t>
      </w:r>
    </w:p>
    <w:p w14:paraId="773727D9" w14:textId="77777777" w:rsidR="00D106C9" w:rsidRPr="00D106C9" w:rsidRDefault="00D106C9" w:rsidP="00D106C9">
      <w:pPr>
        <w:tabs>
          <w:tab w:val="left" w:pos="851"/>
        </w:tabs>
        <w:suppressAutoHyphens w:val="0"/>
        <w:ind w:left="851" w:right="851" w:firstLine="709"/>
        <w:jc w:val="both"/>
        <w:rPr>
          <w:lang w:eastAsia="es-ES"/>
        </w:rPr>
      </w:pPr>
    </w:p>
    <w:p w14:paraId="1A0096DC" w14:textId="77777777" w:rsidR="00D106C9" w:rsidRPr="00D106C9" w:rsidRDefault="00D106C9" w:rsidP="003B2E9B">
      <w:pPr>
        <w:widowControl w:val="0"/>
        <w:numPr>
          <w:ilvl w:val="0"/>
          <w:numId w:val="57"/>
        </w:numPr>
        <w:tabs>
          <w:tab w:val="left" w:pos="851"/>
        </w:tabs>
        <w:suppressAutoHyphens w:val="0"/>
        <w:autoSpaceDE w:val="0"/>
        <w:autoSpaceDN w:val="0"/>
        <w:adjustRightInd w:val="0"/>
        <w:ind w:left="851" w:right="851" w:firstLine="709"/>
        <w:contextualSpacing/>
        <w:jc w:val="both"/>
        <w:rPr>
          <w:lang w:eastAsia="es-ES"/>
        </w:rPr>
      </w:pPr>
      <w:r w:rsidRPr="00D106C9">
        <w:rPr>
          <w:lang w:eastAsia="es-ES"/>
        </w:rPr>
        <w:t xml:space="preserve">El nivel de avance del Sistema PAO 2021 se estimó a partir del corte al 19 de enero del 2022 para determinar el estado de los avances en el cumplimiento de las metas operativas y de la totalidad de las oficinas existentes, se logra formular 827 </w:t>
      </w:r>
      <w:proofErr w:type="spellStart"/>
      <w:r w:rsidRPr="00D106C9">
        <w:rPr>
          <w:lang w:eastAsia="es-ES"/>
        </w:rPr>
        <w:t>PAO´s</w:t>
      </w:r>
      <w:proofErr w:type="spellEnd"/>
      <w:r w:rsidRPr="00D106C9">
        <w:rPr>
          <w:lang w:eastAsia="es-ES"/>
        </w:rPr>
        <w:t xml:space="preserve"> aprobados, lo que representa un 99,16% de las oficinas judiciales. Sobre el 0,84% restante, corresponden a 7 que no formularon PAO, lo que corresponde a que la oficina 0978 Oficina Administrativa del Tercer Circuito Judicial de San José tiene un solo puesto profesional por lo cual, esta oficina no está generando PAO y las metas se le adjuntaron al PAO de la Administración del Primer Circuito Judicial de San José. Por otro lado, la oficina 1217 Fiscalía Adjunta Atención Vespertina, Detenidos, Victimas, Flagrancia y Asuntos no Complejos no elaboró el PAO correspondiente debido a que los objetivos se formularon bajo el PAO de la </w:t>
      </w:r>
      <w:proofErr w:type="gramStart"/>
      <w:r w:rsidRPr="00D106C9">
        <w:rPr>
          <w:lang w:eastAsia="es-ES"/>
        </w:rPr>
        <w:t>Fiscalía General</w:t>
      </w:r>
      <w:proofErr w:type="gramEnd"/>
      <w:r w:rsidRPr="00D106C9">
        <w:rPr>
          <w:lang w:eastAsia="es-ES"/>
        </w:rPr>
        <w:t xml:space="preserve">.  </w:t>
      </w:r>
    </w:p>
    <w:p w14:paraId="23A84679" w14:textId="77777777" w:rsidR="00D106C9" w:rsidRPr="00D106C9" w:rsidRDefault="00D106C9" w:rsidP="00D106C9">
      <w:pPr>
        <w:suppressAutoHyphens w:val="0"/>
        <w:ind w:left="851" w:right="851" w:firstLine="709"/>
        <w:rPr>
          <w:lang w:eastAsia="es-ES"/>
        </w:rPr>
      </w:pPr>
    </w:p>
    <w:p w14:paraId="09A44D8D" w14:textId="77777777" w:rsidR="00D106C9" w:rsidRPr="00D106C9" w:rsidRDefault="00D106C9" w:rsidP="00D106C9">
      <w:pPr>
        <w:tabs>
          <w:tab w:val="left" w:pos="851"/>
        </w:tabs>
        <w:suppressAutoHyphens w:val="0"/>
        <w:ind w:left="851" w:right="851" w:firstLine="709"/>
        <w:jc w:val="both"/>
        <w:rPr>
          <w:lang w:eastAsia="es-ES"/>
        </w:rPr>
      </w:pPr>
    </w:p>
    <w:p w14:paraId="7F3FD989" w14:textId="77777777" w:rsidR="00D106C9" w:rsidRPr="00D106C9" w:rsidRDefault="00D106C9" w:rsidP="00D106C9">
      <w:pPr>
        <w:tabs>
          <w:tab w:val="left" w:pos="851"/>
        </w:tabs>
        <w:suppressAutoHyphens w:val="0"/>
        <w:ind w:left="851" w:right="851" w:firstLine="709"/>
        <w:jc w:val="both"/>
        <w:rPr>
          <w:lang w:eastAsia="es-ES"/>
        </w:rPr>
      </w:pPr>
      <w:r w:rsidRPr="00D106C9">
        <w:rPr>
          <w:lang w:eastAsia="es-ES"/>
        </w:rPr>
        <w:t xml:space="preserve">Con respecto a las oficinas 1870 Juzgado Agrario de Puntarenas, sede Jicaral, 1875 Unidad de Gestión Administrativa Transportes, 1902 Oficina de Comunicaciones Judiciales Cañas, 1866 Unidad de Medicina Legal de San Ramón y 1903 Oficina de Comunicaciones Judiciales Buenos Aires, corresponden a oficinas nuevas para el 2021, por lo tanto, este grupo de oficinas no fueron objeto de seguimiento o evaluación, conforme se consignó en el informe de seguimiento 1311-PLA-EV-2021. </w:t>
      </w:r>
    </w:p>
    <w:p w14:paraId="4F894944" w14:textId="77777777" w:rsidR="00D106C9" w:rsidRPr="00D106C9" w:rsidRDefault="00D106C9" w:rsidP="00D106C9">
      <w:pPr>
        <w:tabs>
          <w:tab w:val="left" w:pos="851"/>
        </w:tabs>
        <w:suppressAutoHyphens w:val="0"/>
        <w:ind w:left="851" w:right="851" w:firstLine="709"/>
        <w:jc w:val="both"/>
        <w:rPr>
          <w:lang w:eastAsia="es-ES"/>
        </w:rPr>
      </w:pPr>
    </w:p>
    <w:p w14:paraId="60CC9024" w14:textId="77777777" w:rsidR="00D106C9" w:rsidRPr="00D106C9" w:rsidRDefault="00D106C9" w:rsidP="003B2E9B">
      <w:pPr>
        <w:widowControl w:val="0"/>
        <w:numPr>
          <w:ilvl w:val="0"/>
          <w:numId w:val="57"/>
        </w:numPr>
        <w:tabs>
          <w:tab w:val="left" w:pos="851"/>
        </w:tabs>
        <w:suppressAutoHyphens w:val="0"/>
        <w:autoSpaceDE w:val="0"/>
        <w:autoSpaceDN w:val="0"/>
        <w:adjustRightInd w:val="0"/>
        <w:ind w:left="851" w:right="851" w:firstLine="709"/>
        <w:contextualSpacing/>
        <w:jc w:val="both"/>
        <w:rPr>
          <w:lang w:eastAsia="es-ES"/>
        </w:rPr>
      </w:pPr>
      <w:r w:rsidRPr="00D106C9">
        <w:rPr>
          <w:lang w:eastAsia="es-ES"/>
        </w:rPr>
        <w:t xml:space="preserve">El avance institucional en el cumplimiento de metas operativas para el 2021 se reporta en un 96,40% de cumplimiento contra un 3,60% que no logró ser cumplido. Para ser un porcentaje que equivale a todas las labores ejecutadas a lo largo del año podría constituirse como un valor con un comportamiento de incremento con respecto al 2020, por otro lado, en comparación con el 2019 se obtiene una disminución y con respecto a los años 2018 y 2017 se muestra un crecimiento importante, esto demuestra una mayor aceptación y adecuación al Sistema PAO y a una cultura de planificar las metas y actividades. Resulta relevante destacar que para el 2020 los avances registrados fueron de 96,06%, para el 2019 obtuvo un cumplimiento del 96,77%, para el 2018 se obtuvo un porcentaje de cumplimiento del 80,15% y para el 2017 el cumplimiento fue de </w:t>
      </w:r>
      <w:r w:rsidRPr="00D106C9">
        <w:rPr>
          <w:lang w:eastAsia="es-ES"/>
        </w:rPr>
        <w:lastRenderedPageBreak/>
        <w:t>76,34%, lo que evidencia un incremento porcentual conforme a los diferentes años.</w:t>
      </w:r>
    </w:p>
    <w:p w14:paraId="22C29823" w14:textId="77777777" w:rsidR="00D106C9" w:rsidRPr="00D106C9" w:rsidRDefault="00D106C9" w:rsidP="00D106C9">
      <w:pPr>
        <w:suppressAutoHyphens w:val="0"/>
        <w:ind w:left="851" w:right="851" w:firstLine="709"/>
        <w:rPr>
          <w:lang w:eastAsia="es-ES"/>
        </w:rPr>
      </w:pPr>
    </w:p>
    <w:p w14:paraId="1E532F23" w14:textId="77777777" w:rsidR="00D106C9" w:rsidRPr="00D106C9" w:rsidRDefault="00D106C9" w:rsidP="00D106C9">
      <w:pPr>
        <w:suppressAutoHyphens w:val="0"/>
        <w:ind w:left="851" w:right="851" w:firstLine="709"/>
        <w:rPr>
          <w:lang w:eastAsia="es-ES"/>
        </w:rPr>
      </w:pPr>
    </w:p>
    <w:p w14:paraId="784422EF" w14:textId="77777777" w:rsidR="00D106C9" w:rsidRPr="00D106C9" w:rsidRDefault="00D106C9" w:rsidP="003B2E9B">
      <w:pPr>
        <w:widowControl w:val="0"/>
        <w:numPr>
          <w:ilvl w:val="0"/>
          <w:numId w:val="57"/>
        </w:numPr>
        <w:tabs>
          <w:tab w:val="left" w:pos="851"/>
        </w:tabs>
        <w:suppressAutoHyphens w:val="0"/>
        <w:autoSpaceDE w:val="0"/>
        <w:autoSpaceDN w:val="0"/>
        <w:adjustRightInd w:val="0"/>
        <w:ind w:left="851" w:right="851" w:firstLine="709"/>
        <w:contextualSpacing/>
        <w:jc w:val="both"/>
        <w:rPr>
          <w:lang w:eastAsia="es-ES"/>
        </w:rPr>
      </w:pPr>
      <w:r w:rsidRPr="00D106C9">
        <w:rPr>
          <w:lang w:eastAsia="es-ES"/>
        </w:rPr>
        <w:t xml:space="preserve">El avance del cumplimiento de los </w:t>
      </w:r>
      <w:proofErr w:type="spellStart"/>
      <w:r w:rsidRPr="00D106C9">
        <w:rPr>
          <w:lang w:eastAsia="es-ES"/>
        </w:rPr>
        <w:t>PAO´s</w:t>
      </w:r>
      <w:proofErr w:type="spellEnd"/>
      <w:r w:rsidRPr="00D106C9">
        <w:rPr>
          <w:lang w:eastAsia="es-ES"/>
        </w:rPr>
        <w:t xml:space="preserve"> de acuerdo con los programas presupuestarios se observa un cumplimiento alto por parte de la Defensa Pública y el Organismo de Investigación Publica superan el 99%, de seguido la Dirección, Administración y Otros Órganos de Apoyo y el Ministerio Público superan el 98%. El Programa Servicio de Atención y Protección de Víctimas y Testigos reportó un 97,88% y finalmente el Programa Servicio Jurisdiccional registra el menor nivel de cumplimiento con un 92,41%, siendo el programa con mayor cantidad de oficinas, compuesto por 413 despachos a lo largo del país lo que ocasiona mayores dificultades para la consecución de las metas de manera pormenorizada.</w:t>
      </w:r>
    </w:p>
    <w:p w14:paraId="68FD2721" w14:textId="77777777" w:rsidR="00D106C9" w:rsidRPr="00D106C9" w:rsidRDefault="00D106C9" w:rsidP="00D106C9">
      <w:pPr>
        <w:suppressAutoHyphens w:val="0"/>
        <w:ind w:left="851" w:right="851" w:firstLine="709"/>
        <w:rPr>
          <w:lang w:eastAsia="es-ES"/>
        </w:rPr>
      </w:pPr>
    </w:p>
    <w:p w14:paraId="52D30404" w14:textId="77777777" w:rsidR="00D106C9" w:rsidRPr="00D106C9" w:rsidRDefault="00D106C9" w:rsidP="003B2E9B">
      <w:pPr>
        <w:widowControl w:val="0"/>
        <w:numPr>
          <w:ilvl w:val="0"/>
          <w:numId w:val="57"/>
        </w:numPr>
        <w:tabs>
          <w:tab w:val="left" w:pos="851"/>
        </w:tabs>
        <w:suppressAutoHyphens w:val="0"/>
        <w:autoSpaceDE w:val="0"/>
        <w:autoSpaceDN w:val="0"/>
        <w:adjustRightInd w:val="0"/>
        <w:ind w:left="851" w:right="851" w:firstLine="709"/>
        <w:contextualSpacing/>
        <w:jc w:val="both"/>
        <w:rPr>
          <w:lang w:eastAsia="es-ES"/>
        </w:rPr>
      </w:pPr>
      <w:r w:rsidRPr="00D106C9">
        <w:rPr>
          <w:lang w:eastAsia="es-ES"/>
        </w:rPr>
        <w:t xml:space="preserve">Es importante indicar que al comparar el avance del cumplimiento de los </w:t>
      </w:r>
      <w:proofErr w:type="spellStart"/>
      <w:r w:rsidRPr="00D106C9">
        <w:rPr>
          <w:lang w:eastAsia="es-ES"/>
        </w:rPr>
        <w:t>PAO´s</w:t>
      </w:r>
      <w:proofErr w:type="spellEnd"/>
      <w:r w:rsidRPr="00D106C9">
        <w:rPr>
          <w:lang w:eastAsia="es-ES"/>
        </w:rPr>
        <w:t xml:space="preserve"> de los años 2020 y 2021 la Defensa Pública, Dirección, Administración y Otros Órganos de Apoyo y el Ministerio Público</w:t>
      </w:r>
      <w:r w:rsidRPr="00D106C9">
        <w:rPr>
          <w:lang w:eastAsia="es-CR"/>
        </w:rPr>
        <w:t xml:space="preserve"> fueron los tres programas con incremento en el cumplimiento de los avances del PAO entre los periodos analizados con un 0,01%, 0,81% y 2,68% respectivamente. Mientras que el Organismo de Investigación, el </w:t>
      </w:r>
      <w:r w:rsidRPr="00D106C9">
        <w:rPr>
          <w:lang w:eastAsia="es-ES"/>
        </w:rPr>
        <w:t>Servicio Jurisdiccional y</w:t>
      </w:r>
      <w:r w:rsidRPr="00D106C9">
        <w:rPr>
          <w:lang w:eastAsia="es-CR"/>
        </w:rPr>
        <w:t xml:space="preserve"> el Servicio de Atención y Protección de Víctimas y Testigos, </w:t>
      </w:r>
      <w:r w:rsidRPr="00D106C9">
        <w:rPr>
          <w:lang w:eastAsia="es-ES"/>
        </w:rPr>
        <w:t xml:space="preserve">son los programas que presentaron una disminución en el cumplimiento de los avances del PAO entre los periodos analizados con un -0,10%, -0,51% y -0,78% respectivamente. </w:t>
      </w:r>
    </w:p>
    <w:p w14:paraId="044DDDEE" w14:textId="77777777" w:rsidR="00D106C9" w:rsidRPr="00D106C9" w:rsidRDefault="00D106C9" w:rsidP="00D106C9">
      <w:pPr>
        <w:suppressAutoHyphens w:val="0"/>
        <w:ind w:left="851" w:right="851" w:firstLine="709"/>
        <w:rPr>
          <w:lang w:eastAsia="es-ES"/>
        </w:rPr>
      </w:pPr>
    </w:p>
    <w:p w14:paraId="3A47AA16" w14:textId="77777777" w:rsidR="00D106C9" w:rsidRPr="00D106C9" w:rsidRDefault="00D106C9" w:rsidP="003B2E9B">
      <w:pPr>
        <w:widowControl w:val="0"/>
        <w:numPr>
          <w:ilvl w:val="0"/>
          <w:numId w:val="57"/>
        </w:numPr>
        <w:tabs>
          <w:tab w:val="left" w:pos="851"/>
        </w:tabs>
        <w:suppressAutoHyphens w:val="0"/>
        <w:autoSpaceDE w:val="0"/>
        <w:autoSpaceDN w:val="0"/>
        <w:adjustRightInd w:val="0"/>
        <w:ind w:left="851" w:right="851" w:firstLine="709"/>
        <w:contextualSpacing/>
        <w:jc w:val="both"/>
        <w:rPr>
          <w:lang w:eastAsia="es-ES"/>
        </w:rPr>
      </w:pPr>
      <w:r w:rsidRPr="00D106C9">
        <w:rPr>
          <w:lang w:eastAsia="es-ES"/>
        </w:rPr>
        <w:t>Con respecto a los avances por Centros de Responsabilidad, se analizan tres grandes bloques del total de 56 Centros. Se tiene un primer bloque de 53 Centros (equivalente a un 95% del total) con porcentajes de cumplimiento alto mayor o igual a un 90%, lo cual evidencia una atención y actualización oportuna para lograr alcanzar las metas programadas, así como una buena gestión como Centro de Responsabilidad en coadyuvar y supervisar a las oficinas que los integran para realizar el registro óptimo de avances y cumplimiento de las metas, hay un bloque de cumplimiento medio  compuesto por 3 Centros de Responsabilidad (que equivale a un 5% del total de Centros) que tienen un rango de cumplimiento menor o igual a 89,99% o igual a 50,00%, es decir, fueron pocos los Centro de Responsabilidad que no reportaron un cumplimento alto. Finalmente, para el bloque de cumplimento bajo no se registraron Centros de responsabilidad con un cumplimiento menor o igual a un 49,99%.</w:t>
      </w:r>
    </w:p>
    <w:p w14:paraId="6A54D16D" w14:textId="77777777" w:rsidR="00D106C9" w:rsidRPr="00D106C9" w:rsidRDefault="00D106C9" w:rsidP="00D106C9">
      <w:pPr>
        <w:suppressAutoHyphens w:val="0"/>
        <w:ind w:left="851" w:right="851" w:firstLine="709"/>
        <w:rPr>
          <w:lang w:eastAsia="es-ES"/>
        </w:rPr>
      </w:pPr>
    </w:p>
    <w:p w14:paraId="52F32EB8" w14:textId="77777777" w:rsidR="00D106C9" w:rsidRPr="00D106C9" w:rsidRDefault="00D106C9" w:rsidP="003B2E9B">
      <w:pPr>
        <w:widowControl w:val="0"/>
        <w:numPr>
          <w:ilvl w:val="0"/>
          <w:numId w:val="57"/>
        </w:numPr>
        <w:tabs>
          <w:tab w:val="left" w:pos="851"/>
        </w:tabs>
        <w:suppressAutoHyphens w:val="0"/>
        <w:autoSpaceDE w:val="0"/>
        <w:autoSpaceDN w:val="0"/>
        <w:adjustRightInd w:val="0"/>
        <w:ind w:left="851" w:right="851" w:firstLine="709"/>
        <w:contextualSpacing/>
        <w:jc w:val="both"/>
        <w:rPr>
          <w:lang w:eastAsia="es-ES"/>
        </w:rPr>
      </w:pPr>
      <w:r w:rsidRPr="00D106C9">
        <w:rPr>
          <w:lang w:eastAsia="es-ES"/>
        </w:rPr>
        <w:t xml:space="preserve">En relación con la comparación efectuada entre los años 2020-2021 sobre los avances al PAO por Centro de Responsabilidad, se puede señalar un  </w:t>
      </w:r>
      <w:r w:rsidRPr="00D106C9">
        <w:rPr>
          <w:lang w:eastAsia="es-ES"/>
        </w:rPr>
        <w:lastRenderedPageBreak/>
        <w:t>36% (20 Centros de Responsabilidad) que alcanzaron un incremento en el cumplimiento de los avances del PAO lo que implica una mejora en relación con el año anterior, mientras que 29% (16 Centros de Responsabilidad) obtuvieron el puntaje máximo (100%) en los años analizados, por otra parte, el 34% (19 Centros de Responsabilidad) presentaron una disminución en el cumplimiento de los avances del PAO para este 2021, y finalmente el 1% (un Centro de Responsabilidad) comienza a registrar datos a partir del 2021, el cual es la Administración de Osa.</w:t>
      </w:r>
    </w:p>
    <w:p w14:paraId="565426CE" w14:textId="77777777" w:rsidR="00D106C9" w:rsidRPr="00D106C9" w:rsidRDefault="00D106C9" w:rsidP="00D106C9">
      <w:pPr>
        <w:suppressAutoHyphens w:val="0"/>
        <w:ind w:left="851" w:right="851" w:firstLine="709"/>
        <w:rPr>
          <w:lang w:eastAsia="es-ES"/>
        </w:rPr>
      </w:pPr>
    </w:p>
    <w:p w14:paraId="75617E21" w14:textId="77777777" w:rsidR="00D106C9" w:rsidRPr="00D106C9" w:rsidRDefault="00D106C9" w:rsidP="003B2E9B">
      <w:pPr>
        <w:widowControl w:val="0"/>
        <w:numPr>
          <w:ilvl w:val="0"/>
          <w:numId w:val="57"/>
        </w:numPr>
        <w:tabs>
          <w:tab w:val="left" w:pos="851"/>
        </w:tabs>
        <w:suppressAutoHyphens w:val="0"/>
        <w:autoSpaceDE w:val="0"/>
        <w:autoSpaceDN w:val="0"/>
        <w:adjustRightInd w:val="0"/>
        <w:ind w:left="851" w:right="851" w:firstLine="709"/>
        <w:contextualSpacing/>
        <w:jc w:val="both"/>
        <w:rPr>
          <w:lang w:eastAsia="es-ES"/>
        </w:rPr>
      </w:pPr>
      <w:r w:rsidRPr="00D106C9">
        <w:rPr>
          <w:lang w:eastAsia="es-ES"/>
        </w:rPr>
        <w:t>Para el 2021, el 15% de la totalidad de oficinas (122 Oficinas) que cuentan con Plan Anual Operativo, registraron un avance de cumplimiento inferior al 90%, de las cuales el 97% pertenecen a oficinas o despachos pertenecientes al Programa de Servicio Jurisdiccional.</w:t>
      </w:r>
    </w:p>
    <w:p w14:paraId="3830BB43" w14:textId="77777777" w:rsidR="00D106C9" w:rsidRPr="00D106C9" w:rsidRDefault="00D106C9" w:rsidP="00D106C9">
      <w:pPr>
        <w:suppressAutoHyphens w:val="0"/>
        <w:ind w:left="851" w:right="851" w:firstLine="709"/>
        <w:rPr>
          <w:lang w:eastAsia="es-ES"/>
        </w:rPr>
      </w:pPr>
    </w:p>
    <w:p w14:paraId="408CDC2C"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 Con respecto al comportamiento en los avances de cumplimiento de los Ejes Transversales y Temas Estratégicos, se tiene un avance en promedio de ejes transversales de un 96,20% lo cual es un dato que destaca por el compromiso implícito en el cumplimiento de las metas operativas y su alineación de acuerdo con los ejes transversales, los cuales están presentes en el quehacer institucional con el fin de cumplir las obligaciones establecidas en los convenios e instrumentos internacionales, la legislación nacional, la normativa institucional y los compromisos asumidos por la institución. Se destacan los ejes de “Valores Institucionales”, “Valor del servicio de Administración de Justicia” “Bienestar y salud del personal judicial” y “Ambiente”, al presentar un mayor cumplimiento con un promedio del 97,37%. </w:t>
      </w:r>
    </w:p>
    <w:p w14:paraId="76E74DDC" w14:textId="77777777" w:rsidR="00D106C9" w:rsidRPr="00D106C9" w:rsidRDefault="00D106C9" w:rsidP="00D106C9">
      <w:pPr>
        <w:suppressAutoHyphens w:val="0"/>
        <w:ind w:left="851" w:right="851" w:firstLine="709"/>
        <w:rPr>
          <w:lang w:eastAsia="es-ES"/>
        </w:rPr>
      </w:pPr>
    </w:p>
    <w:p w14:paraId="22A2F4DF"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Al analizar el cumplimiento de los Temas Estratégicos para este 2021, se tiene un avance en promedio de temas estratégicos de un 97,40%, en donde los temas que registran un mayor cumplimiento de metas son “Gestión del Personal”, “Planificación Institucional” y “Confianza y probidad en la Justicia”.</w:t>
      </w:r>
    </w:p>
    <w:p w14:paraId="6098E3E7" w14:textId="77777777" w:rsidR="00D106C9" w:rsidRPr="00D106C9" w:rsidRDefault="00D106C9" w:rsidP="00D106C9">
      <w:pPr>
        <w:suppressAutoHyphens w:val="0"/>
        <w:ind w:left="851" w:right="851" w:firstLine="709"/>
        <w:rPr>
          <w:lang w:eastAsia="es-ES"/>
        </w:rPr>
      </w:pPr>
    </w:p>
    <w:p w14:paraId="646C0D67"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Sobre el registro de los estados de las metas y su cumplimiento en el Sistema PAO al momento de realizar el corte anual, se tiene que, de 10 metas formuladas, 8 fueron debidamente completadas, aspecto positivo que destaca una apropiada planificación y organización. A su vez, se cancelaron 76 metas debido a </w:t>
      </w:r>
      <w:r w:rsidRPr="00D106C9">
        <w:rPr>
          <w:lang w:eastAsia="zh-CN"/>
        </w:rPr>
        <w:t xml:space="preserve">cambios en las directrices por parte de un ente superior, o la presencia de situaciones que imposibilitan realizar la meta, debido a esto, para el 2021 se lleva a cabo un proceso de revisión y aprobación por parte de la Dirección de Planificación para poder cancelar una meta. Los restantes estados como </w:t>
      </w:r>
      <w:r w:rsidRPr="00D106C9">
        <w:rPr>
          <w:b/>
          <w:bCs/>
          <w:lang w:eastAsia="zh-CN"/>
        </w:rPr>
        <w:t xml:space="preserve">Pendiente, Demorado en progreso y en pendiente, No iniciadas </w:t>
      </w:r>
      <w:r w:rsidRPr="00D106C9">
        <w:rPr>
          <w:b/>
          <w:bCs/>
          <w:lang w:eastAsia="zh-CN"/>
        </w:rPr>
        <w:lastRenderedPageBreak/>
        <w:t xml:space="preserve">y en Progreso </w:t>
      </w:r>
      <w:r w:rsidRPr="00D106C9">
        <w:rPr>
          <w:lang w:eastAsia="zh-CN"/>
        </w:rPr>
        <w:t>equivalen a un 11,13% de la totalidad de las metas,</w:t>
      </w:r>
      <w:r w:rsidRPr="00D106C9">
        <w:rPr>
          <w:b/>
          <w:bCs/>
          <w:lang w:eastAsia="zh-CN"/>
        </w:rPr>
        <w:t xml:space="preserve"> </w:t>
      </w:r>
      <w:r w:rsidRPr="00D106C9">
        <w:rPr>
          <w:lang w:eastAsia="zh-CN"/>
        </w:rPr>
        <w:t>las cuales registran diversos avances sin lograr ser completadas en su totalidad, por lo que resulta necesario analizarlas y valorar las razones de su incumplimiento para evitar que sucede en el año en curso. La Dirección de Planificación realizó la circular</w:t>
      </w:r>
      <w:r w:rsidRPr="00D106C9">
        <w:rPr>
          <w:b/>
          <w:bCs/>
          <w:lang w:eastAsia="es-ES"/>
        </w:rPr>
        <w:t xml:space="preserve"> </w:t>
      </w:r>
      <w:r w:rsidRPr="00D106C9">
        <w:rPr>
          <w:lang w:eastAsia="es-ES"/>
        </w:rPr>
        <w:t xml:space="preserve">externa 12-2021 del 16 de diciembre del 2021, denominada “Fecha límite para el registro de avances en el cumplimiento de objetivos y metas de los Planes Anuales Operativos (PAO) 2021”, en donde se indicó que el plazo máximo para registrar los avances en el Sistema PAO 2021 y adicionalmente se les comunica el procedimiento </w:t>
      </w:r>
      <w:r w:rsidRPr="00D106C9">
        <w:rPr>
          <w:bCs/>
          <w:lang w:eastAsia="es-ES"/>
        </w:rPr>
        <w:t xml:space="preserve">de cierre de los PAOS en el Sistema para el 2021, en donde se le recuerda a las oficinas y despachos judiciales cuales son los </w:t>
      </w:r>
      <w:r w:rsidRPr="00D106C9">
        <w:rPr>
          <w:lang w:eastAsia="es-ES"/>
        </w:rPr>
        <w:t xml:space="preserve">estados avalados de una meta en el PAO al momento de cierre de avances en el Sistema PAO 2021, los cuales deben ser </w:t>
      </w:r>
      <w:r w:rsidRPr="00D106C9">
        <w:rPr>
          <w:b/>
          <w:lang w:eastAsia="es-ES"/>
        </w:rPr>
        <w:t>“Pendiente”, “Completado” o “Cancelado”</w:t>
      </w:r>
      <w:r w:rsidRPr="00D106C9">
        <w:rPr>
          <w:bCs/>
          <w:lang w:eastAsia="es-ES"/>
        </w:rPr>
        <w:t xml:space="preserve"> (este último solamente con el permiso y visto bueno de la Dirección de Planificación), por ende, no pueden aparecer metas con otros estados al cierre de avances en el Sistema PAO 2021: </w:t>
      </w:r>
      <w:r w:rsidRPr="00D106C9">
        <w:rPr>
          <w:b/>
          <w:lang w:eastAsia="es-ES"/>
        </w:rPr>
        <w:t>En progreso, Demorado en Progreso (DEP), Demorado Pendiente (DP), No iniciada.</w:t>
      </w:r>
    </w:p>
    <w:p w14:paraId="204B0542" w14:textId="77777777" w:rsidR="00D106C9" w:rsidRPr="00D106C9" w:rsidRDefault="00D106C9" w:rsidP="00D106C9">
      <w:pPr>
        <w:tabs>
          <w:tab w:val="left" w:pos="426"/>
          <w:tab w:val="left" w:pos="567"/>
        </w:tabs>
        <w:suppressAutoHyphens w:val="0"/>
        <w:ind w:left="851" w:right="851" w:firstLine="709"/>
        <w:jc w:val="both"/>
        <w:rPr>
          <w:lang w:eastAsia="es-ES"/>
        </w:rPr>
      </w:pPr>
    </w:p>
    <w:p w14:paraId="79156A79"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zh-CN"/>
        </w:rPr>
        <w:t>Al comparar las metas completadas del Plan Anual Operativo 2020 (87,12%) con las metas completadas en el Plan Anual Operativo 2021 (87,75%), se puede observar cómo estas aumentaron en un 0,63%.</w:t>
      </w:r>
    </w:p>
    <w:p w14:paraId="45A29852" w14:textId="77777777" w:rsidR="00D106C9" w:rsidRPr="00D106C9" w:rsidRDefault="00D106C9" w:rsidP="00D106C9">
      <w:pPr>
        <w:tabs>
          <w:tab w:val="left" w:pos="426"/>
          <w:tab w:val="left" w:pos="567"/>
        </w:tabs>
        <w:suppressAutoHyphens w:val="0"/>
        <w:ind w:left="851" w:right="851" w:firstLine="709"/>
        <w:jc w:val="both"/>
        <w:rPr>
          <w:lang w:eastAsia="es-ES"/>
        </w:rPr>
      </w:pPr>
    </w:p>
    <w:p w14:paraId="09BA5F14"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A partir del 8 de diciembre del 2021 la Dirección de Planificación implementó una mejora en el Sistema PAO que permite a las oficinas y despachos redactar los resultados, beneficios y población beneficiada en caso de lograr el cumplimiento total de una meta PAO, para analizar y determinar si se lograron los resultados planteados y cuál fue el beneficio que se obtuvo al cumplir con la meta operativa. En el caso de que una meta operativa del PAO 2021 quede con estado de “</w:t>
      </w:r>
      <w:r w:rsidRPr="00D106C9">
        <w:rPr>
          <w:b/>
          <w:bCs/>
          <w:lang w:eastAsia="es-ES"/>
        </w:rPr>
        <w:t>PENDIENTE”</w:t>
      </w:r>
      <w:r w:rsidRPr="00D106C9">
        <w:rPr>
          <w:lang w:eastAsia="es-ES"/>
        </w:rPr>
        <w:t xml:space="preserve"> al no ser posible su ejecución, se podrá redactar una justificación del no cumplimiento de la meta operativa, en donde permite documentar y tener un registro de cuáles son las razones del no cumplimiento de metas PAO a nivel nacional, para posteriores análisis y valorar si se debe reprogramar la meta en el PAO del 2022.</w:t>
      </w:r>
    </w:p>
    <w:p w14:paraId="4DDE3B36" w14:textId="77777777" w:rsidR="00D106C9" w:rsidRPr="00D106C9" w:rsidRDefault="00D106C9" w:rsidP="00D106C9">
      <w:pPr>
        <w:tabs>
          <w:tab w:val="left" w:pos="426"/>
          <w:tab w:val="left" w:pos="567"/>
        </w:tabs>
        <w:suppressAutoHyphens w:val="0"/>
        <w:ind w:left="851" w:right="851" w:firstLine="709"/>
        <w:jc w:val="both"/>
        <w:rPr>
          <w:lang w:eastAsia="es-ES"/>
        </w:rPr>
      </w:pPr>
    </w:p>
    <w:p w14:paraId="61926241"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Con respecto al impacto de la mejora en metas operativas pendientes vinculadas al PEI se puede indicar que el 56% (301 metas operativas) registró una justificación y que las cuatro justificaciones con mayor peso son:</w:t>
      </w:r>
    </w:p>
    <w:p w14:paraId="47D03712"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Incremento en casos terminados y casos terminados por medidas alternas se les estableció un valor final elevado que incluso sobrepasa el circulante total del juzgado o del tribunal.</w:t>
      </w:r>
    </w:p>
    <w:p w14:paraId="19DD971E"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 xml:space="preserve">Factores ajenos al despacho, como por ejemplo errores en el </w:t>
      </w:r>
      <w:r w:rsidRPr="00D106C9">
        <w:rPr>
          <w:i/>
          <w:iCs/>
          <w:lang w:eastAsia="es-ES"/>
        </w:rPr>
        <w:lastRenderedPageBreak/>
        <w:t>sistema, enfermedad de los abogados, enfermedad de las partes, los números estadísticos que no llenan las expectativas, dependencia de factores exógenos (como la entrada de causas al Despacho).</w:t>
      </w:r>
    </w:p>
    <w:p w14:paraId="64FB0AC0" w14:textId="77777777" w:rsidR="00D106C9" w:rsidRPr="00D106C9" w:rsidRDefault="00D106C9" w:rsidP="003B2E9B">
      <w:pPr>
        <w:widowControl w:val="0"/>
        <w:numPr>
          <w:ilvl w:val="0"/>
          <w:numId w:val="74"/>
        </w:numPr>
        <w:suppressAutoHyphens w:val="0"/>
        <w:autoSpaceDE w:val="0"/>
        <w:autoSpaceDN w:val="0"/>
        <w:adjustRightInd w:val="0"/>
        <w:ind w:left="851" w:right="851" w:firstLine="709"/>
        <w:contextualSpacing/>
        <w:jc w:val="both"/>
        <w:rPr>
          <w:i/>
          <w:iCs/>
          <w:lang w:eastAsia="es-ES"/>
        </w:rPr>
      </w:pPr>
      <w:r w:rsidRPr="00D106C9">
        <w:rPr>
          <w:i/>
          <w:iCs/>
          <w:lang w:eastAsia="es-ES"/>
        </w:rPr>
        <w:t>A pesar del esfuerzo realizado por el personal del despacho para el cumplimiento de la meta, esta no se logró alcanzar debido a la pandemia ocasionada por la enfermedad mundial denominada “Covid-19”, donde se dieron una serie de medidas preventivas impuestas por el Ministerio de Salud.</w:t>
      </w:r>
    </w:p>
    <w:p w14:paraId="0DD85214" w14:textId="77777777" w:rsidR="00D106C9" w:rsidRPr="00D106C9" w:rsidRDefault="00D106C9" w:rsidP="003B2E9B">
      <w:pPr>
        <w:widowControl w:val="0"/>
        <w:numPr>
          <w:ilvl w:val="0"/>
          <w:numId w:val="74"/>
        </w:numPr>
        <w:suppressAutoHyphens w:val="0"/>
        <w:autoSpaceDE w:val="0"/>
        <w:autoSpaceDN w:val="0"/>
        <w:adjustRightInd w:val="0"/>
        <w:ind w:left="851" w:right="851" w:firstLine="709"/>
        <w:contextualSpacing/>
        <w:jc w:val="both"/>
        <w:rPr>
          <w:i/>
          <w:iCs/>
          <w:lang w:eastAsia="es-ES"/>
        </w:rPr>
      </w:pPr>
      <w:r w:rsidRPr="00D106C9">
        <w:rPr>
          <w:i/>
          <w:iCs/>
          <w:lang w:eastAsia="es-ES"/>
        </w:rPr>
        <w:t xml:space="preserve">A pesar de que el despacho promueva la conciliación, se dificulta debido a que en ocasiones no se apersonan las partes, por lo cual la conciliación es una posibilidad que le compete a las partes no al despacho judicial. </w:t>
      </w:r>
    </w:p>
    <w:p w14:paraId="3ED17313" w14:textId="77777777" w:rsidR="00D106C9" w:rsidRPr="00D106C9" w:rsidRDefault="00D106C9" w:rsidP="00D106C9">
      <w:pPr>
        <w:suppressAutoHyphens w:val="0"/>
        <w:ind w:left="851" w:right="851" w:firstLine="709"/>
        <w:rPr>
          <w:lang w:eastAsia="es-ES"/>
        </w:rPr>
      </w:pPr>
    </w:p>
    <w:p w14:paraId="04388762" w14:textId="77777777" w:rsidR="00D106C9" w:rsidRPr="00D106C9" w:rsidRDefault="00D106C9" w:rsidP="003B2E9B">
      <w:pPr>
        <w:widowControl w:val="0"/>
        <w:numPr>
          <w:ilvl w:val="0"/>
          <w:numId w:val="57"/>
        </w:numPr>
        <w:tabs>
          <w:tab w:val="left" w:pos="426"/>
          <w:tab w:val="left" w:pos="567"/>
          <w:tab w:val="left" w:pos="851"/>
        </w:tabs>
        <w:suppressAutoHyphens w:val="0"/>
        <w:autoSpaceDE w:val="0"/>
        <w:autoSpaceDN w:val="0"/>
        <w:adjustRightInd w:val="0"/>
        <w:ind w:left="851" w:right="851" w:firstLine="709"/>
        <w:contextualSpacing/>
        <w:jc w:val="both"/>
        <w:rPr>
          <w:lang w:eastAsia="es-ES"/>
        </w:rPr>
      </w:pPr>
      <w:r w:rsidRPr="00D106C9">
        <w:rPr>
          <w:lang w:eastAsia="es-ES"/>
        </w:rPr>
        <w:t xml:space="preserve"> De acuerdo con el impacto de la mejora en metas operativas completadas vinculadas al PEI se puede indicar que el 22% (654 metas operativas) registró el detalle con resultados y las de mayor peso son:</w:t>
      </w:r>
    </w:p>
    <w:p w14:paraId="07AE6829" w14:textId="77777777" w:rsidR="00D106C9" w:rsidRPr="00D106C9" w:rsidRDefault="00D106C9" w:rsidP="00D106C9">
      <w:pPr>
        <w:tabs>
          <w:tab w:val="left" w:pos="426"/>
          <w:tab w:val="left" w:pos="567"/>
          <w:tab w:val="left" w:pos="993"/>
        </w:tabs>
        <w:suppressAutoHyphens w:val="0"/>
        <w:ind w:left="851" w:right="851" w:firstLine="709"/>
        <w:jc w:val="both"/>
        <w:rPr>
          <w:lang w:eastAsia="es-ES"/>
        </w:rPr>
      </w:pPr>
    </w:p>
    <w:p w14:paraId="48DEB127"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Mejor control y menos posibilidades de riegos por causas prescriptas.</w:t>
      </w:r>
    </w:p>
    <w:p w14:paraId="223F1137"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Mejorar la gestión estratégica y operativa por medio de los seguimientos y la priorización de los recursos.</w:t>
      </w:r>
    </w:p>
    <w:p w14:paraId="688441F8"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Reducción en el rezago, resolución positiva de casos informados al Ministerio Público con beneficio en el trámite de las denuncias hacia los usuarios.</w:t>
      </w:r>
    </w:p>
    <w:p w14:paraId="34E3C2E0"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Reducción de circulante para atención a otras causas.</w:t>
      </w:r>
    </w:p>
    <w:p w14:paraId="20B7E7EA"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Se ha logrado la depuración de tareas pendientes por parte de la población judicial, beneficiando al despacho en la actualización de los sistemas y al usuario al agilizar el trámite de los procesos, para llegar a su finalización.</w:t>
      </w:r>
    </w:p>
    <w:p w14:paraId="4A48BBFF"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Se hace conciencia sobre el hostigamiento y el acoso sexual en el ámbito laboral, eliminando estereotipos, así como malas prácticas que afectan el buen funcionamiento del despacho a nivel de compañerismo, y con ello, las consecuencias que éstas podrían acarrear.</w:t>
      </w:r>
    </w:p>
    <w:p w14:paraId="6361041F" w14:textId="77777777" w:rsidR="00D106C9" w:rsidRPr="00D106C9" w:rsidRDefault="00D106C9" w:rsidP="003B2E9B">
      <w:pPr>
        <w:widowControl w:val="0"/>
        <w:numPr>
          <w:ilvl w:val="0"/>
          <w:numId w:val="74"/>
        </w:numPr>
        <w:tabs>
          <w:tab w:val="left" w:pos="426"/>
          <w:tab w:val="left" w:pos="567"/>
        </w:tabs>
        <w:suppressAutoHyphens w:val="0"/>
        <w:autoSpaceDE w:val="0"/>
        <w:autoSpaceDN w:val="0"/>
        <w:adjustRightInd w:val="0"/>
        <w:ind w:left="851" w:right="851" w:firstLine="709"/>
        <w:contextualSpacing/>
        <w:jc w:val="both"/>
        <w:rPr>
          <w:i/>
          <w:iCs/>
          <w:lang w:eastAsia="es-ES"/>
        </w:rPr>
      </w:pPr>
      <w:r w:rsidRPr="00D106C9">
        <w:rPr>
          <w:i/>
          <w:iCs/>
          <w:lang w:eastAsia="es-ES"/>
        </w:rPr>
        <w:t>Una mayor sensibilización y comprensión del tema, además de refrescar el procedimiento de cómo atender los casos institucionalmente.</w:t>
      </w:r>
    </w:p>
    <w:p w14:paraId="1BE7F4FA" w14:textId="77777777" w:rsidR="00D106C9" w:rsidRPr="00D106C9" w:rsidRDefault="00D106C9" w:rsidP="00D106C9">
      <w:pPr>
        <w:suppressAutoHyphens w:val="0"/>
        <w:ind w:left="851" w:right="851" w:firstLine="709"/>
        <w:jc w:val="both"/>
        <w:rPr>
          <w:lang w:eastAsia="es-ES"/>
        </w:rPr>
      </w:pPr>
    </w:p>
    <w:p w14:paraId="2CADDAE3" w14:textId="77777777" w:rsidR="00D106C9" w:rsidRPr="00D106C9" w:rsidRDefault="00D106C9" w:rsidP="003B2E9B">
      <w:pPr>
        <w:widowControl w:val="0"/>
        <w:numPr>
          <w:ilvl w:val="0"/>
          <w:numId w:val="57"/>
        </w:numPr>
        <w:tabs>
          <w:tab w:val="left" w:pos="426"/>
          <w:tab w:val="left" w:pos="567"/>
          <w:tab w:val="left" w:pos="993"/>
        </w:tabs>
        <w:suppressAutoHyphens w:val="0"/>
        <w:autoSpaceDE w:val="0"/>
        <w:autoSpaceDN w:val="0"/>
        <w:adjustRightInd w:val="0"/>
        <w:ind w:left="851" w:right="851" w:firstLine="709"/>
        <w:contextualSpacing/>
        <w:jc w:val="both"/>
        <w:rPr>
          <w:lang w:eastAsia="es-ES"/>
        </w:rPr>
      </w:pPr>
      <w:r w:rsidRPr="00D106C9">
        <w:rPr>
          <w:lang w:eastAsia="es-ES"/>
        </w:rPr>
        <w:t xml:space="preserve"> Con respecto la población beneficiaria se concientizó al equipo de trabajo respecto al tema de interés, por lo cual se procura la mejor atención de las personas internas y externas; así mismo, se cuenta con herramientas tendientes a mejorar la prestación del servicio que se le brinda a la población indígena y funcionarios del Ministerio Público que tramitan casos indígenas. Finalmente se considera que la población beneficiada es la parte autora en los procesos, del mismo modo, resulta de beneficio al despacho para avanzar </w:t>
      </w:r>
      <w:r w:rsidRPr="00D106C9">
        <w:rPr>
          <w:lang w:eastAsia="es-ES"/>
        </w:rPr>
        <w:lastRenderedPageBreak/>
        <w:t>con el término de los expedientes judiciales.</w:t>
      </w:r>
    </w:p>
    <w:p w14:paraId="24B2F58E" w14:textId="77777777" w:rsidR="00D106C9" w:rsidRPr="00D106C9" w:rsidRDefault="00D106C9" w:rsidP="00D106C9">
      <w:pPr>
        <w:tabs>
          <w:tab w:val="left" w:pos="426"/>
          <w:tab w:val="left" w:pos="567"/>
        </w:tabs>
        <w:suppressAutoHyphens w:val="0"/>
        <w:ind w:left="851" w:right="851" w:firstLine="709"/>
        <w:jc w:val="both"/>
        <w:rPr>
          <w:lang w:eastAsia="es-ES"/>
        </w:rPr>
      </w:pPr>
    </w:p>
    <w:p w14:paraId="0083202E" w14:textId="77777777" w:rsidR="00D106C9" w:rsidRPr="00D106C9" w:rsidRDefault="00D106C9" w:rsidP="00D106C9">
      <w:pPr>
        <w:tabs>
          <w:tab w:val="left" w:pos="426"/>
          <w:tab w:val="left" w:pos="567"/>
        </w:tabs>
        <w:suppressAutoHyphens w:val="0"/>
        <w:ind w:left="851" w:right="851" w:firstLine="709"/>
        <w:jc w:val="both"/>
        <w:rPr>
          <w:lang w:eastAsia="es-ES"/>
        </w:rPr>
      </w:pPr>
    </w:p>
    <w:p w14:paraId="41764526"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De acuerdo con las mejoras implementadas en el Sistema PAO desde el 2019, se logra determinar en dos alternativas el registro de los avances, ya sea de manera porcentual o avances con valores absolutos de unidades o cantidad de insumos generados. Adicionalmente a todos los avances porcentuales como, por ejemplo, porcentaje de avance del proyecto o porcentaje de avance de la implementación, se establecieron indicadores por resultados, como diagnósticos elaborados, modelos implementados, diseños de planes ejecutados, normativa elaborada, borradores de proyectos, entre otros importantes resultados tangibles y entregables que puedan ser verificados y aprobados por la jerarquía institucional. El 33% de las metas fueron formuladas de manera que su cumplimiento se midiera en términos relativos de </w:t>
      </w:r>
      <w:r w:rsidRPr="00D106C9">
        <w:rPr>
          <w:b/>
          <w:bCs/>
          <w:lang w:eastAsia="es-ES"/>
        </w:rPr>
        <w:t>porcentaje</w:t>
      </w:r>
      <w:r w:rsidRPr="00D106C9">
        <w:rPr>
          <w:lang w:eastAsia="es-ES"/>
        </w:rPr>
        <w:t xml:space="preserve"> y un 67% de las metas formuladas tienen indicadores que son medibles mediante </w:t>
      </w:r>
      <w:r w:rsidRPr="00D106C9">
        <w:rPr>
          <w:b/>
          <w:bCs/>
          <w:lang w:eastAsia="es-ES"/>
        </w:rPr>
        <w:t>cantidades absolutas.</w:t>
      </w:r>
    </w:p>
    <w:p w14:paraId="7147A4BC" w14:textId="77777777" w:rsidR="00D106C9" w:rsidRPr="00D106C9" w:rsidRDefault="00D106C9" w:rsidP="00D106C9">
      <w:pPr>
        <w:widowControl w:val="0"/>
        <w:tabs>
          <w:tab w:val="left" w:pos="993"/>
        </w:tabs>
        <w:suppressAutoHyphens w:val="0"/>
        <w:autoSpaceDE w:val="0"/>
        <w:autoSpaceDN w:val="0"/>
        <w:adjustRightInd w:val="0"/>
        <w:ind w:left="851" w:right="851" w:firstLine="709"/>
        <w:jc w:val="both"/>
        <w:rPr>
          <w:lang w:eastAsia="es-ES"/>
        </w:rPr>
      </w:pPr>
    </w:p>
    <w:p w14:paraId="6487B51C"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Con respecto a la vinculación de las metas estratégicas del PEI y su enlace con el PAO, se determina que hay 6738 metas formuladas en todos los PAO a nivel nacional, </w:t>
      </w:r>
      <w:r w:rsidRPr="00D106C9">
        <w:rPr>
          <w:b/>
          <w:bCs/>
          <w:lang w:eastAsia="es-ES"/>
        </w:rPr>
        <w:t>hay 3634 metas operativas provenientes del PEI</w:t>
      </w:r>
      <w:r w:rsidRPr="00D106C9">
        <w:rPr>
          <w:lang w:eastAsia="es-ES"/>
        </w:rPr>
        <w:t xml:space="preserve"> y que fueron asignadas para el cumplimiento estratégico del Plan, y por otra parte hay 3104 metas que fueron formuladas por parte de los despachos y oficinas judiciales por su propia iniciativa. De la totalidad de 3634 metas operativas provenientes del PEI, hay 634 metas que registran un avance del 1 al 99%, lo que representa un 17% de las metas formuladas vinculadas al PEI las cuales a pesar de los esfuerzos realizados, no fue posible completarlas, mientras que el otro grupo que es el porcentaje de cumplimiento más alto con un 100% se registran 3000 metas lo que significa que un 83% de las metas operativas vinculadas al PEI fueron completadas como parte de la labor operativa de la oficina o despacho, por lo tanto, esto impacta de manera positiva en el cumplimiento del PEI.</w:t>
      </w:r>
    </w:p>
    <w:p w14:paraId="453BD3E8" w14:textId="77777777" w:rsidR="00D106C9" w:rsidRPr="00D106C9" w:rsidRDefault="00D106C9" w:rsidP="00D106C9">
      <w:pPr>
        <w:suppressAutoHyphens w:val="0"/>
        <w:ind w:left="851" w:right="851" w:firstLine="709"/>
        <w:rPr>
          <w:b/>
          <w:bCs/>
          <w:lang w:eastAsia="es-ES"/>
        </w:rPr>
      </w:pPr>
    </w:p>
    <w:p w14:paraId="233D31DE"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Del análisis realizado, se obtiene un total de 476 metas operativas vinculadas al PEI que no superaron el porcentaje de cumplimiento de 90%, conforme se detalla en el apartado 11 de este informe. Se destaca que, de esas 476 metas operativas, un 93% corresponden al Tema Estratégico del PEI denominado “Resolución oportuna del conflicto”, </w:t>
      </w:r>
      <w:r w:rsidRPr="00D106C9">
        <w:rPr>
          <w:b/>
          <w:bCs/>
          <w:u w:val="single"/>
          <w:lang w:eastAsia="es-ES"/>
        </w:rPr>
        <w:t>por lo que resulta prudente realizar un análisis de las metas rezagadas</w:t>
      </w:r>
      <w:r w:rsidRPr="00D106C9">
        <w:rPr>
          <w:lang w:eastAsia="es-ES"/>
        </w:rPr>
        <w:t xml:space="preserve">, debido a que se ha detectado en ocasiones que corresponden a omisiones u olvidos por parte de las oficinas con respecto al registro oportuno de la información, de ahí la importancia de involucrar al Centro de Responsabilidad para este análisis. </w:t>
      </w:r>
    </w:p>
    <w:p w14:paraId="7DAEC92B" w14:textId="77777777" w:rsidR="00D106C9" w:rsidRPr="00D106C9" w:rsidRDefault="00D106C9" w:rsidP="00D106C9">
      <w:pPr>
        <w:suppressAutoHyphens w:val="0"/>
        <w:ind w:left="851" w:right="851" w:firstLine="709"/>
        <w:rPr>
          <w:lang w:eastAsia="es-ES"/>
        </w:rPr>
      </w:pPr>
    </w:p>
    <w:p w14:paraId="35686750"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De las 476 oficinas con metas operativas vinculadas al PEI que no fueron completadas y que registran un avance inferior al 90%, se tiene un primer grupo con 11 oficinas, con un rango de 5 a 10 metas operativas igual o menor al 90% de cumplimiento, seguido de un segundo grupo de 117 oficinas, con un rango de 4 a 2 metas operativas igual o menor al 90% de cumplimiento y un tercer grupo de 135 oficinas con un rango de una meta operativa igual o menor al 90% de cumplimiento.</w:t>
      </w:r>
    </w:p>
    <w:p w14:paraId="01504919" w14:textId="77777777" w:rsidR="00D106C9" w:rsidRPr="00D106C9" w:rsidRDefault="00D106C9" w:rsidP="00D106C9">
      <w:pPr>
        <w:suppressAutoHyphens w:val="0"/>
        <w:ind w:left="851" w:right="851" w:firstLine="709"/>
        <w:rPr>
          <w:lang w:eastAsia="es-ES"/>
        </w:rPr>
      </w:pPr>
    </w:p>
    <w:p w14:paraId="0011002E"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De acuerdo con la evaluación del Plan Covid-19, se </w:t>
      </w:r>
      <w:r w:rsidRPr="00D106C9">
        <w:rPr>
          <w:rFonts w:eastAsia="Calibri"/>
          <w:lang w:eastAsia="es-ES"/>
        </w:rPr>
        <w:t xml:space="preserve">llevó a cabo un proceso de revisión de las 52 metas estratégicas </w:t>
      </w:r>
      <w:r w:rsidRPr="00D106C9">
        <w:rPr>
          <w:lang w:eastAsia="es-ES"/>
        </w:rPr>
        <w:t>para este 2021 vinculadas con el Plan de Acción Covid-19, mediante el cumplimiento de los objetivos y metas operativas del PAO.</w:t>
      </w:r>
    </w:p>
    <w:p w14:paraId="27408BC0" w14:textId="77777777" w:rsidR="00D106C9" w:rsidRPr="00D106C9" w:rsidRDefault="00D106C9" w:rsidP="00D106C9">
      <w:pPr>
        <w:suppressAutoHyphens w:val="0"/>
        <w:ind w:left="851" w:right="851" w:firstLine="709"/>
        <w:rPr>
          <w:lang w:eastAsia="es-ES"/>
        </w:rPr>
      </w:pPr>
    </w:p>
    <w:p w14:paraId="723E1C13"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El mecanismo de valoración se define con el propósito de medir el nivel de progreso y cumplimiento del Plan de Acción Covid-19, con base en el grado de avance acumulado de las 185 metas operativas asociadas a las mestas estratégicas, el cual se obtiene mediante un monitoreo continuo de las diferentes acciones ejecutadas para asegurar su cumplimiento. </w:t>
      </w:r>
    </w:p>
    <w:p w14:paraId="53C7F807" w14:textId="77777777" w:rsidR="00D106C9" w:rsidRPr="00D106C9" w:rsidRDefault="00D106C9" w:rsidP="00D106C9">
      <w:pPr>
        <w:suppressAutoHyphens w:val="0"/>
        <w:ind w:left="851" w:right="851" w:firstLine="709"/>
        <w:rPr>
          <w:lang w:eastAsia="es-ES"/>
        </w:rPr>
      </w:pPr>
    </w:p>
    <w:p w14:paraId="39831529"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El avance institucional en el cumplimiento de Plan Covid-19 para el 2021 se reporta en un 93,33% de cumplimiento contra un 6,67% que no logró ser cumplido al 19 de enero del 2022.</w:t>
      </w:r>
    </w:p>
    <w:p w14:paraId="74CF9FF5" w14:textId="77777777" w:rsidR="00D106C9" w:rsidRPr="00D106C9" w:rsidRDefault="00D106C9" w:rsidP="00D106C9">
      <w:pPr>
        <w:suppressAutoHyphens w:val="0"/>
        <w:ind w:left="851" w:right="851" w:firstLine="709"/>
        <w:rPr>
          <w:lang w:eastAsia="es-ES"/>
        </w:rPr>
      </w:pPr>
    </w:p>
    <w:p w14:paraId="5C386094"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La Comisión de la Jurisdicción Agrario y Agroambiental y a la Biblioteca Judicial deben realizar </w:t>
      </w:r>
      <w:r w:rsidRPr="00D106C9">
        <w:rPr>
          <w:snapToGrid w:val="0"/>
          <w:lang w:eastAsia="es-ES"/>
        </w:rPr>
        <w:t xml:space="preserve">los esfuerzos necesarios para completar cada meta operativa que se les asocia al Plan de Acción Covid-19 y así </w:t>
      </w:r>
      <w:r w:rsidRPr="00D106C9">
        <w:rPr>
          <w:bCs/>
          <w:lang w:eastAsia="es-ES"/>
        </w:rPr>
        <w:t xml:space="preserve">contribuir en la atención de la emergencia sanitaria COVID-19, dado que se considera como un activo estratégico para la continuidad de los servicios institucionales. </w:t>
      </w:r>
    </w:p>
    <w:p w14:paraId="79DE013A" w14:textId="77777777" w:rsidR="00D106C9" w:rsidRPr="00D106C9" w:rsidRDefault="00D106C9" w:rsidP="00D106C9">
      <w:pPr>
        <w:suppressAutoHyphens w:val="0"/>
        <w:ind w:left="851" w:right="851" w:firstLine="709"/>
        <w:jc w:val="both"/>
        <w:rPr>
          <w:lang w:eastAsia="es-ES"/>
        </w:rPr>
      </w:pPr>
    </w:p>
    <w:p w14:paraId="54E20AC0" w14:textId="77777777" w:rsidR="00D106C9" w:rsidRPr="00D106C9" w:rsidRDefault="00D106C9" w:rsidP="00D106C9">
      <w:pPr>
        <w:suppressAutoHyphens w:val="0"/>
        <w:ind w:left="851" w:right="851" w:firstLine="709"/>
        <w:jc w:val="both"/>
        <w:rPr>
          <w:lang w:eastAsia="es-ES"/>
        </w:rPr>
      </w:pPr>
      <w:r w:rsidRPr="00D106C9">
        <w:rPr>
          <w:lang w:eastAsia="es-ES"/>
        </w:rPr>
        <w:t>En relación con lo anterior, la estrategia número 6 del Plan de Acción Covid-19 denominada “Promover reuniones, capacitaciones, congresos, sesiones de trabajo y talleres en modalidad virtual.”, está compuesta por seis metas estratégicas y siete metas operativas, las cual tiene un cumplimiento para el 2021 del 83,33% (</w:t>
      </w:r>
      <w:r w:rsidRPr="00D106C9">
        <w:rPr>
          <w:b/>
          <w:bCs/>
          <w:lang w:eastAsia="es-ES"/>
        </w:rPr>
        <w:t>ver anexo 15</w:t>
      </w:r>
      <w:r w:rsidRPr="00D106C9">
        <w:rPr>
          <w:lang w:eastAsia="es-ES"/>
        </w:rPr>
        <w:t>).</w:t>
      </w:r>
    </w:p>
    <w:p w14:paraId="7EC34B2D" w14:textId="77777777" w:rsidR="00D106C9" w:rsidRPr="00D106C9" w:rsidRDefault="00D106C9" w:rsidP="00D106C9">
      <w:pPr>
        <w:suppressAutoHyphens w:val="0"/>
        <w:ind w:left="851" w:right="851" w:firstLine="709"/>
        <w:jc w:val="both"/>
        <w:rPr>
          <w:lang w:eastAsia="es-ES"/>
        </w:rPr>
      </w:pPr>
    </w:p>
    <w:p w14:paraId="2527FEFA" w14:textId="77777777" w:rsidR="00D106C9" w:rsidRPr="00D106C9" w:rsidRDefault="00D106C9" w:rsidP="00D106C9">
      <w:pPr>
        <w:suppressAutoHyphens w:val="0"/>
        <w:ind w:left="851" w:right="851" w:firstLine="709"/>
        <w:jc w:val="both"/>
        <w:rPr>
          <w:lang w:eastAsia="es-ES"/>
        </w:rPr>
      </w:pPr>
      <w:r w:rsidRPr="00D106C9">
        <w:rPr>
          <w:lang w:eastAsia="es-ES"/>
        </w:rPr>
        <w:t>En el caso de la Biblioteca Judicial no realizó el avance esperado para la meta operativa “</w:t>
      </w:r>
      <w:r w:rsidRPr="00D106C9">
        <w:rPr>
          <w:i/>
          <w:iCs/>
          <w:lang w:eastAsia="es-ES"/>
        </w:rPr>
        <w:t>Que al 31/12/2021 se hayan elaborado un plan de trabajo para la ejecución de los roles establecidos conforme cronograma</w:t>
      </w:r>
      <w:r w:rsidRPr="00D106C9">
        <w:rPr>
          <w:lang w:eastAsia="es-ES"/>
        </w:rPr>
        <w:t xml:space="preserve">”, por lo anterior, se requiere un mayor nivel de atención por parte de la Biblioteca Judicial, en la </w:t>
      </w:r>
      <w:r w:rsidRPr="00D106C9">
        <w:rPr>
          <w:lang w:eastAsia="es-ES"/>
        </w:rPr>
        <w:lastRenderedPageBreak/>
        <w:t>consecución de las metas operativas asociadas, de manera tal que se alcancen los mayores porcentajes posibles de cumplimiento para el 2022.</w:t>
      </w:r>
    </w:p>
    <w:p w14:paraId="0A6D7997" w14:textId="77777777" w:rsidR="00D106C9" w:rsidRPr="00D106C9" w:rsidRDefault="00D106C9" w:rsidP="00D106C9">
      <w:pPr>
        <w:suppressAutoHyphens w:val="0"/>
        <w:ind w:left="851" w:right="851" w:firstLine="709"/>
        <w:jc w:val="both"/>
        <w:rPr>
          <w:lang w:eastAsia="es-ES"/>
        </w:rPr>
      </w:pPr>
    </w:p>
    <w:p w14:paraId="24DE553F" w14:textId="77777777" w:rsidR="00D106C9" w:rsidRPr="00D106C9" w:rsidRDefault="00D106C9" w:rsidP="00D106C9">
      <w:pPr>
        <w:suppressAutoHyphens w:val="0"/>
        <w:ind w:left="851" w:right="851" w:firstLine="709"/>
        <w:jc w:val="both"/>
        <w:rPr>
          <w:lang w:eastAsia="es-ES"/>
        </w:rPr>
      </w:pPr>
      <w:r w:rsidRPr="00D106C9">
        <w:rPr>
          <w:lang w:eastAsia="es-ES"/>
        </w:rPr>
        <w:t>En el caso de la meta estrategia número 5 del Plan de Acción Covid-19 denominada “</w:t>
      </w:r>
      <w:r w:rsidRPr="00D106C9">
        <w:rPr>
          <w:i/>
          <w:iCs/>
          <w:lang w:eastAsia="es-ES"/>
        </w:rPr>
        <w:t>Apoyo de las Comisiones Institucionales en promover los servicios virtuales</w:t>
      </w:r>
      <w:r w:rsidRPr="00D106C9">
        <w:rPr>
          <w:lang w:eastAsia="es-ES"/>
        </w:rPr>
        <w:t>”, está compuesta por tres metas estratégicas y nueve metas operativas, las cual tiene un cumplimiento para el 2021 del 66.67% (</w:t>
      </w:r>
      <w:r w:rsidRPr="00D106C9">
        <w:rPr>
          <w:b/>
          <w:bCs/>
          <w:lang w:eastAsia="es-ES"/>
        </w:rPr>
        <w:t>ver anexo 14</w:t>
      </w:r>
      <w:r w:rsidRPr="00D106C9">
        <w:rPr>
          <w:lang w:eastAsia="es-ES"/>
        </w:rPr>
        <w:t>).</w:t>
      </w:r>
    </w:p>
    <w:p w14:paraId="00791EFE" w14:textId="77777777" w:rsidR="00D106C9" w:rsidRPr="00D106C9" w:rsidRDefault="00D106C9" w:rsidP="00D106C9">
      <w:pPr>
        <w:suppressAutoHyphens w:val="0"/>
        <w:ind w:left="851" w:right="851" w:firstLine="709"/>
        <w:jc w:val="both"/>
        <w:rPr>
          <w:lang w:eastAsia="es-ES"/>
        </w:rPr>
      </w:pPr>
    </w:p>
    <w:p w14:paraId="41A6A63A" w14:textId="77777777" w:rsidR="00D106C9" w:rsidRPr="00D106C9" w:rsidRDefault="00D106C9" w:rsidP="00D106C9">
      <w:pPr>
        <w:suppressAutoHyphens w:val="0"/>
        <w:ind w:left="851" w:right="851" w:firstLine="709"/>
        <w:jc w:val="both"/>
        <w:rPr>
          <w:lang w:eastAsia="es-ES"/>
        </w:rPr>
      </w:pPr>
      <w:r w:rsidRPr="00D106C9">
        <w:rPr>
          <w:lang w:eastAsia="es-ES"/>
        </w:rPr>
        <w:t xml:space="preserve">En este caso, la Comisión de la Jurisdicción Agrario y Agroambiental, no realizó los avances esperados para las metas operativas </w:t>
      </w:r>
      <w:r w:rsidRPr="00D106C9">
        <w:rPr>
          <w:i/>
          <w:iCs/>
          <w:lang w:eastAsia="es-ES"/>
        </w:rPr>
        <w:t>“Que al finalizar el 2021, la Comisión de la Jurisdicción Agraria haya aprobado el Plan de Capacitación Agraria propuesto por la Escuela Judicial, asociado a la implementación del Código Procesal Agrario, el cual debe estar ajustado con ocasión de los requerimientos propios de la pandemia Covid19”, “Que al finalizar el 2021, se haya capacitado al 100% de la población definida en el plan de capacitación”, Que al finalizar el 2021, se haya completado la capacitación sobre el uso de la herramienta tecnológica “</w:t>
      </w:r>
      <w:proofErr w:type="spellStart"/>
      <w:r w:rsidRPr="00D106C9">
        <w:rPr>
          <w:i/>
          <w:iCs/>
          <w:lang w:eastAsia="es-ES"/>
        </w:rPr>
        <w:t>drone</w:t>
      </w:r>
      <w:proofErr w:type="spellEnd"/>
      <w:r w:rsidRPr="00D106C9">
        <w:rPr>
          <w:i/>
          <w:iCs/>
          <w:lang w:eastAsia="es-ES"/>
        </w:rPr>
        <w:t>” al 100% de las personas juzgadoras y al menos 2 personas técnicas de la jurisdicción agraria” y “Que al finalizar el 2021, se haya revisado e identificado oportunidades de mejora del Protocolo de Audiencias Virtuales de la Jurisdicción Agraria”</w:t>
      </w:r>
      <w:r w:rsidRPr="00D106C9">
        <w:rPr>
          <w:lang w:eastAsia="es-ES"/>
        </w:rPr>
        <w:t>, obteniendo un 0% de avance de cumplimiento para el 2021, por lo anterior, se requiere un mayor nivel de atención por parte de la Comisión, en la consecución de las metas operativas asociadas, de manera tal que se alcancen los mayores porcentajes posibles de cumplimiento para el 2022.</w:t>
      </w:r>
    </w:p>
    <w:p w14:paraId="3143E281" w14:textId="77777777" w:rsidR="00D106C9" w:rsidRPr="00D106C9" w:rsidRDefault="00D106C9" w:rsidP="00D106C9">
      <w:pPr>
        <w:suppressAutoHyphens w:val="0"/>
        <w:ind w:left="851" w:right="851" w:firstLine="709"/>
        <w:rPr>
          <w:lang w:eastAsia="es-ES"/>
        </w:rPr>
      </w:pPr>
    </w:p>
    <w:p w14:paraId="14552F3B"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709"/>
        <w:jc w:val="both"/>
        <w:rPr>
          <w:bCs/>
          <w:lang w:eastAsia="es-ES"/>
        </w:rPr>
      </w:pPr>
      <w:r w:rsidRPr="00D106C9">
        <w:rPr>
          <w:lang w:eastAsia="es-ES"/>
        </w:rPr>
        <w:t xml:space="preserve">Adicionalmente, señalar </w:t>
      </w:r>
      <w:proofErr w:type="gramStart"/>
      <w:r w:rsidRPr="00D106C9">
        <w:rPr>
          <w:lang w:eastAsia="es-ES"/>
        </w:rPr>
        <w:t>que</w:t>
      </w:r>
      <w:proofErr w:type="gramEnd"/>
      <w:r w:rsidRPr="00D106C9">
        <w:rPr>
          <w:lang w:eastAsia="es-ES"/>
        </w:rPr>
        <w:t xml:space="preserve"> </w:t>
      </w:r>
      <w:r w:rsidRPr="00D106C9">
        <w:rPr>
          <w:bCs/>
          <w:lang w:eastAsia="es-ES"/>
        </w:rPr>
        <w:t xml:space="preserve">con respecto a las dos estrategias del Plan de Acción asociadas a la materia tecnológica, a saber: Estrategia 10 – Ampliación de los servicios de la Mesa de Ayuda (DTI) y Estrategia 20 – Gestión de las Tecnologías de la Información y Transformación Digital., la Dirección de Tecnología y Comunicación no formuló objetivos operativos. </w:t>
      </w:r>
    </w:p>
    <w:p w14:paraId="23019F09" w14:textId="77777777" w:rsidR="00D106C9" w:rsidRPr="00D106C9" w:rsidRDefault="00D106C9" w:rsidP="00D106C9">
      <w:pPr>
        <w:suppressAutoHyphens w:val="0"/>
        <w:ind w:left="851" w:right="851" w:firstLine="709"/>
        <w:rPr>
          <w:lang w:eastAsia="es-ES"/>
        </w:rPr>
      </w:pPr>
    </w:p>
    <w:p w14:paraId="103EE361" w14:textId="77777777" w:rsidR="00D106C9" w:rsidRPr="00D106C9" w:rsidRDefault="00D106C9" w:rsidP="00D106C9">
      <w:pPr>
        <w:suppressAutoHyphens w:val="0"/>
        <w:ind w:left="851" w:right="851" w:firstLine="709"/>
        <w:rPr>
          <w:lang w:eastAsia="es-ES"/>
        </w:rPr>
      </w:pPr>
    </w:p>
    <w:p w14:paraId="57A5C22D" w14:textId="77777777" w:rsidR="00D106C9" w:rsidRPr="00D106C9" w:rsidRDefault="00D106C9" w:rsidP="003B2E9B">
      <w:pPr>
        <w:widowControl w:val="0"/>
        <w:numPr>
          <w:ilvl w:val="0"/>
          <w:numId w:val="57"/>
        </w:numPr>
        <w:tabs>
          <w:tab w:val="left" w:pos="426"/>
          <w:tab w:val="left" w:pos="567"/>
        </w:tabs>
        <w:suppressAutoHyphens w:val="0"/>
        <w:autoSpaceDE w:val="0"/>
        <w:autoSpaceDN w:val="0"/>
        <w:adjustRightInd w:val="0"/>
        <w:ind w:left="851" w:right="851" w:firstLine="709"/>
        <w:contextualSpacing/>
        <w:jc w:val="both"/>
        <w:rPr>
          <w:lang w:eastAsia="es-ES"/>
        </w:rPr>
      </w:pPr>
      <w:r w:rsidRPr="00D106C9">
        <w:rPr>
          <w:lang w:eastAsia="es-ES"/>
        </w:rPr>
        <w:t xml:space="preserve">En acatamiento a la Política de Justicia Abierta para el Poder Judicial, todos los Planes Anuales Operativos institucionales son de acceso público, así como los reportes que permiten observar el nivel de avance Institucional, por Programa Presupuestario, Centro de Responsabilidad y por Oficina. Como parte de la labor de la Dirección de Planificación, se remitieron cápsulas a toda la población judicial y un correo dirigido a los Centros de Responsabilidad informando sobre el nivel de cumplimiento de cada oficina que integra el Centro, con el fin de reiterar a todos los servidores judiciales sobre la importancia de realizar los avances por medio del Sistema de Formulación y </w:t>
      </w:r>
      <w:r w:rsidRPr="00D106C9">
        <w:rPr>
          <w:lang w:eastAsia="es-ES"/>
        </w:rPr>
        <w:lastRenderedPageBreak/>
        <w:t>Seguimiento a los Planes Anuales Operativos, además del monitoreo que la Dirección de Planificación está llevando a cabo.</w:t>
      </w:r>
    </w:p>
    <w:p w14:paraId="0D170C32"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83B9775" w14:textId="77777777" w:rsidR="00D106C9" w:rsidRPr="00D106C9" w:rsidRDefault="00D106C9" w:rsidP="003B2E9B">
      <w:pPr>
        <w:widowControl w:val="0"/>
        <w:numPr>
          <w:ilvl w:val="0"/>
          <w:numId w:val="84"/>
        </w:numPr>
        <w:suppressAutoHyphens w:val="0"/>
        <w:autoSpaceDE w:val="0"/>
        <w:autoSpaceDN w:val="0"/>
        <w:adjustRightInd w:val="0"/>
        <w:ind w:left="851" w:right="851" w:firstLine="709"/>
        <w:rPr>
          <w:lang w:eastAsia="es-ES"/>
        </w:rPr>
      </w:pPr>
      <w:bookmarkStart w:id="54" w:name="_Toc90563636"/>
      <w:bookmarkStart w:id="55" w:name="_Toc102390791"/>
      <w:r w:rsidRPr="00D106C9">
        <w:rPr>
          <w:lang w:eastAsia="es-ES"/>
        </w:rPr>
        <w:t>Recomendaciones</w:t>
      </w:r>
      <w:bookmarkEnd w:id="54"/>
      <w:bookmarkEnd w:id="55"/>
    </w:p>
    <w:p w14:paraId="312E2D4F" w14:textId="77777777" w:rsidR="00D106C9" w:rsidRPr="00D106C9" w:rsidRDefault="00D106C9" w:rsidP="00D106C9">
      <w:pPr>
        <w:widowControl w:val="0"/>
        <w:suppressAutoHyphens w:val="0"/>
        <w:autoSpaceDE w:val="0"/>
        <w:autoSpaceDN w:val="0"/>
        <w:adjustRightInd w:val="0"/>
        <w:ind w:left="851" w:right="851" w:firstLine="709"/>
        <w:rPr>
          <w:b/>
          <w:bCs/>
          <w:lang w:eastAsia="es-ES"/>
        </w:rPr>
      </w:pPr>
      <w:r w:rsidRPr="00D106C9">
        <w:rPr>
          <w:b/>
          <w:bCs/>
          <w:lang w:eastAsia="es-ES"/>
        </w:rPr>
        <w:t>Al Consejo Superior</w:t>
      </w:r>
    </w:p>
    <w:p w14:paraId="538D0651"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64382A5D" w14:textId="77777777" w:rsidR="00D106C9" w:rsidRPr="00D106C9" w:rsidRDefault="00D106C9" w:rsidP="003B2E9B">
      <w:pPr>
        <w:widowControl w:val="0"/>
        <w:numPr>
          <w:ilvl w:val="0"/>
          <w:numId w:val="79"/>
        </w:numPr>
        <w:tabs>
          <w:tab w:val="left" w:pos="993"/>
          <w:tab w:val="left" w:pos="1276"/>
        </w:tabs>
        <w:suppressAutoHyphens w:val="0"/>
        <w:autoSpaceDE w:val="0"/>
        <w:autoSpaceDN w:val="0"/>
        <w:adjustRightInd w:val="0"/>
        <w:ind w:left="851" w:right="851" w:firstLine="709"/>
        <w:contextualSpacing/>
        <w:rPr>
          <w:lang w:eastAsia="es-ES"/>
        </w:rPr>
      </w:pPr>
      <w:r w:rsidRPr="00D106C9">
        <w:rPr>
          <w:lang w:eastAsia="es-ES"/>
        </w:rPr>
        <w:t>Aprobar el presente informe y sus recomendaciones, de evaluación a las metas operativas del Plan Anual Operativo 2021.</w:t>
      </w:r>
    </w:p>
    <w:p w14:paraId="59BE22ED" w14:textId="77777777" w:rsidR="00D106C9" w:rsidRPr="00D106C9" w:rsidRDefault="00D106C9" w:rsidP="00D106C9">
      <w:pPr>
        <w:tabs>
          <w:tab w:val="left" w:pos="993"/>
          <w:tab w:val="left" w:pos="1276"/>
        </w:tabs>
        <w:suppressAutoHyphens w:val="0"/>
        <w:ind w:left="851" w:right="851" w:firstLine="709"/>
        <w:rPr>
          <w:lang w:eastAsia="es-ES"/>
        </w:rPr>
      </w:pPr>
    </w:p>
    <w:p w14:paraId="6E4EC293" w14:textId="77777777" w:rsidR="00D106C9" w:rsidRPr="00D106C9" w:rsidRDefault="00D106C9" w:rsidP="003B2E9B">
      <w:pPr>
        <w:widowControl w:val="0"/>
        <w:numPr>
          <w:ilvl w:val="0"/>
          <w:numId w:val="79"/>
        </w:numPr>
        <w:tabs>
          <w:tab w:val="left" w:pos="993"/>
          <w:tab w:val="left" w:pos="1276"/>
        </w:tabs>
        <w:suppressAutoHyphens w:val="0"/>
        <w:autoSpaceDE w:val="0"/>
        <w:autoSpaceDN w:val="0"/>
        <w:adjustRightInd w:val="0"/>
        <w:ind w:left="851" w:right="851" w:firstLine="709"/>
        <w:contextualSpacing/>
        <w:jc w:val="both"/>
        <w:rPr>
          <w:lang w:eastAsia="es-ES"/>
        </w:rPr>
      </w:pPr>
      <w:r w:rsidRPr="00D106C9">
        <w:rPr>
          <w:lang w:eastAsia="es-ES"/>
        </w:rPr>
        <w:t>Hacer un llamado de atención a las 122 oficinas con registro de cumplimiento inferior al 90%, para que determinen las razones que propiciaron no alcanzar los resultados esperados, e implementar medidas correctivas que a la brevedad en este 2022 les permitan mejorar los porcentajes de cumplimiento de los PAOS.</w:t>
      </w:r>
    </w:p>
    <w:tbl>
      <w:tblPr>
        <w:tblW w:w="86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0"/>
        <w:gridCol w:w="2260"/>
        <w:gridCol w:w="2180"/>
        <w:gridCol w:w="2120"/>
      </w:tblGrid>
      <w:tr w:rsidR="00D106C9" w:rsidRPr="00D106C9" w14:paraId="268DE4CA" w14:textId="77777777" w:rsidTr="006D7BCD">
        <w:trPr>
          <w:trHeight w:val="260"/>
          <w:jc w:val="center"/>
        </w:trPr>
        <w:tc>
          <w:tcPr>
            <w:tcW w:w="8620" w:type="dxa"/>
            <w:gridSpan w:val="4"/>
            <w:shd w:val="clear" w:color="000000" w:fill="0070C0"/>
            <w:noWrap/>
            <w:vAlign w:val="bottom"/>
            <w:hideMark/>
          </w:tcPr>
          <w:p w14:paraId="5E8B717E"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Oficinas con registro de cumplimiento inferior al 90%.</w:t>
            </w:r>
          </w:p>
        </w:tc>
      </w:tr>
      <w:tr w:rsidR="00D106C9" w:rsidRPr="00D106C9" w14:paraId="3BDA3F2D" w14:textId="77777777" w:rsidTr="006D7BCD">
        <w:trPr>
          <w:trHeight w:val="630"/>
          <w:jc w:val="center"/>
        </w:trPr>
        <w:tc>
          <w:tcPr>
            <w:tcW w:w="2060" w:type="dxa"/>
            <w:shd w:val="clear" w:color="auto" w:fill="auto"/>
            <w:vAlign w:val="center"/>
            <w:hideMark/>
          </w:tcPr>
          <w:p w14:paraId="2C8ED01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Biblioteca Judicial</w:t>
            </w:r>
          </w:p>
        </w:tc>
        <w:tc>
          <w:tcPr>
            <w:tcW w:w="2260" w:type="dxa"/>
            <w:shd w:val="clear" w:color="auto" w:fill="auto"/>
            <w:vAlign w:val="center"/>
            <w:hideMark/>
          </w:tcPr>
          <w:p w14:paraId="7DD1800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Puriscal</w:t>
            </w:r>
          </w:p>
        </w:tc>
        <w:tc>
          <w:tcPr>
            <w:tcW w:w="2180" w:type="dxa"/>
            <w:shd w:val="clear" w:color="auto" w:fill="auto"/>
            <w:vAlign w:val="center"/>
            <w:hideMark/>
          </w:tcPr>
          <w:p w14:paraId="69299A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Protección Cautelar Osa</w:t>
            </w:r>
          </w:p>
        </w:tc>
        <w:tc>
          <w:tcPr>
            <w:tcW w:w="2120" w:type="dxa"/>
            <w:shd w:val="clear" w:color="auto" w:fill="auto"/>
            <w:vAlign w:val="center"/>
            <w:hideMark/>
          </w:tcPr>
          <w:p w14:paraId="7C2894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Garabito</w:t>
            </w:r>
          </w:p>
        </w:tc>
      </w:tr>
      <w:tr w:rsidR="00D106C9" w:rsidRPr="00D106C9" w14:paraId="3B1EE326" w14:textId="77777777" w:rsidTr="006D7BCD">
        <w:trPr>
          <w:trHeight w:val="630"/>
          <w:jc w:val="center"/>
        </w:trPr>
        <w:tc>
          <w:tcPr>
            <w:tcW w:w="2060" w:type="dxa"/>
            <w:shd w:val="clear" w:color="auto" w:fill="auto"/>
            <w:vAlign w:val="center"/>
            <w:hideMark/>
          </w:tcPr>
          <w:p w14:paraId="3EB669C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Subproceso de Gestión Administrativa y Desarrollo</w:t>
            </w:r>
          </w:p>
        </w:tc>
        <w:tc>
          <w:tcPr>
            <w:tcW w:w="2260" w:type="dxa"/>
            <w:shd w:val="clear" w:color="auto" w:fill="auto"/>
            <w:vAlign w:val="center"/>
            <w:hideMark/>
          </w:tcPr>
          <w:p w14:paraId="7705D0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 Circuito Judicial Guanacaste</w:t>
            </w:r>
          </w:p>
        </w:tc>
        <w:tc>
          <w:tcPr>
            <w:tcW w:w="2180" w:type="dxa"/>
            <w:shd w:val="clear" w:color="auto" w:fill="auto"/>
            <w:vAlign w:val="center"/>
            <w:hideMark/>
          </w:tcPr>
          <w:p w14:paraId="350DBEE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 Circ. Jud. de la Zona Atlántica</w:t>
            </w:r>
          </w:p>
        </w:tc>
        <w:tc>
          <w:tcPr>
            <w:tcW w:w="2120" w:type="dxa"/>
            <w:shd w:val="clear" w:color="auto" w:fill="auto"/>
            <w:vAlign w:val="center"/>
            <w:hideMark/>
          </w:tcPr>
          <w:p w14:paraId="6B6274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Pensiones Alimentarias I CJ Guanacaste</w:t>
            </w:r>
          </w:p>
        </w:tc>
      </w:tr>
      <w:tr w:rsidR="00D106C9" w:rsidRPr="00D106C9" w14:paraId="01506CFA" w14:textId="77777777" w:rsidTr="006D7BCD">
        <w:trPr>
          <w:trHeight w:val="630"/>
          <w:jc w:val="center"/>
        </w:trPr>
        <w:tc>
          <w:tcPr>
            <w:tcW w:w="2060" w:type="dxa"/>
            <w:shd w:val="clear" w:color="auto" w:fill="auto"/>
            <w:vAlign w:val="center"/>
            <w:hideMark/>
          </w:tcPr>
          <w:p w14:paraId="2AFD08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Subdelegación Regional de Cañas</w:t>
            </w:r>
          </w:p>
        </w:tc>
        <w:tc>
          <w:tcPr>
            <w:tcW w:w="2260" w:type="dxa"/>
            <w:shd w:val="clear" w:color="auto" w:fill="auto"/>
            <w:vAlign w:val="center"/>
            <w:hideMark/>
          </w:tcPr>
          <w:p w14:paraId="482A3C4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III Circuito Judicial de Alajuela (San Ramón)</w:t>
            </w:r>
          </w:p>
        </w:tc>
        <w:tc>
          <w:tcPr>
            <w:tcW w:w="2180" w:type="dxa"/>
            <w:shd w:val="clear" w:color="auto" w:fill="auto"/>
            <w:vAlign w:val="center"/>
            <w:hideMark/>
          </w:tcPr>
          <w:p w14:paraId="1758398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Alajuela</w:t>
            </w:r>
          </w:p>
        </w:tc>
        <w:tc>
          <w:tcPr>
            <w:tcW w:w="2120" w:type="dxa"/>
            <w:shd w:val="clear" w:color="auto" w:fill="auto"/>
            <w:vAlign w:val="center"/>
            <w:hideMark/>
          </w:tcPr>
          <w:p w14:paraId="2EA4BF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 Grecia</w:t>
            </w:r>
          </w:p>
        </w:tc>
      </w:tr>
      <w:tr w:rsidR="00D106C9" w:rsidRPr="00D106C9" w14:paraId="69381707" w14:textId="77777777" w:rsidTr="006D7BCD">
        <w:trPr>
          <w:trHeight w:val="420"/>
          <w:jc w:val="center"/>
        </w:trPr>
        <w:tc>
          <w:tcPr>
            <w:tcW w:w="2060" w:type="dxa"/>
            <w:shd w:val="clear" w:color="auto" w:fill="auto"/>
            <w:vAlign w:val="center"/>
            <w:hideMark/>
          </w:tcPr>
          <w:p w14:paraId="0571650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Comisión de la Jurisdicción Laboral</w:t>
            </w:r>
          </w:p>
        </w:tc>
        <w:tc>
          <w:tcPr>
            <w:tcW w:w="2260" w:type="dxa"/>
            <w:shd w:val="clear" w:color="auto" w:fill="auto"/>
            <w:vAlign w:val="center"/>
            <w:hideMark/>
          </w:tcPr>
          <w:p w14:paraId="6A3D657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Santo Domingo</w:t>
            </w:r>
          </w:p>
        </w:tc>
        <w:tc>
          <w:tcPr>
            <w:tcW w:w="2180" w:type="dxa"/>
            <w:shd w:val="clear" w:color="auto" w:fill="auto"/>
            <w:vAlign w:val="center"/>
            <w:hideMark/>
          </w:tcPr>
          <w:p w14:paraId="506AFD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 Circuito Judicial Zona Sur</w:t>
            </w:r>
          </w:p>
        </w:tc>
        <w:tc>
          <w:tcPr>
            <w:tcW w:w="2120" w:type="dxa"/>
            <w:shd w:val="clear" w:color="auto" w:fill="auto"/>
            <w:vAlign w:val="center"/>
            <w:hideMark/>
          </w:tcPr>
          <w:p w14:paraId="339B55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Siquirres</w:t>
            </w:r>
          </w:p>
        </w:tc>
      </w:tr>
      <w:tr w:rsidR="00D106C9" w:rsidRPr="00D106C9" w14:paraId="1F9184A4" w14:textId="77777777" w:rsidTr="006D7BCD">
        <w:trPr>
          <w:trHeight w:val="630"/>
          <w:jc w:val="center"/>
        </w:trPr>
        <w:tc>
          <w:tcPr>
            <w:tcW w:w="2060" w:type="dxa"/>
            <w:shd w:val="clear" w:color="auto" w:fill="auto"/>
            <w:vAlign w:val="center"/>
            <w:hideMark/>
          </w:tcPr>
          <w:p w14:paraId="27D85B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de Heredia</w:t>
            </w:r>
          </w:p>
        </w:tc>
        <w:tc>
          <w:tcPr>
            <w:tcW w:w="2260" w:type="dxa"/>
            <w:shd w:val="clear" w:color="auto" w:fill="auto"/>
            <w:vAlign w:val="center"/>
            <w:hideMark/>
          </w:tcPr>
          <w:p w14:paraId="322DF1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Circuito Judicial Zona Sur</w:t>
            </w:r>
          </w:p>
        </w:tc>
        <w:tc>
          <w:tcPr>
            <w:tcW w:w="2180" w:type="dxa"/>
            <w:shd w:val="clear" w:color="auto" w:fill="auto"/>
            <w:vAlign w:val="center"/>
            <w:hideMark/>
          </w:tcPr>
          <w:p w14:paraId="27A187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Primero Especializado de Cobro I Circuito Judicial de San Jose</w:t>
            </w:r>
          </w:p>
        </w:tc>
        <w:tc>
          <w:tcPr>
            <w:tcW w:w="2120" w:type="dxa"/>
            <w:shd w:val="clear" w:color="auto" w:fill="auto"/>
            <w:vAlign w:val="center"/>
            <w:hideMark/>
          </w:tcPr>
          <w:p w14:paraId="7ACCD84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III Circuito Judicial Alajuela (San Ramón)</w:t>
            </w:r>
          </w:p>
        </w:tc>
      </w:tr>
      <w:tr w:rsidR="00D106C9" w:rsidRPr="00D106C9" w14:paraId="6A3A0C6F" w14:textId="77777777" w:rsidTr="006D7BCD">
        <w:trPr>
          <w:trHeight w:val="630"/>
          <w:jc w:val="center"/>
        </w:trPr>
        <w:tc>
          <w:tcPr>
            <w:tcW w:w="2060" w:type="dxa"/>
            <w:shd w:val="clear" w:color="auto" w:fill="auto"/>
            <w:vAlign w:val="center"/>
            <w:hideMark/>
          </w:tcPr>
          <w:p w14:paraId="2C9A5C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Puntarenas</w:t>
            </w:r>
          </w:p>
        </w:tc>
        <w:tc>
          <w:tcPr>
            <w:tcW w:w="2260" w:type="dxa"/>
            <w:shd w:val="clear" w:color="auto" w:fill="auto"/>
            <w:vAlign w:val="center"/>
            <w:hideMark/>
          </w:tcPr>
          <w:p w14:paraId="38E01F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 Circuito Judicial Zona Sur</w:t>
            </w:r>
          </w:p>
        </w:tc>
        <w:tc>
          <w:tcPr>
            <w:tcW w:w="2180" w:type="dxa"/>
            <w:shd w:val="clear" w:color="auto" w:fill="auto"/>
            <w:vAlign w:val="center"/>
            <w:hideMark/>
          </w:tcPr>
          <w:p w14:paraId="09318FE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Trabajo, Familia, Penal Juv, </w:t>
            </w:r>
            <w:proofErr w:type="spellStart"/>
            <w:r w:rsidRPr="00D106C9">
              <w:rPr>
                <w:lang w:eastAsia="es-CR"/>
              </w:rPr>
              <w:t>Viol</w:t>
            </w:r>
            <w:proofErr w:type="spellEnd"/>
            <w:r w:rsidRPr="00D106C9">
              <w:rPr>
                <w:lang w:eastAsia="es-CR"/>
              </w:rPr>
              <w:t xml:space="preserve"> Dom y Prot Cautelar </w:t>
            </w:r>
            <w:r w:rsidRPr="00D106C9">
              <w:rPr>
                <w:lang w:eastAsia="es-CR"/>
              </w:rPr>
              <w:lastRenderedPageBreak/>
              <w:t>Sarapiquí</w:t>
            </w:r>
          </w:p>
        </w:tc>
        <w:tc>
          <w:tcPr>
            <w:tcW w:w="2120" w:type="dxa"/>
            <w:shd w:val="clear" w:color="auto" w:fill="auto"/>
            <w:vAlign w:val="center"/>
            <w:hideMark/>
          </w:tcPr>
          <w:p w14:paraId="4D69AD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Juzgado Tercero Especializado de Cobro I Circuito Judicial de San Jose</w:t>
            </w:r>
          </w:p>
        </w:tc>
      </w:tr>
      <w:tr w:rsidR="00D106C9" w:rsidRPr="00D106C9" w14:paraId="3B3D4F7F" w14:textId="77777777" w:rsidTr="006D7BCD">
        <w:trPr>
          <w:trHeight w:val="420"/>
          <w:jc w:val="center"/>
        </w:trPr>
        <w:tc>
          <w:tcPr>
            <w:tcW w:w="2060" w:type="dxa"/>
            <w:shd w:val="clear" w:color="auto" w:fill="auto"/>
            <w:vAlign w:val="center"/>
            <w:hideMark/>
          </w:tcPr>
          <w:p w14:paraId="4FFBFF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Cartago, sede Turrialba</w:t>
            </w:r>
          </w:p>
        </w:tc>
        <w:tc>
          <w:tcPr>
            <w:tcW w:w="2260" w:type="dxa"/>
            <w:shd w:val="clear" w:color="auto" w:fill="auto"/>
            <w:vAlign w:val="center"/>
            <w:hideMark/>
          </w:tcPr>
          <w:p w14:paraId="117471D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Alajuela</w:t>
            </w:r>
          </w:p>
        </w:tc>
        <w:tc>
          <w:tcPr>
            <w:tcW w:w="2180" w:type="dxa"/>
            <w:shd w:val="clear" w:color="auto" w:fill="auto"/>
            <w:vAlign w:val="center"/>
            <w:hideMark/>
          </w:tcPr>
          <w:p w14:paraId="3B3EF51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 Circuito Judicial Zona Sur</w:t>
            </w:r>
          </w:p>
        </w:tc>
        <w:tc>
          <w:tcPr>
            <w:tcW w:w="2120" w:type="dxa"/>
            <w:shd w:val="clear" w:color="auto" w:fill="auto"/>
            <w:vAlign w:val="center"/>
            <w:hideMark/>
          </w:tcPr>
          <w:p w14:paraId="794DDD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Circuito Judicial de San Jose</w:t>
            </w:r>
          </w:p>
        </w:tc>
      </w:tr>
      <w:tr w:rsidR="00D106C9" w:rsidRPr="00D106C9" w14:paraId="479B0AA9" w14:textId="77777777" w:rsidTr="006D7BCD">
        <w:trPr>
          <w:trHeight w:val="630"/>
          <w:jc w:val="center"/>
        </w:trPr>
        <w:tc>
          <w:tcPr>
            <w:tcW w:w="2060" w:type="dxa"/>
            <w:shd w:val="clear" w:color="auto" w:fill="auto"/>
            <w:vAlign w:val="center"/>
            <w:hideMark/>
          </w:tcPr>
          <w:p w14:paraId="3A1F907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 Quepos</w:t>
            </w:r>
          </w:p>
        </w:tc>
        <w:tc>
          <w:tcPr>
            <w:tcW w:w="2260" w:type="dxa"/>
            <w:shd w:val="clear" w:color="auto" w:fill="auto"/>
            <w:vAlign w:val="center"/>
            <w:hideMark/>
          </w:tcPr>
          <w:p w14:paraId="67F6944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 Circuito Jud. Zona Sur (Pérez Zeledón)</w:t>
            </w:r>
          </w:p>
        </w:tc>
        <w:tc>
          <w:tcPr>
            <w:tcW w:w="2180" w:type="dxa"/>
            <w:shd w:val="clear" w:color="auto" w:fill="auto"/>
            <w:vAlign w:val="center"/>
            <w:hideMark/>
          </w:tcPr>
          <w:p w14:paraId="79A245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Heredia</w:t>
            </w:r>
          </w:p>
        </w:tc>
        <w:tc>
          <w:tcPr>
            <w:tcW w:w="2120" w:type="dxa"/>
            <w:shd w:val="clear" w:color="auto" w:fill="auto"/>
            <w:vAlign w:val="center"/>
            <w:hideMark/>
          </w:tcPr>
          <w:p w14:paraId="6159A8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de Santa Cruz</w:t>
            </w:r>
          </w:p>
        </w:tc>
      </w:tr>
      <w:tr w:rsidR="00D106C9" w:rsidRPr="00D106C9" w14:paraId="34B89639" w14:textId="77777777" w:rsidTr="006D7BCD">
        <w:trPr>
          <w:trHeight w:val="420"/>
          <w:jc w:val="center"/>
        </w:trPr>
        <w:tc>
          <w:tcPr>
            <w:tcW w:w="2060" w:type="dxa"/>
            <w:shd w:val="clear" w:color="auto" w:fill="auto"/>
            <w:vAlign w:val="center"/>
            <w:hideMark/>
          </w:tcPr>
          <w:p w14:paraId="21F4CA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Talamanca</w:t>
            </w:r>
          </w:p>
        </w:tc>
        <w:tc>
          <w:tcPr>
            <w:tcW w:w="2260" w:type="dxa"/>
            <w:shd w:val="clear" w:color="auto" w:fill="auto"/>
            <w:vAlign w:val="center"/>
            <w:hideMark/>
          </w:tcPr>
          <w:p w14:paraId="46F8AB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Turrubares</w:t>
            </w:r>
          </w:p>
        </w:tc>
        <w:tc>
          <w:tcPr>
            <w:tcW w:w="2180" w:type="dxa"/>
            <w:shd w:val="clear" w:color="auto" w:fill="auto"/>
            <w:vAlign w:val="center"/>
            <w:hideMark/>
          </w:tcPr>
          <w:p w14:paraId="4CD4048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Grecia</w:t>
            </w:r>
          </w:p>
        </w:tc>
        <w:tc>
          <w:tcPr>
            <w:tcW w:w="2120" w:type="dxa"/>
            <w:shd w:val="clear" w:color="auto" w:fill="auto"/>
            <w:vAlign w:val="center"/>
            <w:hideMark/>
          </w:tcPr>
          <w:p w14:paraId="7CBE89C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San Jose</w:t>
            </w:r>
          </w:p>
        </w:tc>
      </w:tr>
      <w:tr w:rsidR="00D106C9" w:rsidRPr="00D106C9" w14:paraId="314AB6E9" w14:textId="77777777" w:rsidTr="006D7BCD">
        <w:trPr>
          <w:trHeight w:val="630"/>
          <w:jc w:val="center"/>
        </w:trPr>
        <w:tc>
          <w:tcPr>
            <w:tcW w:w="2060" w:type="dxa"/>
            <w:shd w:val="clear" w:color="auto" w:fill="auto"/>
            <w:vAlign w:val="center"/>
            <w:hideMark/>
          </w:tcPr>
          <w:p w14:paraId="2867D7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Zona Atlántica</w:t>
            </w:r>
          </w:p>
        </w:tc>
        <w:tc>
          <w:tcPr>
            <w:tcW w:w="2260" w:type="dxa"/>
            <w:shd w:val="clear" w:color="auto" w:fill="auto"/>
            <w:vAlign w:val="center"/>
            <w:hideMark/>
          </w:tcPr>
          <w:p w14:paraId="32B5FA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Especializado de Cobro II Circuito Judicial de San Jose</w:t>
            </w:r>
          </w:p>
        </w:tc>
        <w:tc>
          <w:tcPr>
            <w:tcW w:w="2180" w:type="dxa"/>
            <w:shd w:val="clear" w:color="auto" w:fill="auto"/>
            <w:vAlign w:val="center"/>
            <w:hideMark/>
          </w:tcPr>
          <w:p w14:paraId="0A4BE9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Puerto Jimenez</w:t>
            </w:r>
          </w:p>
        </w:tc>
        <w:tc>
          <w:tcPr>
            <w:tcW w:w="2120" w:type="dxa"/>
            <w:shd w:val="clear" w:color="auto" w:fill="auto"/>
            <w:vAlign w:val="center"/>
            <w:hideMark/>
          </w:tcPr>
          <w:p w14:paraId="1D46698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III Circ. Jud. de Alajuela (San Ramón)</w:t>
            </w:r>
          </w:p>
        </w:tc>
      </w:tr>
      <w:tr w:rsidR="00D106C9" w:rsidRPr="00D106C9" w14:paraId="1DDDAAC6" w14:textId="77777777" w:rsidTr="006D7BCD">
        <w:trPr>
          <w:trHeight w:val="630"/>
          <w:jc w:val="center"/>
        </w:trPr>
        <w:tc>
          <w:tcPr>
            <w:tcW w:w="2060" w:type="dxa"/>
            <w:shd w:val="clear" w:color="auto" w:fill="auto"/>
            <w:vAlign w:val="center"/>
            <w:hideMark/>
          </w:tcPr>
          <w:p w14:paraId="1A57C6D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Puntarenas</w:t>
            </w:r>
          </w:p>
        </w:tc>
        <w:tc>
          <w:tcPr>
            <w:tcW w:w="2260" w:type="dxa"/>
            <w:shd w:val="clear" w:color="auto" w:fill="auto"/>
            <w:vAlign w:val="center"/>
            <w:hideMark/>
          </w:tcPr>
          <w:p w14:paraId="3473D07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Puriscal</w:t>
            </w:r>
          </w:p>
        </w:tc>
        <w:tc>
          <w:tcPr>
            <w:tcW w:w="2180" w:type="dxa"/>
            <w:shd w:val="clear" w:color="auto" w:fill="auto"/>
            <w:vAlign w:val="center"/>
            <w:hideMark/>
          </w:tcPr>
          <w:p w14:paraId="5A104A9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la Zona Atlántica</w:t>
            </w:r>
          </w:p>
        </w:tc>
        <w:tc>
          <w:tcPr>
            <w:tcW w:w="2120" w:type="dxa"/>
            <w:shd w:val="clear" w:color="auto" w:fill="auto"/>
            <w:vAlign w:val="center"/>
            <w:hideMark/>
          </w:tcPr>
          <w:p w14:paraId="3E09ED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Sur</w:t>
            </w:r>
          </w:p>
        </w:tc>
      </w:tr>
      <w:tr w:rsidR="00D106C9" w:rsidRPr="00D106C9" w14:paraId="3E03CFCC" w14:textId="77777777" w:rsidTr="006D7BCD">
        <w:trPr>
          <w:trHeight w:val="630"/>
          <w:jc w:val="center"/>
        </w:trPr>
        <w:tc>
          <w:tcPr>
            <w:tcW w:w="2060" w:type="dxa"/>
            <w:shd w:val="clear" w:color="auto" w:fill="auto"/>
            <w:vAlign w:val="center"/>
            <w:hideMark/>
          </w:tcPr>
          <w:p w14:paraId="5BED415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Protección Cautelar Escazú</w:t>
            </w:r>
          </w:p>
        </w:tc>
        <w:tc>
          <w:tcPr>
            <w:tcW w:w="2260" w:type="dxa"/>
            <w:shd w:val="clear" w:color="auto" w:fill="auto"/>
            <w:vAlign w:val="center"/>
            <w:hideMark/>
          </w:tcPr>
          <w:p w14:paraId="37EFED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Tarrazú, Dota y León Cortes</w:t>
            </w:r>
          </w:p>
        </w:tc>
        <w:tc>
          <w:tcPr>
            <w:tcW w:w="2180" w:type="dxa"/>
            <w:shd w:val="clear" w:color="auto" w:fill="auto"/>
            <w:vAlign w:val="center"/>
            <w:hideMark/>
          </w:tcPr>
          <w:p w14:paraId="0A71C4F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Tránsito I Circuito Judicial Zona Sur</w:t>
            </w:r>
          </w:p>
        </w:tc>
        <w:tc>
          <w:tcPr>
            <w:tcW w:w="2120" w:type="dxa"/>
            <w:shd w:val="clear" w:color="auto" w:fill="auto"/>
            <w:vAlign w:val="center"/>
            <w:hideMark/>
          </w:tcPr>
          <w:p w14:paraId="499D990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Puntarenas</w:t>
            </w:r>
          </w:p>
        </w:tc>
      </w:tr>
      <w:tr w:rsidR="00D106C9" w:rsidRPr="00D106C9" w14:paraId="2DF7A6FC" w14:textId="77777777" w:rsidTr="006D7BCD">
        <w:trPr>
          <w:trHeight w:val="630"/>
          <w:jc w:val="center"/>
        </w:trPr>
        <w:tc>
          <w:tcPr>
            <w:tcW w:w="2060" w:type="dxa"/>
            <w:shd w:val="clear" w:color="auto" w:fill="auto"/>
            <w:vAlign w:val="center"/>
            <w:hideMark/>
          </w:tcPr>
          <w:p w14:paraId="3347986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Zarcero</w:t>
            </w:r>
          </w:p>
        </w:tc>
        <w:tc>
          <w:tcPr>
            <w:tcW w:w="2260" w:type="dxa"/>
            <w:shd w:val="clear" w:color="auto" w:fill="auto"/>
            <w:vAlign w:val="center"/>
            <w:hideMark/>
          </w:tcPr>
          <w:p w14:paraId="5CAF8D3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II Circuito Judicial Zona Sur, Sede Osa</w:t>
            </w:r>
          </w:p>
        </w:tc>
        <w:tc>
          <w:tcPr>
            <w:tcW w:w="2180" w:type="dxa"/>
            <w:shd w:val="clear" w:color="auto" w:fill="auto"/>
            <w:vAlign w:val="center"/>
            <w:hideMark/>
          </w:tcPr>
          <w:p w14:paraId="55C8C42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Carrillo</w:t>
            </w:r>
          </w:p>
        </w:tc>
        <w:tc>
          <w:tcPr>
            <w:tcW w:w="2120" w:type="dxa"/>
            <w:shd w:val="clear" w:color="auto" w:fill="auto"/>
            <w:vAlign w:val="center"/>
            <w:hideMark/>
          </w:tcPr>
          <w:p w14:paraId="121AECB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Ejecución de la Pena de Puntarenas, Sede Guanacaste</w:t>
            </w:r>
          </w:p>
        </w:tc>
      </w:tr>
      <w:tr w:rsidR="00D106C9" w:rsidRPr="00D106C9" w14:paraId="3475BBF8" w14:textId="77777777" w:rsidTr="006D7BCD">
        <w:trPr>
          <w:trHeight w:val="420"/>
          <w:jc w:val="center"/>
        </w:trPr>
        <w:tc>
          <w:tcPr>
            <w:tcW w:w="2060" w:type="dxa"/>
            <w:shd w:val="clear" w:color="auto" w:fill="auto"/>
            <w:vAlign w:val="center"/>
            <w:hideMark/>
          </w:tcPr>
          <w:p w14:paraId="10CDD3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Parrita</w:t>
            </w:r>
          </w:p>
        </w:tc>
        <w:tc>
          <w:tcPr>
            <w:tcW w:w="2260" w:type="dxa"/>
            <w:shd w:val="clear" w:color="auto" w:fill="auto"/>
            <w:vAlign w:val="center"/>
            <w:hideMark/>
          </w:tcPr>
          <w:p w14:paraId="4328B08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Jiménez</w:t>
            </w:r>
          </w:p>
        </w:tc>
        <w:tc>
          <w:tcPr>
            <w:tcW w:w="2180" w:type="dxa"/>
            <w:shd w:val="clear" w:color="auto" w:fill="auto"/>
            <w:vAlign w:val="center"/>
            <w:hideMark/>
          </w:tcPr>
          <w:p w14:paraId="0B0970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Guácimo</w:t>
            </w:r>
          </w:p>
        </w:tc>
        <w:tc>
          <w:tcPr>
            <w:tcW w:w="2120" w:type="dxa"/>
            <w:shd w:val="clear" w:color="auto" w:fill="auto"/>
            <w:vAlign w:val="center"/>
            <w:hideMark/>
          </w:tcPr>
          <w:p w14:paraId="041BAA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San Jose</w:t>
            </w:r>
          </w:p>
        </w:tc>
      </w:tr>
      <w:tr w:rsidR="00D106C9" w:rsidRPr="00D106C9" w14:paraId="76BF41FB" w14:textId="77777777" w:rsidTr="006D7BCD">
        <w:trPr>
          <w:trHeight w:val="630"/>
          <w:jc w:val="center"/>
        </w:trPr>
        <w:tc>
          <w:tcPr>
            <w:tcW w:w="2060" w:type="dxa"/>
            <w:shd w:val="clear" w:color="auto" w:fill="auto"/>
            <w:vAlign w:val="center"/>
            <w:hideMark/>
          </w:tcPr>
          <w:p w14:paraId="23B8E5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I Circuito Judicial Alajuela</w:t>
            </w:r>
          </w:p>
        </w:tc>
        <w:tc>
          <w:tcPr>
            <w:tcW w:w="2260" w:type="dxa"/>
            <w:shd w:val="clear" w:color="auto" w:fill="auto"/>
            <w:vAlign w:val="center"/>
            <w:hideMark/>
          </w:tcPr>
          <w:p w14:paraId="075B42E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Cartago</w:t>
            </w:r>
          </w:p>
        </w:tc>
        <w:tc>
          <w:tcPr>
            <w:tcW w:w="2180" w:type="dxa"/>
            <w:shd w:val="clear" w:color="auto" w:fill="auto"/>
            <w:vAlign w:val="center"/>
            <w:hideMark/>
          </w:tcPr>
          <w:p w14:paraId="53212E7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Contencioso Administrativo</w:t>
            </w:r>
          </w:p>
        </w:tc>
        <w:tc>
          <w:tcPr>
            <w:tcW w:w="2120" w:type="dxa"/>
            <w:shd w:val="clear" w:color="auto" w:fill="auto"/>
            <w:vAlign w:val="center"/>
            <w:hideMark/>
          </w:tcPr>
          <w:p w14:paraId="3AFF7F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III Circuito Jud Alajuela (San Ramon)</w:t>
            </w:r>
          </w:p>
        </w:tc>
      </w:tr>
      <w:tr w:rsidR="00D106C9" w:rsidRPr="00D106C9" w14:paraId="11F2FD56" w14:textId="77777777" w:rsidTr="006D7BCD">
        <w:trPr>
          <w:trHeight w:val="420"/>
          <w:jc w:val="center"/>
        </w:trPr>
        <w:tc>
          <w:tcPr>
            <w:tcW w:w="2060" w:type="dxa"/>
            <w:shd w:val="clear" w:color="auto" w:fill="auto"/>
            <w:vAlign w:val="center"/>
            <w:hideMark/>
          </w:tcPr>
          <w:p w14:paraId="225329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Contravencional de </w:t>
            </w:r>
            <w:r w:rsidRPr="00D106C9">
              <w:rPr>
                <w:lang w:eastAsia="es-CR"/>
              </w:rPr>
              <w:lastRenderedPageBreak/>
              <w:t>Nandayure</w:t>
            </w:r>
          </w:p>
        </w:tc>
        <w:tc>
          <w:tcPr>
            <w:tcW w:w="2260" w:type="dxa"/>
            <w:shd w:val="clear" w:color="auto" w:fill="auto"/>
            <w:vAlign w:val="center"/>
            <w:hideMark/>
          </w:tcPr>
          <w:p w14:paraId="6B6A16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Juzgado de Cobro de Heredia</w:t>
            </w:r>
          </w:p>
        </w:tc>
        <w:tc>
          <w:tcPr>
            <w:tcW w:w="2180" w:type="dxa"/>
            <w:shd w:val="clear" w:color="auto" w:fill="auto"/>
            <w:vAlign w:val="center"/>
            <w:hideMark/>
          </w:tcPr>
          <w:p w14:paraId="5FFEE0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y Trabajo II Circ. Jud. </w:t>
            </w:r>
            <w:r w:rsidRPr="00D106C9">
              <w:rPr>
                <w:lang w:eastAsia="es-CR"/>
              </w:rPr>
              <w:lastRenderedPageBreak/>
              <w:t>de Guanacaste</w:t>
            </w:r>
          </w:p>
        </w:tc>
        <w:tc>
          <w:tcPr>
            <w:tcW w:w="2120" w:type="dxa"/>
            <w:shd w:val="clear" w:color="auto" w:fill="auto"/>
            <w:vAlign w:val="center"/>
            <w:hideMark/>
          </w:tcPr>
          <w:p w14:paraId="4FEB53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 xml:space="preserve">Juzgado Civil del II Circuito Judicial de </w:t>
            </w:r>
            <w:r w:rsidRPr="00D106C9">
              <w:rPr>
                <w:lang w:eastAsia="es-CR"/>
              </w:rPr>
              <w:lastRenderedPageBreak/>
              <w:t>Alajuela</w:t>
            </w:r>
          </w:p>
        </w:tc>
      </w:tr>
      <w:tr w:rsidR="00D106C9" w:rsidRPr="00D106C9" w14:paraId="2342E13E" w14:textId="77777777" w:rsidTr="006D7BCD">
        <w:trPr>
          <w:trHeight w:val="630"/>
          <w:jc w:val="center"/>
        </w:trPr>
        <w:tc>
          <w:tcPr>
            <w:tcW w:w="2060" w:type="dxa"/>
            <w:shd w:val="clear" w:color="auto" w:fill="auto"/>
            <w:vAlign w:val="center"/>
            <w:hideMark/>
          </w:tcPr>
          <w:p w14:paraId="31ED7D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Oficina de Comunicaciones Judiciales I Circuito Judicial Guanacaste</w:t>
            </w:r>
          </w:p>
        </w:tc>
        <w:tc>
          <w:tcPr>
            <w:tcW w:w="2260" w:type="dxa"/>
            <w:shd w:val="clear" w:color="auto" w:fill="auto"/>
            <w:vAlign w:val="center"/>
            <w:hideMark/>
          </w:tcPr>
          <w:p w14:paraId="7EE7CBE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Familia</w:t>
            </w:r>
          </w:p>
        </w:tc>
        <w:tc>
          <w:tcPr>
            <w:tcW w:w="2180" w:type="dxa"/>
            <w:shd w:val="clear" w:color="auto" w:fill="auto"/>
            <w:vAlign w:val="center"/>
            <w:hideMark/>
          </w:tcPr>
          <w:p w14:paraId="1D869C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 Jud. Guanacaste</w:t>
            </w:r>
          </w:p>
        </w:tc>
        <w:tc>
          <w:tcPr>
            <w:tcW w:w="2120" w:type="dxa"/>
            <w:shd w:val="clear" w:color="auto" w:fill="auto"/>
            <w:vAlign w:val="center"/>
            <w:hideMark/>
          </w:tcPr>
          <w:p w14:paraId="501DD36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Upala</w:t>
            </w:r>
          </w:p>
        </w:tc>
      </w:tr>
      <w:tr w:rsidR="00D106C9" w:rsidRPr="00D106C9" w14:paraId="09B68984" w14:textId="77777777" w:rsidTr="006D7BCD">
        <w:trPr>
          <w:trHeight w:val="420"/>
          <w:jc w:val="center"/>
        </w:trPr>
        <w:tc>
          <w:tcPr>
            <w:tcW w:w="2060" w:type="dxa"/>
            <w:shd w:val="clear" w:color="auto" w:fill="auto"/>
            <w:vAlign w:val="center"/>
            <w:hideMark/>
          </w:tcPr>
          <w:p w14:paraId="57C7D9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Heredia</w:t>
            </w:r>
          </w:p>
        </w:tc>
        <w:tc>
          <w:tcPr>
            <w:tcW w:w="2260" w:type="dxa"/>
            <w:shd w:val="clear" w:color="auto" w:fill="auto"/>
            <w:vAlign w:val="center"/>
            <w:hideMark/>
          </w:tcPr>
          <w:p w14:paraId="28ECCC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Golfito</w:t>
            </w:r>
          </w:p>
        </w:tc>
        <w:tc>
          <w:tcPr>
            <w:tcW w:w="2180" w:type="dxa"/>
            <w:shd w:val="clear" w:color="auto" w:fill="auto"/>
            <w:vAlign w:val="center"/>
            <w:hideMark/>
          </w:tcPr>
          <w:p w14:paraId="1F614F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Segundo Circuito Judicial de San Jose</w:t>
            </w:r>
          </w:p>
        </w:tc>
        <w:tc>
          <w:tcPr>
            <w:tcW w:w="2120" w:type="dxa"/>
            <w:shd w:val="clear" w:color="auto" w:fill="auto"/>
            <w:vAlign w:val="center"/>
            <w:hideMark/>
          </w:tcPr>
          <w:p w14:paraId="733314E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los Chiles</w:t>
            </w:r>
          </w:p>
        </w:tc>
      </w:tr>
      <w:tr w:rsidR="00D106C9" w:rsidRPr="00D106C9" w14:paraId="4FE3C410" w14:textId="77777777" w:rsidTr="006D7BCD">
        <w:trPr>
          <w:trHeight w:val="630"/>
          <w:jc w:val="center"/>
        </w:trPr>
        <w:tc>
          <w:tcPr>
            <w:tcW w:w="2060" w:type="dxa"/>
            <w:shd w:val="clear" w:color="auto" w:fill="auto"/>
            <w:vAlign w:val="center"/>
            <w:hideMark/>
          </w:tcPr>
          <w:p w14:paraId="3AC630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Turrialba</w:t>
            </w:r>
          </w:p>
        </w:tc>
        <w:tc>
          <w:tcPr>
            <w:tcW w:w="2260" w:type="dxa"/>
            <w:shd w:val="clear" w:color="auto" w:fill="auto"/>
            <w:vAlign w:val="center"/>
            <w:hideMark/>
          </w:tcPr>
          <w:p w14:paraId="602FE9D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II Circuito Judicial de Alajuela, Sede la Fortuna</w:t>
            </w:r>
          </w:p>
        </w:tc>
        <w:tc>
          <w:tcPr>
            <w:tcW w:w="2180" w:type="dxa"/>
            <w:shd w:val="clear" w:color="auto" w:fill="auto"/>
            <w:vAlign w:val="center"/>
            <w:hideMark/>
          </w:tcPr>
          <w:p w14:paraId="292A2D1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Pococi</w:t>
            </w:r>
          </w:p>
        </w:tc>
        <w:tc>
          <w:tcPr>
            <w:tcW w:w="2120" w:type="dxa"/>
            <w:shd w:val="clear" w:color="auto" w:fill="auto"/>
            <w:vAlign w:val="center"/>
            <w:hideMark/>
          </w:tcPr>
          <w:p w14:paraId="521021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de Alajuela</w:t>
            </w:r>
          </w:p>
        </w:tc>
      </w:tr>
      <w:tr w:rsidR="00D106C9" w:rsidRPr="00D106C9" w14:paraId="118164A4" w14:textId="77777777" w:rsidTr="006D7BCD">
        <w:trPr>
          <w:trHeight w:val="630"/>
          <w:jc w:val="center"/>
        </w:trPr>
        <w:tc>
          <w:tcPr>
            <w:tcW w:w="2060" w:type="dxa"/>
            <w:shd w:val="clear" w:color="auto" w:fill="auto"/>
            <w:vAlign w:val="center"/>
            <w:hideMark/>
          </w:tcPr>
          <w:p w14:paraId="6FE5693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Sede III Circuito Judicial Alajuela (San Ramon)</w:t>
            </w:r>
          </w:p>
        </w:tc>
        <w:tc>
          <w:tcPr>
            <w:tcW w:w="2260" w:type="dxa"/>
            <w:shd w:val="clear" w:color="auto" w:fill="auto"/>
            <w:vAlign w:val="center"/>
            <w:hideMark/>
          </w:tcPr>
          <w:p w14:paraId="4F0311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de Cobro </w:t>
            </w:r>
            <w:proofErr w:type="gramStart"/>
            <w:r w:rsidRPr="00D106C9">
              <w:rPr>
                <w:lang w:eastAsia="es-CR"/>
              </w:rPr>
              <w:t>del  III</w:t>
            </w:r>
            <w:proofErr w:type="gramEnd"/>
            <w:r w:rsidRPr="00D106C9">
              <w:rPr>
                <w:lang w:eastAsia="es-CR"/>
              </w:rPr>
              <w:t xml:space="preserve"> Circuito Judicial de Alajuela (San Ramón)</w:t>
            </w:r>
          </w:p>
        </w:tc>
        <w:tc>
          <w:tcPr>
            <w:tcW w:w="2180" w:type="dxa"/>
            <w:shd w:val="clear" w:color="auto" w:fill="auto"/>
            <w:vAlign w:val="center"/>
            <w:hideMark/>
          </w:tcPr>
          <w:p w14:paraId="43BC274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 Circuito Judicial de Guanacaste, Sede Santa Cruz</w:t>
            </w:r>
          </w:p>
        </w:tc>
        <w:tc>
          <w:tcPr>
            <w:tcW w:w="2120" w:type="dxa"/>
            <w:shd w:val="clear" w:color="auto" w:fill="auto"/>
            <w:vAlign w:val="center"/>
            <w:hideMark/>
          </w:tcPr>
          <w:p w14:paraId="243B498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Heredia</w:t>
            </w:r>
          </w:p>
        </w:tc>
      </w:tr>
      <w:tr w:rsidR="00D106C9" w:rsidRPr="00D106C9" w14:paraId="44F79C23" w14:textId="77777777" w:rsidTr="006D7BCD">
        <w:trPr>
          <w:trHeight w:val="420"/>
          <w:jc w:val="center"/>
        </w:trPr>
        <w:tc>
          <w:tcPr>
            <w:tcW w:w="2060" w:type="dxa"/>
            <w:shd w:val="clear" w:color="auto" w:fill="auto"/>
            <w:vAlign w:val="center"/>
            <w:hideMark/>
          </w:tcPr>
          <w:p w14:paraId="2BFEA6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Pavas</w:t>
            </w:r>
          </w:p>
        </w:tc>
        <w:tc>
          <w:tcPr>
            <w:tcW w:w="2260" w:type="dxa"/>
            <w:shd w:val="clear" w:color="auto" w:fill="auto"/>
            <w:vAlign w:val="center"/>
            <w:hideMark/>
          </w:tcPr>
          <w:p w14:paraId="635285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Puntarenas, Sede Cóbano</w:t>
            </w:r>
          </w:p>
        </w:tc>
        <w:tc>
          <w:tcPr>
            <w:tcW w:w="2180" w:type="dxa"/>
            <w:shd w:val="clear" w:color="auto" w:fill="auto"/>
            <w:vAlign w:val="center"/>
            <w:hideMark/>
          </w:tcPr>
          <w:p w14:paraId="6FD691B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Alajuela</w:t>
            </w:r>
          </w:p>
        </w:tc>
        <w:tc>
          <w:tcPr>
            <w:tcW w:w="2120" w:type="dxa"/>
            <w:shd w:val="clear" w:color="auto" w:fill="auto"/>
            <w:vAlign w:val="center"/>
            <w:hideMark/>
          </w:tcPr>
          <w:p w14:paraId="15A062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II Circuito Judicial Zona Sur, Sede Golfito</w:t>
            </w:r>
          </w:p>
        </w:tc>
      </w:tr>
      <w:tr w:rsidR="00D106C9" w:rsidRPr="00D106C9" w14:paraId="2DD2C3CD" w14:textId="77777777" w:rsidTr="006D7BCD">
        <w:trPr>
          <w:trHeight w:val="630"/>
          <w:jc w:val="center"/>
        </w:trPr>
        <w:tc>
          <w:tcPr>
            <w:tcW w:w="2060" w:type="dxa"/>
            <w:shd w:val="clear" w:color="auto" w:fill="auto"/>
            <w:vAlign w:val="center"/>
            <w:hideMark/>
          </w:tcPr>
          <w:p w14:paraId="6A2DB12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Atenas</w:t>
            </w:r>
          </w:p>
        </w:tc>
        <w:tc>
          <w:tcPr>
            <w:tcW w:w="2260" w:type="dxa"/>
            <w:shd w:val="clear" w:color="auto" w:fill="auto"/>
            <w:vAlign w:val="center"/>
            <w:hideMark/>
          </w:tcPr>
          <w:p w14:paraId="75F1CE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Golfito</w:t>
            </w:r>
          </w:p>
        </w:tc>
        <w:tc>
          <w:tcPr>
            <w:tcW w:w="2180" w:type="dxa"/>
            <w:shd w:val="clear" w:color="auto" w:fill="auto"/>
            <w:vAlign w:val="center"/>
            <w:hideMark/>
          </w:tcPr>
          <w:p w14:paraId="589594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 Circuito Judicial Alajuela</w:t>
            </w:r>
          </w:p>
        </w:tc>
        <w:tc>
          <w:tcPr>
            <w:tcW w:w="2120" w:type="dxa"/>
            <w:shd w:val="clear" w:color="auto" w:fill="auto"/>
            <w:vAlign w:val="center"/>
            <w:hideMark/>
          </w:tcPr>
          <w:p w14:paraId="7D75DE0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II Circuito Judicial Zona Sur</w:t>
            </w:r>
          </w:p>
        </w:tc>
      </w:tr>
      <w:tr w:rsidR="00D106C9" w:rsidRPr="00D106C9" w14:paraId="69D0FC50" w14:textId="77777777" w:rsidTr="006D7BCD">
        <w:trPr>
          <w:trHeight w:val="420"/>
          <w:jc w:val="center"/>
        </w:trPr>
        <w:tc>
          <w:tcPr>
            <w:tcW w:w="2060" w:type="dxa"/>
            <w:shd w:val="clear" w:color="auto" w:fill="auto"/>
            <w:vAlign w:val="center"/>
            <w:hideMark/>
          </w:tcPr>
          <w:p w14:paraId="09AE57A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Guatuso</w:t>
            </w:r>
          </w:p>
        </w:tc>
        <w:tc>
          <w:tcPr>
            <w:tcW w:w="2260" w:type="dxa"/>
            <w:shd w:val="clear" w:color="auto" w:fill="auto"/>
            <w:vAlign w:val="center"/>
            <w:hideMark/>
          </w:tcPr>
          <w:p w14:paraId="006492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Puntarenas</w:t>
            </w:r>
          </w:p>
        </w:tc>
        <w:tc>
          <w:tcPr>
            <w:tcW w:w="2180" w:type="dxa"/>
            <w:shd w:val="clear" w:color="auto" w:fill="auto"/>
            <w:vAlign w:val="center"/>
            <w:hideMark/>
          </w:tcPr>
          <w:p w14:paraId="2D4BAE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del I Circ. Jud. de la Zona Atlántica</w:t>
            </w:r>
          </w:p>
        </w:tc>
        <w:tc>
          <w:tcPr>
            <w:tcW w:w="2120" w:type="dxa"/>
            <w:shd w:val="clear" w:color="auto" w:fill="auto"/>
            <w:vAlign w:val="center"/>
            <w:hideMark/>
          </w:tcPr>
          <w:p w14:paraId="4B71DA5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Cartago</w:t>
            </w:r>
          </w:p>
        </w:tc>
      </w:tr>
      <w:tr w:rsidR="00D106C9" w:rsidRPr="00D106C9" w14:paraId="0750EE95" w14:textId="77777777" w:rsidTr="006D7BCD">
        <w:trPr>
          <w:trHeight w:val="630"/>
          <w:jc w:val="center"/>
        </w:trPr>
        <w:tc>
          <w:tcPr>
            <w:tcW w:w="2060" w:type="dxa"/>
            <w:shd w:val="clear" w:color="auto" w:fill="auto"/>
            <w:vAlign w:val="center"/>
            <w:hideMark/>
          </w:tcPr>
          <w:p w14:paraId="116C6D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Contravencional y Pens. </w:t>
            </w:r>
            <w:proofErr w:type="spellStart"/>
            <w:r w:rsidRPr="00D106C9">
              <w:rPr>
                <w:lang w:eastAsia="es-CR"/>
              </w:rPr>
              <w:t>Alimen</w:t>
            </w:r>
            <w:proofErr w:type="spellEnd"/>
            <w:r w:rsidRPr="00D106C9">
              <w:rPr>
                <w:lang w:eastAsia="es-CR"/>
              </w:rPr>
              <w:t>. III Circ. Jud. Alajuela (San Ramon)</w:t>
            </w:r>
          </w:p>
        </w:tc>
        <w:tc>
          <w:tcPr>
            <w:tcW w:w="2260" w:type="dxa"/>
            <w:shd w:val="clear" w:color="auto" w:fill="auto"/>
            <w:vAlign w:val="center"/>
            <w:hideMark/>
          </w:tcPr>
          <w:p w14:paraId="07AA97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Sede II Circuito Judicial de Alajuela</w:t>
            </w:r>
          </w:p>
        </w:tc>
        <w:tc>
          <w:tcPr>
            <w:tcW w:w="2180" w:type="dxa"/>
            <w:shd w:val="clear" w:color="auto" w:fill="auto"/>
            <w:vAlign w:val="center"/>
            <w:hideMark/>
          </w:tcPr>
          <w:p w14:paraId="36873E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Contencioso Administrativo y Civil de Hacienda</w:t>
            </w:r>
          </w:p>
        </w:tc>
        <w:tc>
          <w:tcPr>
            <w:tcW w:w="2120" w:type="dxa"/>
            <w:shd w:val="clear" w:color="auto" w:fill="auto"/>
            <w:vAlign w:val="center"/>
            <w:hideMark/>
          </w:tcPr>
          <w:p w14:paraId="7D642E4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II Circuito Jud. de San Jose</w:t>
            </w:r>
          </w:p>
        </w:tc>
      </w:tr>
      <w:tr w:rsidR="00D106C9" w:rsidRPr="00D106C9" w14:paraId="6C8A7C49" w14:textId="77777777" w:rsidTr="006D7BCD">
        <w:trPr>
          <w:trHeight w:val="630"/>
          <w:jc w:val="center"/>
        </w:trPr>
        <w:tc>
          <w:tcPr>
            <w:tcW w:w="2060" w:type="dxa"/>
            <w:shd w:val="clear" w:color="auto" w:fill="auto"/>
            <w:vAlign w:val="center"/>
            <w:hideMark/>
          </w:tcPr>
          <w:p w14:paraId="46DD7D0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del Poder Judicial</w:t>
            </w:r>
          </w:p>
        </w:tc>
        <w:tc>
          <w:tcPr>
            <w:tcW w:w="2260" w:type="dxa"/>
            <w:shd w:val="clear" w:color="auto" w:fill="auto"/>
            <w:vAlign w:val="center"/>
            <w:hideMark/>
          </w:tcPr>
          <w:p w14:paraId="3A11760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Sarapiquí</w:t>
            </w:r>
          </w:p>
        </w:tc>
        <w:tc>
          <w:tcPr>
            <w:tcW w:w="2180" w:type="dxa"/>
            <w:shd w:val="clear" w:color="auto" w:fill="auto"/>
            <w:vAlign w:val="center"/>
            <w:hideMark/>
          </w:tcPr>
          <w:p w14:paraId="4AE94B7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Batán</w:t>
            </w:r>
          </w:p>
        </w:tc>
        <w:tc>
          <w:tcPr>
            <w:tcW w:w="2120" w:type="dxa"/>
            <w:shd w:val="clear" w:color="auto" w:fill="auto"/>
            <w:vAlign w:val="center"/>
            <w:hideMark/>
          </w:tcPr>
          <w:p w14:paraId="7300460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Protección Cautelar Pavas</w:t>
            </w:r>
          </w:p>
        </w:tc>
      </w:tr>
      <w:tr w:rsidR="00D106C9" w:rsidRPr="00D106C9" w14:paraId="52D634DE" w14:textId="77777777" w:rsidTr="006D7BCD">
        <w:trPr>
          <w:trHeight w:val="840"/>
          <w:jc w:val="center"/>
        </w:trPr>
        <w:tc>
          <w:tcPr>
            <w:tcW w:w="2060" w:type="dxa"/>
            <w:shd w:val="clear" w:color="auto" w:fill="auto"/>
            <w:vAlign w:val="center"/>
            <w:hideMark/>
          </w:tcPr>
          <w:p w14:paraId="17CEFA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Tribunal Primero Colegiado Primera Instancia Civil I Circuito Judicial San Jose</w:t>
            </w:r>
          </w:p>
        </w:tc>
        <w:tc>
          <w:tcPr>
            <w:tcW w:w="2260" w:type="dxa"/>
            <w:shd w:val="clear" w:color="auto" w:fill="auto"/>
            <w:vAlign w:val="center"/>
            <w:hideMark/>
          </w:tcPr>
          <w:p w14:paraId="7A661B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Atlántica</w:t>
            </w:r>
          </w:p>
        </w:tc>
        <w:tc>
          <w:tcPr>
            <w:tcW w:w="2180" w:type="dxa"/>
            <w:shd w:val="clear" w:color="auto" w:fill="auto"/>
            <w:vAlign w:val="center"/>
            <w:hideMark/>
          </w:tcPr>
          <w:p w14:paraId="3A2A327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II Circuito Judicial de Alajuela, Sede los Chiles</w:t>
            </w:r>
          </w:p>
        </w:tc>
        <w:tc>
          <w:tcPr>
            <w:tcW w:w="2120" w:type="dxa"/>
            <w:shd w:val="clear" w:color="auto" w:fill="auto"/>
            <w:vAlign w:val="center"/>
            <w:hideMark/>
          </w:tcPr>
          <w:p w14:paraId="7FE016C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Trab, Fam, Agra, Penal Juv, </w:t>
            </w:r>
            <w:proofErr w:type="spellStart"/>
            <w:r w:rsidRPr="00D106C9">
              <w:rPr>
                <w:lang w:eastAsia="es-CR"/>
              </w:rPr>
              <w:t>Viol</w:t>
            </w:r>
            <w:proofErr w:type="spellEnd"/>
            <w:r w:rsidRPr="00D106C9">
              <w:rPr>
                <w:lang w:eastAsia="es-CR"/>
              </w:rPr>
              <w:t xml:space="preserve"> Dom y Prot Cautelar Buenos Aires</w:t>
            </w:r>
          </w:p>
        </w:tc>
      </w:tr>
      <w:tr w:rsidR="00D106C9" w:rsidRPr="00D106C9" w14:paraId="48CBEC6C" w14:textId="77777777" w:rsidTr="006D7BCD">
        <w:trPr>
          <w:trHeight w:val="630"/>
          <w:jc w:val="center"/>
        </w:trPr>
        <w:tc>
          <w:tcPr>
            <w:tcW w:w="2060" w:type="dxa"/>
            <w:shd w:val="clear" w:color="auto" w:fill="auto"/>
            <w:vAlign w:val="center"/>
            <w:hideMark/>
          </w:tcPr>
          <w:p w14:paraId="7EB7169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Heredia</w:t>
            </w:r>
          </w:p>
        </w:tc>
        <w:tc>
          <w:tcPr>
            <w:tcW w:w="2260" w:type="dxa"/>
            <w:shd w:val="clear" w:color="auto" w:fill="auto"/>
            <w:vAlign w:val="center"/>
            <w:hideMark/>
          </w:tcPr>
          <w:p w14:paraId="50E9A4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w:t>
            </w:r>
            <w:proofErr w:type="spellStart"/>
            <w:r w:rsidRPr="00D106C9">
              <w:rPr>
                <w:lang w:eastAsia="es-CR"/>
              </w:rPr>
              <w:t>Civ</w:t>
            </w:r>
            <w:proofErr w:type="spellEnd"/>
            <w:r w:rsidRPr="00D106C9">
              <w:rPr>
                <w:lang w:eastAsia="es-CR"/>
              </w:rPr>
              <w:t xml:space="preserve">, </w:t>
            </w:r>
            <w:proofErr w:type="spellStart"/>
            <w:r w:rsidRPr="00D106C9">
              <w:rPr>
                <w:lang w:eastAsia="es-CR"/>
              </w:rPr>
              <w:t>Tra</w:t>
            </w:r>
            <w:proofErr w:type="spellEnd"/>
            <w:r w:rsidRPr="00D106C9">
              <w:rPr>
                <w:lang w:eastAsia="es-CR"/>
              </w:rPr>
              <w:t xml:space="preserve">, </w:t>
            </w:r>
            <w:proofErr w:type="spellStart"/>
            <w:r w:rsidRPr="00D106C9">
              <w:rPr>
                <w:lang w:eastAsia="es-CR"/>
              </w:rPr>
              <w:t>Agr</w:t>
            </w:r>
            <w:proofErr w:type="spellEnd"/>
            <w:r w:rsidRPr="00D106C9">
              <w:rPr>
                <w:lang w:eastAsia="es-CR"/>
              </w:rPr>
              <w:t xml:space="preserve">, Fam, Pen Juv, Vio Dom y Prot </w:t>
            </w:r>
            <w:proofErr w:type="spellStart"/>
            <w:r w:rsidRPr="00D106C9">
              <w:rPr>
                <w:lang w:eastAsia="es-CR"/>
              </w:rPr>
              <w:t>Cau</w:t>
            </w:r>
            <w:proofErr w:type="spellEnd"/>
            <w:r w:rsidRPr="00D106C9">
              <w:rPr>
                <w:lang w:eastAsia="es-CR"/>
              </w:rPr>
              <w:t xml:space="preserve"> II Cir Jud Ala, Sede Upala</w:t>
            </w:r>
          </w:p>
        </w:tc>
        <w:tc>
          <w:tcPr>
            <w:tcW w:w="2180" w:type="dxa"/>
            <w:shd w:val="clear" w:color="auto" w:fill="auto"/>
            <w:vAlign w:val="center"/>
            <w:hideMark/>
          </w:tcPr>
          <w:p w14:paraId="2E55A4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III Circuito Judicial de San Jose</w:t>
            </w:r>
          </w:p>
        </w:tc>
        <w:tc>
          <w:tcPr>
            <w:tcW w:w="2120" w:type="dxa"/>
            <w:shd w:val="clear" w:color="auto" w:fill="auto"/>
            <w:vAlign w:val="center"/>
            <w:hideMark/>
          </w:tcPr>
          <w:p w14:paraId="26A2A62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Buenos Aires</w:t>
            </w:r>
          </w:p>
        </w:tc>
      </w:tr>
      <w:tr w:rsidR="00D106C9" w:rsidRPr="00D106C9" w14:paraId="254D2CF8" w14:textId="77777777" w:rsidTr="006D7BCD">
        <w:trPr>
          <w:trHeight w:val="630"/>
          <w:jc w:val="center"/>
        </w:trPr>
        <w:tc>
          <w:tcPr>
            <w:tcW w:w="2060" w:type="dxa"/>
            <w:shd w:val="clear" w:color="auto" w:fill="auto"/>
            <w:vAlign w:val="center"/>
            <w:hideMark/>
          </w:tcPr>
          <w:p w14:paraId="5239BA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del I Circuito Judicial de la Zona Atlántica</w:t>
            </w:r>
          </w:p>
        </w:tc>
        <w:tc>
          <w:tcPr>
            <w:tcW w:w="2260" w:type="dxa"/>
            <w:shd w:val="clear" w:color="auto" w:fill="auto"/>
            <w:vAlign w:val="center"/>
            <w:hideMark/>
          </w:tcPr>
          <w:p w14:paraId="0BA3AE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Sala Segunda</w:t>
            </w:r>
          </w:p>
        </w:tc>
        <w:tc>
          <w:tcPr>
            <w:tcW w:w="2180" w:type="dxa"/>
            <w:shd w:val="clear" w:color="auto" w:fill="auto"/>
            <w:vAlign w:val="center"/>
            <w:hideMark/>
          </w:tcPr>
          <w:p w14:paraId="216D81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II Circuito Judicial Guanacaste (Santa Cruz)</w:t>
            </w:r>
          </w:p>
        </w:tc>
        <w:tc>
          <w:tcPr>
            <w:tcW w:w="2120" w:type="dxa"/>
            <w:shd w:val="clear" w:color="auto" w:fill="auto"/>
            <w:vAlign w:val="center"/>
            <w:hideMark/>
          </w:tcPr>
          <w:p w14:paraId="011BDF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Osa</w:t>
            </w:r>
          </w:p>
        </w:tc>
      </w:tr>
      <w:tr w:rsidR="00D106C9" w:rsidRPr="00D106C9" w14:paraId="4577D400" w14:textId="77777777" w:rsidTr="006D7BCD">
        <w:trPr>
          <w:trHeight w:val="630"/>
          <w:jc w:val="center"/>
        </w:trPr>
        <w:tc>
          <w:tcPr>
            <w:tcW w:w="2060" w:type="dxa"/>
            <w:shd w:val="clear" w:color="auto" w:fill="auto"/>
            <w:vAlign w:val="center"/>
            <w:hideMark/>
          </w:tcPr>
          <w:p w14:paraId="1CC2F0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la Zona Atlántica</w:t>
            </w:r>
          </w:p>
        </w:tc>
        <w:tc>
          <w:tcPr>
            <w:tcW w:w="2260" w:type="dxa"/>
            <w:shd w:val="clear" w:color="auto" w:fill="auto"/>
            <w:vAlign w:val="center"/>
            <w:hideMark/>
          </w:tcPr>
          <w:p w14:paraId="7D8B6B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San Rafael</w:t>
            </w:r>
          </w:p>
        </w:tc>
        <w:tc>
          <w:tcPr>
            <w:tcW w:w="2180" w:type="dxa"/>
            <w:shd w:val="clear" w:color="auto" w:fill="auto"/>
            <w:vAlign w:val="center"/>
            <w:hideMark/>
          </w:tcPr>
          <w:p w14:paraId="68B725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Coto Brus</w:t>
            </w:r>
          </w:p>
        </w:tc>
        <w:tc>
          <w:tcPr>
            <w:tcW w:w="2120" w:type="dxa"/>
            <w:shd w:val="clear" w:color="auto" w:fill="auto"/>
            <w:vAlign w:val="center"/>
            <w:hideMark/>
          </w:tcPr>
          <w:p w14:paraId="552347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Comision de la Jurisdicción Agrario y Agroambiental</w:t>
            </w:r>
          </w:p>
        </w:tc>
      </w:tr>
      <w:tr w:rsidR="00D106C9" w:rsidRPr="00D106C9" w14:paraId="5C8CFBD6" w14:textId="77777777" w:rsidTr="006D7BCD">
        <w:trPr>
          <w:trHeight w:val="630"/>
          <w:jc w:val="center"/>
        </w:trPr>
        <w:tc>
          <w:tcPr>
            <w:tcW w:w="2060" w:type="dxa"/>
            <w:shd w:val="clear" w:color="auto" w:fill="auto"/>
            <w:vAlign w:val="center"/>
            <w:hideMark/>
          </w:tcPr>
          <w:p w14:paraId="210CCEB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del I Circuito Judicial de la Zona Sur</w:t>
            </w:r>
          </w:p>
        </w:tc>
        <w:tc>
          <w:tcPr>
            <w:tcW w:w="2260" w:type="dxa"/>
            <w:shd w:val="clear" w:color="auto" w:fill="auto"/>
            <w:vAlign w:val="center"/>
            <w:hideMark/>
          </w:tcPr>
          <w:p w14:paraId="0362AC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Alajuela, Sede Atenas</w:t>
            </w:r>
          </w:p>
        </w:tc>
        <w:tc>
          <w:tcPr>
            <w:tcW w:w="2180" w:type="dxa"/>
            <w:shd w:val="clear" w:color="auto" w:fill="auto"/>
            <w:vAlign w:val="center"/>
            <w:hideMark/>
          </w:tcPr>
          <w:p w14:paraId="7B8FE7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 Cautelar Puriscal</w:t>
            </w:r>
          </w:p>
        </w:tc>
        <w:tc>
          <w:tcPr>
            <w:tcW w:w="2120" w:type="dxa"/>
            <w:shd w:val="clear" w:color="auto" w:fill="auto"/>
            <w:vAlign w:val="center"/>
          </w:tcPr>
          <w:p w14:paraId="5ABB3F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Hatillo</w:t>
            </w:r>
          </w:p>
        </w:tc>
      </w:tr>
      <w:tr w:rsidR="00D106C9" w:rsidRPr="00D106C9" w14:paraId="02F87C71" w14:textId="77777777" w:rsidTr="006D7BCD">
        <w:trPr>
          <w:trHeight w:val="420"/>
          <w:jc w:val="center"/>
        </w:trPr>
        <w:tc>
          <w:tcPr>
            <w:tcW w:w="2060" w:type="dxa"/>
            <w:shd w:val="clear" w:color="auto" w:fill="auto"/>
            <w:vAlign w:val="center"/>
            <w:hideMark/>
          </w:tcPr>
          <w:p w14:paraId="27A62D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III Circuito Judicial San Jose</w:t>
            </w:r>
          </w:p>
        </w:tc>
        <w:tc>
          <w:tcPr>
            <w:tcW w:w="2260" w:type="dxa"/>
            <w:shd w:val="clear" w:color="auto" w:fill="auto"/>
            <w:vAlign w:val="center"/>
            <w:hideMark/>
          </w:tcPr>
          <w:p w14:paraId="2D3396D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 Circuito Judicial de la Zona Atlántica</w:t>
            </w:r>
          </w:p>
        </w:tc>
        <w:tc>
          <w:tcPr>
            <w:tcW w:w="2180" w:type="dxa"/>
            <w:shd w:val="clear" w:color="auto" w:fill="auto"/>
            <w:vAlign w:val="center"/>
            <w:hideMark/>
          </w:tcPr>
          <w:p w14:paraId="2F2DE6FC" w14:textId="77777777" w:rsidR="00D106C9" w:rsidRPr="00D106C9" w:rsidRDefault="00D106C9" w:rsidP="00D106C9">
            <w:pPr>
              <w:widowControl w:val="0"/>
              <w:suppressAutoHyphens w:val="0"/>
              <w:autoSpaceDE w:val="0"/>
              <w:autoSpaceDN w:val="0"/>
              <w:adjustRightInd w:val="0"/>
              <w:jc w:val="center"/>
              <w:rPr>
                <w:lang w:eastAsia="es-CR"/>
              </w:rPr>
            </w:pPr>
          </w:p>
        </w:tc>
        <w:tc>
          <w:tcPr>
            <w:tcW w:w="2120" w:type="dxa"/>
            <w:shd w:val="clear" w:color="auto" w:fill="auto"/>
            <w:noWrap/>
            <w:vAlign w:val="bottom"/>
            <w:hideMark/>
          </w:tcPr>
          <w:p w14:paraId="0F030C38" w14:textId="77777777" w:rsidR="00D106C9" w:rsidRPr="00D106C9" w:rsidRDefault="00D106C9" w:rsidP="00D106C9">
            <w:pPr>
              <w:widowControl w:val="0"/>
              <w:suppressAutoHyphens w:val="0"/>
              <w:autoSpaceDE w:val="0"/>
              <w:autoSpaceDN w:val="0"/>
              <w:adjustRightInd w:val="0"/>
              <w:jc w:val="center"/>
              <w:rPr>
                <w:lang w:eastAsia="es-CR"/>
              </w:rPr>
            </w:pPr>
          </w:p>
        </w:tc>
      </w:tr>
    </w:tbl>
    <w:p w14:paraId="11CAA217" w14:textId="77777777" w:rsidR="00D106C9" w:rsidRPr="00D106C9" w:rsidRDefault="00D106C9" w:rsidP="00D106C9">
      <w:pPr>
        <w:widowControl w:val="0"/>
        <w:suppressAutoHyphens w:val="0"/>
        <w:autoSpaceDE w:val="0"/>
        <w:autoSpaceDN w:val="0"/>
        <w:adjustRightInd w:val="0"/>
        <w:jc w:val="both"/>
        <w:rPr>
          <w:lang w:eastAsia="es-ES"/>
        </w:rPr>
      </w:pPr>
      <w:r w:rsidRPr="00D106C9">
        <w:rPr>
          <w:b/>
          <w:bCs/>
          <w:lang w:eastAsia="es-ES"/>
        </w:rPr>
        <w:t xml:space="preserve">   </w:t>
      </w:r>
    </w:p>
    <w:p w14:paraId="25B91830" w14:textId="77777777" w:rsidR="00D106C9" w:rsidRPr="00D106C9" w:rsidRDefault="00D106C9" w:rsidP="003B2E9B">
      <w:pPr>
        <w:widowControl w:val="0"/>
        <w:numPr>
          <w:ilvl w:val="0"/>
          <w:numId w:val="79"/>
        </w:numPr>
        <w:tabs>
          <w:tab w:val="left" w:pos="993"/>
          <w:tab w:val="left" w:pos="1276"/>
        </w:tabs>
        <w:suppressAutoHyphens w:val="0"/>
        <w:autoSpaceDE w:val="0"/>
        <w:autoSpaceDN w:val="0"/>
        <w:adjustRightInd w:val="0"/>
        <w:ind w:left="851" w:right="851" w:firstLine="992"/>
        <w:contextualSpacing/>
        <w:jc w:val="both"/>
        <w:rPr>
          <w:lang w:eastAsia="es-ES"/>
        </w:rPr>
      </w:pPr>
      <w:r w:rsidRPr="00D106C9">
        <w:rPr>
          <w:lang w:eastAsia="es-ES"/>
        </w:rPr>
        <w:t xml:space="preserve">Hacer un llamado de atención a las 85 oficinas que asignaron metas operativas con estados no avalados (En progreso, No iniciado, Demorado en Progreso, Demorado pendiente) </w:t>
      </w:r>
      <w:r w:rsidRPr="00D106C9">
        <w:rPr>
          <w:u w:val="single"/>
          <w:lang w:eastAsia="es-ES"/>
        </w:rPr>
        <w:t>al finalizar el año</w:t>
      </w:r>
      <w:r w:rsidRPr="00D106C9">
        <w:rPr>
          <w:lang w:eastAsia="es-ES"/>
        </w:rPr>
        <w:t xml:space="preserve">, para que en adelante esta situación no se repita y permita contar con un panorama más claro del estado de las metas a nivel institucional, al momento de elaborarse este informe de evaluación. </w:t>
      </w:r>
    </w:p>
    <w:tbl>
      <w:tblPr>
        <w:tblW w:w="715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392"/>
        <w:gridCol w:w="2494"/>
        <w:gridCol w:w="2393"/>
        <w:gridCol w:w="2116"/>
      </w:tblGrid>
      <w:tr w:rsidR="00D106C9" w:rsidRPr="00D106C9" w14:paraId="14B792E1" w14:textId="77777777" w:rsidTr="006D7BCD">
        <w:trPr>
          <w:trHeight w:val="210"/>
          <w:jc w:val="center"/>
        </w:trPr>
        <w:tc>
          <w:tcPr>
            <w:tcW w:w="7159" w:type="dxa"/>
            <w:gridSpan w:val="4"/>
            <w:shd w:val="clear" w:color="000000" w:fill="0070C0"/>
            <w:noWrap/>
            <w:vAlign w:val="bottom"/>
            <w:hideMark/>
          </w:tcPr>
          <w:p w14:paraId="48E1AD0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OFICINAS CON ESTADOS NO AVALDOS</w:t>
            </w:r>
          </w:p>
        </w:tc>
      </w:tr>
      <w:tr w:rsidR="00D106C9" w:rsidRPr="00D106C9" w14:paraId="7558DC61" w14:textId="77777777" w:rsidTr="006D7BCD">
        <w:trPr>
          <w:trHeight w:val="1060"/>
          <w:jc w:val="center"/>
        </w:trPr>
        <w:tc>
          <w:tcPr>
            <w:tcW w:w="1837" w:type="dxa"/>
            <w:shd w:val="clear" w:color="auto" w:fill="auto"/>
            <w:vAlign w:val="center"/>
            <w:hideMark/>
          </w:tcPr>
          <w:p w14:paraId="618A71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COMISION DE LA JURISDICCION AGRARIO Y AGROAMBIENTAL</w:t>
            </w:r>
          </w:p>
        </w:tc>
        <w:tc>
          <w:tcPr>
            <w:tcW w:w="1865" w:type="dxa"/>
            <w:shd w:val="clear" w:color="auto" w:fill="auto"/>
            <w:vAlign w:val="center"/>
            <w:hideMark/>
          </w:tcPr>
          <w:p w14:paraId="172177C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II CIRCUITO JUDICIAL SAN JOSE</w:t>
            </w:r>
          </w:p>
        </w:tc>
        <w:tc>
          <w:tcPr>
            <w:tcW w:w="1837" w:type="dxa"/>
            <w:shd w:val="clear" w:color="auto" w:fill="auto"/>
            <w:vAlign w:val="center"/>
            <w:hideMark/>
          </w:tcPr>
          <w:p w14:paraId="79FC70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DIRECCION EJECUTIVA</w:t>
            </w:r>
          </w:p>
        </w:tc>
        <w:tc>
          <w:tcPr>
            <w:tcW w:w="1620" w:type="dxa"/>
            <w:shd w:val="clear" w:color="auto" w:fill="auto"/>
            <w:vAlign w:val="center"/>
            <w:hideMark/>
          </w:tcPr>
          <w:p w14:paraId="6464428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BATAN</w:t>
            </w:r>
          </w:p>
        </w:tc>
      </w:tr>
      <w:tr w:rsidR="00D106C9" w:rsidRPr="00D106C9" w14:paraId="3862F72E" w14:textId="77777777" w:rsidTr="006D7BCD">
        <w:trPr>
          <w:trHeight w:val="850"/>
          <w:jc w:val="center"/>
        </w:trPr>
        <w:tc>
          <w:tcPr>
            <w:tcW w:w="1837" w:type="dxa"/>
            <w:shd w:val="clear" w:color="auto" w:fill="auto"/>
            <w:vAlign w:val="center"/>
            <w:hideMark/>
          </w:tcPr>
          <w:p w14:paraId="6D0B5C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JUZGADO CONTRAVENCIONAL DE ALAJUELITA</w:t>
            </w:r>
          </w:p>
        </w:tc>
        <w:tc>
          <w:tcPr>
            <w:tcW w:w="1865" w:type="dxa"/>
            <w:shd w:val="clear" w:color="auto" w:fill="auto"/>
            <w:vAlign w:val="center"/>
            <w:hideMark/>
          </w:tcPr>
          <w:p w14:paraId="67F94C0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BUENOS AIRES</w:t>
            </w:r>
          </w:p>
        </w:tc>
        <w:tc>
          <w:tcPr>
            <w:tcW w:w="1837" w:type="dxa"/>
            <w:shd w:val="clear" w:color="auto" w:fill="auto"/>
            <w:vAlign w:val="center"/>
            <w:hideMark/>
          </w:tcPr>
          <w:p w14:paraId="61E5ED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DE LEGITIMACION DE CAPITALES</w:t>
            </w:r>
          </w:p>
        </w:tc>
        <w:tc>
          <w:tcPr>
            <w:tcW w:w="1620" w:type="dxa"/>
            <w:shd w:val="clear" w:color="auto" w:fill="auto"/>
            <w:vAlign w:val="center"/>
            <w:hideMark/>
          </w:tcPr>
          <w:p w14:paraId="4CD23C5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OSA</w:t>
            </w:r>
          </w:p>
        </w:tc>
      </w:tr>
      <w:tr w:rsidR="00D106C9" w:rsidRPr="00D106C9" w14:paraId="015A50B0" w14:textId="77777777" w:rsidTr="006D7BCD">
        <w:trPr>
          <w:trHeight w:val="1270"/>
          <w:jc w:val="center"/>
        </w:trPr>
        <w:tc>
          <w:tcPr>
            <w:tcW w:w="1837" w:type="dxa"/>
            <w:shd w:val="clear" w:color="auto" w:fill="auto"/>
            <w:vAlign w:val="center"/>
            <w:hideMark/>
          </w:tcPr>
          <w:p w14:paraId="47B184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AGRA, PENAL JUV, VIOL DOM Y PROT CAUTELAR BUENOS AIRES</w:t>
            </w:r>
          </w:p>
        </w:tc>
        <w:tc>
          <w:tcPr>
            <w:tcW w:w="1865" w:type="dxa"/>
            <w:shd w:val="clear" w:color="auto" w:fill="auto"/>
            <w:vAlign w:val="center"/>
            <w:hideMark/>
          </w:tcPr>
          <w:p w14:paraId="0031B52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JIMENEZ</w:t>
            </w:r>
          </w:p>
        </w:tc>
        <w:tc>
          <w:tcPr>
            <w:tcW w:w="1837" w:type="dxa"/>
            <w:shd w:val="clear" w:color="auto" w:fill="auto"/>
            <w:vAlign w:val="center"/>
            <w:hideMark/>
          </w:tcPr>
          <w:p w14:paraId="0DFF0FB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DE PAVAS</w:t>
            </w:r>
          </w:p>
        </w:tc>
        <w:tc>
          <w:tcPr>
            <w:tcW w:w="1620" w:type="dxa"/>
            <w:shd w:val="clear" w:color="auto" w:fill="auto"/>
            <w:vAlign w:val="center"/>
            <w:hideMark/>
          </w:tcPr>
          <w:p w14:paraId="0D0B30C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LA ZONA ATLANTICA</w:t>
            </w:r>
          </w:p>
        </w:tc>
      </w:tr>
      <w:tr w:rsidR="00D106C9" w:rsidRPr="00D106C9" w14:paraId="3D9F92B2" w14:textId="77777777" w:rsidTr="006D7BCD">
        <w:trPr>
          <w:trHeight w:val="850"/>
          <w:jc w:val="center"/>
        </w:trPr>
        <w:tc>
          <w:tcPr>
            <w:tcW w:w="1837" w:type="dxa"/>
            <w:shd w:val="clear" w:color="auto" w:fill="auto"/>
            <w:vAlign w:val="center"/>
            <w:hideMark/>
          </w:tcPr>
          <w:p w14:paraId="00D61D2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MONTES DE ORO</w:t>
            </w:r>
          </w:p>
        </w:tc>
        <w:tc>
          <w:tcPr>
            <w:tcW w:w="1865" w:type="dxa"/>
            <w:shd w:val="clear" w:color="auto" w:fill="auto"/>
            <w:vAlign w:val="center"/>
            <w:hideMark/>
          </w:tcPr>
          <w:p w14:paraId="312A1DF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PURISCAL</w:t>
            </w:r>
          </w:p>
        </w:tc>
        <w:tc>
          <w:tcPr>
            <w:tcW w:w="1837" w:type="dxa"/>
            <w:shd w:val="clear" w:color="auto" w:fill="auto"/>
            <w:vAlign w:val="center"/>
            <w:hideMark/>
          </w:tcPr>
          <w:p w14:paraId="37CBB9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PUNTARENAS</w:t>
            </w:r>
          </w:p>
        </w:tc>
        <w:tc>
          <w:tcPr>
            <w:tcW w:w="1620" w:type="dxa"/>
            <w:shd w:val="clear" w:color="auto" w:fill="auto"/>
            <w:vAlign w:val="center"/>
            <w:hideMark/>
          </w:tcPr>
          <w:p w14:paraId="1D8CCCF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SAN JOSE</w:t>
            </w:r>
          </w:p>
        </w:tc>
      </w:tr>
      <w:tr w:rsidR="00D106C9" w:rsidRPr="00D106C9" w14:paraId="4C87427F" w14:textId="77777777" w:rsidTr="006D7BCD">
        <w:trPr>
          <w:trHeight w:val="850"/>
          <w:jc w:val="center"/>
        </w:trPr>
        <w:tc>
          <w:tcPr>
            <w:tcW w:w="1837" w:type="dxa"/>
            <w:shd w:val="clear" w:color="auto" w:fill="auto"/>
            <w:vAlign w:val="center"/>
            <w:hideMark/>
          </w:tcPr>
          <w:p w14:paraId="2DCB794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LOS CHILES</w:t>
            </w:r>
          </w:p>
        </w:tc>
        <w:tc>
          <w:tcPr>
            <w:tcW w:w="1865" w:type="dxa"/>
            <w:shd w:val="clear" w:color="auto" w:fill="auto"/>
            <w:vAlign w:val="center"/>
            <w:hideMark/>
          </w:tcPr>
          <w:p w14:paraId="71F85E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ZARCERO</w:t>
            </w:r>
          </w:p>
        </w:tc>
        <w:tc>
          <w:tcPr>
            <w:tcW w:w="1837" w:type="dxa"/>
            <w:shd w:val="clear" w:color="auto" w:fill="auto"/>
            <w:vAlign w:val="center"/>
            <w:hideMark/>
          </w:tcPr>
          <w:p w14:paraId="605305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BATAN</w:t>
            </w:r>
          </w:p>
        </w:tc>
        <w:tc>
          <w:tcPr>
            <w:tcW w:w="1620" w:type="dxa"/>
            <w:shd w:val="clear" w:color="auto" w:fill="auto"/>
            <w:vAlign w:val="center"/>
            <w:hideMark/>
          </w:tcPr>
          <w:p w14:paraId="6BF5B75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CARTAGO</w:t>
            </w:r>
          </w:p>
        </w:tc>
      </w:tr>
      <w:tr w:rsidR="00D106C9" w:rsidRPr="00D106C9" w14:paraId="305522F6" w14:textId="77777777" w:rsidTr="006D7BCD">
        <w:trPr>
          <w:trHeight w:val="1270"/>
          <w:jc w:val="center"/>
        </w:trPr>
        <w:tc>
          <w:tcPr>
            <w:tcW w:w="1837" w:type="dxa"/>
            <w:shd w:val="clear" w:color="auto" w:fill="auto"/>
            <w:vAlign w:val="center"/>
            <w:hideMark/>
          </w:tcPr>
          <w:p w14:paraId="7C0EDD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 CIRCUITO JUDICIAL ZONA SUR</w:t>
            </w:r>
          </w:p>
        </w:tc>
        <w:tc>
          <w:tcPr>
            <w:tcW w:w="1865" w:type="dxa"/>
            <w:shd w:val="clear" w:color="auto" w:fill="auto"/>
            <w:vAlign w:val="center"/>
            <w:hideMark/>
          </w:tcPr>
          <w:p w14:paraId="615354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I CIRCUITO JUDICIAL DE LA ZONA ATLANTICA</w:t>
            </w:r>
          </w:p>
        </w:tc>
        <w:tc>
          <w:tcPr>
            <w:tcW w:w="1837" w:type="dxa"/>
            <w:shd w:val="clear" w:color="auto" w:fill="auto"/>
            <w:vAlign w:val="center"/>
            <w:hideMark/>
          </w:tcPr>
          <w:p w14:paraId="54ED1C2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LA FORTUNA</w:t>
            </w:r>
          </w:p>
        </w:tc>
        <w:tc>
          <w:tcPr>
            <w:tcW w:w="1620" w:type="dxa"/>
            <w:shd w:val="clear" w:color="auto" w:fill="auto"/>
            <w:vAlign w:val="center"/>
            <w:hideMark/>
          </w:tcPr>
          <w:p w14:paraId="275CDB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III CIRCUITO JUDICIAL ALAJUELA (SAN RAMON)</w:t>
            </w:r>
          </w:p>
        </w:tc>
      </w:tr>
      <w:tr w:rsidR="00D106C9" w:rsidRPr="00D106C9" w14:paraId="1085811B" w14:textId="77777777" w:rsidTr="006D7BCD">
        <w:trPr>
          <w:trHeight w:val="1060"/>
          <w:jc w:val="center"/>
        </w:trPr>
        <w:tc>
          <w:tcPr>
            <w:tcW w:w="1837" w:type="dxa"/>
            <w:shd w:val="clear" w:color="auto" w:fill="auto"/>
            <w:vAlign w:val="center"/>
            <w:hideMark/>
          </w:tcPr>
          <w:p w14:paraId="4D2B0DF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 TRA, AGR, FAM, PEN JUV, VIO DOM Y PROT CAU II CIR J ALA, SEDE UPALA</w:t>
            </w:r>
          </w:p>
        </w:tc>
        <w:tc>
          <w:tcPr>
            <w:tcW w:w="1865" w:type="dxa"/>
            <w:shd w:val="clear" w:color="auto" w:fill="auto"/>
            <w:vAlign w:val="center"/>
            <w:hideMark/>
          </w:tcPr>
          <w:p w14:paraId="07C455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PAVAS</w:t>
            </w:r>
          </w:p>
        </w:tc>
        <w:tc>
          <w:tcPr>
            <w:tcW w:w="1837" w:type="dxa"/>
            <w:shd w:val="clear" w:color="auto" w:fill="auto"/>
            <w:vAlign w:val="center"/>
            <w:hideMark/>
          </w:tcPr>
          <w:p w14:paraId="121067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PURISCAL</w:t>
            </w:r>
          </w:p>
        </w:tc>
        <w:tc>
          <w:tcPr>
            <w:tcW w:w="1620" w:type="dxa"/>
            <w:shd w:val="clear" w:color="auto" w:fill="auto"/>
            <w:vAlign w:val="center"/>
            <w:hideMark/>
          </w:tcPr>
          <w:p w14:paraId="1A5380E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ALIMENTARIAS II CIRCUITO JUDICIAL GUANACASTE</w:t>
            </w:r>
          </w:p>
        </w:tc>
      </w:tr>
      <w:tr w:rsidR="00D106C9" w:rsidRPr="00D106C9" w14:paraId="3705AF0B" w14:textId="77777777" w:rsidTr="006D7BCD">
        <w:trPr>
          <w:trHeight w:val="1480"/>
          <w:jc w:val="center"/>
        </w:trPr>
        <w:tc>
          <w:tcPr>
            <w:tcW w:w="1837" w:type="dxa"/>
            <w:shd w:val="clear" w:color="auto" w:fill="auto"/>
            <w:vAlign w:val="center"/>
            <w:hideMark/>
          </w:tcPr>
          <w:p w14:paraId="6CB6921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ABANGARES</w:t>
            </w:r>
          </w:p>
        </w:tc>
        <w:tc>
          <w:tcPr>
            <w:tcW w:w="1865" w:type="dxa"/>
            <w:shd w:val="clear" w:color="auto" w:fill="auto"/>
            <w:vAlign w:val="center"/>
            <w:hideMark/>
          </w:tcPr>
          <w:p w14:paraId="330F7FC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 CIRCUITO JUDICIAL DE GUANACASTE</w:t>
            </w:r>
          </w:p>
        </w:tc>
        <w:tc>
          <w:tcPr>
            <w:tcW w:w="1837" w:type="dxa"/>
            <w:shd w:val="clear" w:color="auto" w:fill="auto"/>
            <w:vAlign w:val="center"/>
            <w:hideMark/>
          </w:tcPr>
          <w:p w14:paraId="74A5E63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DE TURNO EXTRAORDINARIO SAN JOSE, SEDE I CIRCUITO JUDICIAL SAN JOSE</w:t>
            </w:r>
          </w:p>
        </w:tc>
        <w:tc>
          <w:tcPr>
            <w:tcW w:w="1620" w:type="dxa"/>
            <w:shd w:val="clear" w:color="auto" w:fill="auto"/>
            <w:vAlign w:val="center"/>
            <w:hideMark/>
          </w:tcPr>
          <w:p w14:paraId="1B7D753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PROTECCION CAUTELAR PAVAS</w:t>
            </w:r>
          </w:p>
        </w:tc>
      </w:tr>
      <w:tr w:rsidR="00D106C9" w:rsidRPr="00D106C9" w14:paraId="6764A536" w14:textId="77777777" w:rsidTr="006D7BCD">
        <w:trPr>
          <w:trHeight w:val="1060"/>
          <w:jc w:val="center"/>
        </w:trPr>
        <w:tc>
          <w:tcPr>
            <w:tcW w:w="1837" w:type="dxa"/>
            <w:shd w:val="clear" w:color="auto" w:fill="auto"/>
            <w:vAlign w:val="center"/>
            <w:hideMark/>
          </w:tcPr>
          <w:p w14:paraId="701915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DE FRAUDES</w:t>
            </w:r>
          </w:p>
        </w:tc>
        <w:tc>
          <w:tcPr>
            <w:tcW w:w="1865" w:type="dxa"/>
            <w:shd w:val="clear" w:color="auto" w:fill="auto"/>
            <w:vAlign w:val="center"/>
            <w:hideMark/>
          </w:tcPr>
          <w:p w14:paraId="0D5908E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SUR</w:t>
            </w:r>
          </w:p>
        </w:tc>
        <w:tc>
          <w:tcPr>
            <w:tcW w:w="1837" w:type="dxa"/>
            <w:shd w:val="clear" w:color="auto" w:fill="auto"/>
            <w:vAlign w:val="center"/>
            <w:hideMark/>
          </w:tcPr>
          <w:p w14:paraId="2BB6CF2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II CIRC. JUD. GUANACASTE</w:t>
            </w:r>
          </w:p>
        </w:tc>
        <w:tc>
          <w:tcPr>
            <w:tcW w:w="1620" w:type="dxa"/>
            <w:shd w:val="clear" w:color="auto" w:fill="auto"/>
            <w:vAlign w:val="center"/>
            <w:hideMark/>
          </w:tcPr>
          <w:p w14:paraId="1F35A0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PRIMERO DE FAMILIA DE SAN JOSE</w:t>
            </w:r>
          </w:p>
        </w:tc>
      </w:tr>
      <w:tr w:rsidR="00D106C9" w:rsidRPr="00D106C9" w14:paraId="155A38BC" w14:textId="77777777" w:rsidTr="006D7BCD">
        <w:trPr>
          <w:trHeight w:val="1480"/>
          <w:jc w:val="center"/>
        </w:trPr>
        <w:tc>
          <w:tcPr>
            <w:tcW w:w="1837" w:type="dxa"/>
            <w:shd w:val="clear" w:color="auto" w:fill="auto"/>
            <w:vAlign w:val="center"/>
            <w:hideMark/>
          </w:tcPr>
          <w:p w14:paraId="1B2303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 xml:space="preserve">JUZGADO CIVIL Y TRABAJO II CIRC. JUD. </w:t>
            </w:r>
            <w:proofErr w:type="gramStart"/>
            <w:r w:rsidRPr="00D106C9">
              <w:rPr>
                <w:lang w:eastAsia="es-CR"/>
              </w:rPr>
              <w:t>DE  GUANACASTE</w:t>
            </w:r>
            <w:proofErr w:type="gramEnd"/>
          </w:p>
        </w:tc>
        <w:tc>
          <w:tcPr>
            <w:tcW w:w="1865" w:type="dxa"/>
            <w:shd w:val="clear" w:color="auto" w:fill="auto"/>
            <w:vAlign w:val="center"/>
            <w:hideMark/>
          </w:tcPr>
          <w:p w14:paraId="2938DBE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PROTECCION CAUTELAR ESCAZU</w:t>
            </w:r>
          </w:p>
        </w:tc>
        <w:tc>
          <w:tcPr>
            <w:tcW w:w="1837" w:type="dxa"/>
            <w:shd w:val="clear" w:color="auto" w:fill="auto"/>
            <w:vAlign w:val="center"/>
            <w:hideMark/>
          </w:tcPr>
          <w:p w14:paraId="0559AA2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TRABAJO, FAMILIA, PENAL JUV, VIOL DOM Y PROT CAUTELAR SARAPIQUI</w:t>
            </w:r>
          </w:p>
        </w:tc>
        <w:tc>
          <w:tcPr>
            <w:tcW w:w="1620" w:type="dxa"/>
            <w:shd w:val="clear" w:color="auto" w:fill="auto"/>
            <w:vAlign w:val="center"/>
            <w:hideMark/>
          </w:tcPr>
          <w:p w14:paraId="5BE2581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SEGUNDO ESPECIALIZADO DE COBRO I CIRCUITO JUDICIAL DE SAN JOSE</w:t>
            </w:r>
          </w:p>
        </w:tc>
      </w:tr>
      <w:tr w:rsidR="00D106C9" w:rsidRPr="00D106C9" w14:paraId="32DFD29C" w14:textId="77777777" w:rsidTr="006D7BCD">
        <w:trPr>
          <w:trHeight w:val="1480"/>
          <w:jc w:val="center"/>
        </w:trPr>
        <w:tc>
          <w:tcPr>
            <w:tcW w:w="1837" w:type="dxa"/>
            <w:shd w:val="clear" w:color="auto" w:fill="auto"/>
            <w:vAlign w:val="center"/>
            <w:hideMark/>
          </w:tcPr>
          <w:p w14:paraId="413F379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 CAUTELAR PURISCAL</w:t>
            </w:r>
          </w:p>
        </w:tc>
        <w:tc>
          <w:tcPr>
            <w:tcW w:w="1865" w:type="dxa"/>
            <w:shd w:val="clear" w:color="auto" w:fill="auto"/>
            <w:vAlign w:val="center"/>
            <w:hideMark/>
          </w:tcPr>
          <w:p w14:paraId="3145B8D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PRIMERO ESPECIALIZADO DE COBRO I CIRCUITO JUDICIAL DE SAN JOSE</w:t>
            </w:r>
          </w:p>
        </w:tc>
        <w:tc>
          <w:tcPr>
            <w:tcW w:w="1837" w:type="dxa"/>
            <w:shd w:val="clear" w:color="auto" w:fill="auto"/>
            <w:vAlign w:val="center"/>
            <w:hideMark/>
          </w:tcPr>
          <w:p w14:paraId="5AD1B18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CONTENCIOSO ADMINISTRATIVO Y CIVIL DE HACIENDA</w:t>
            </w:r>
          </w:p>
        </w:tc>
        <w:tc>
          <w:tcPr>
            <w:tcW w:w="1620" w:type="dxa"/>
            <w:shd w:val="clear" w:color="auto" w:fill="auto"/>
            <w:vAlign w:val="center"/>
            <w:hideMark/>
          </w:tcPr>
          <w:p w14:paraId="399562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TRANSITO I CIRCUITO JUDICIAL ZONA ATLANTICA</w:t>
            </w:r>
          </w:p>
        </w:tc>
      </w:tr>
      <w:tr w:rsidR="00D106C9" w:rsidRPr="00D106C9" w14:paraId="1B648768" w14:textId="77777777" w:rsidTr="006D7BCD">
        <w:trPr>
          <w:trHeight w:val="850"/>
          <w:jc w:val="center"/>
        </w:trPr>
        <w:tc>
          <w:tcPr>
            <w:tcW w:w="1837" w:type="dxa"/>
            <w:shd w:val="clear" w:color="auto" w:fill="auto"/>
            <w:vAlign w:val="center"/>
            <w:hideMark/>
          </w:tcPr>
          <w:p w14:paraId="4F9F797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POAS</w:t>
            </w:r>
          </w:p>
        </w:tc>
        <w:tc>
          <w:tcPr>
            <w:tcW w:w="1865" w:type="dxa"/>
            <w:shd w:val="clear" w:color="auto" w:fill="auto"/>
            <w:vAlign w:val="center"/>
            <w:hideMark/>
          </w:tcPr>
          <w:p w14:paraId="3404DA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CENTR. RECEP. DE DOCUM. I CIRC. JUD. SAN JOSE</w:t>
            </w:r>
          </w:p>
        </w:tc>
        <w:tc>
          <w:tcPr>
            <w:tcW w:w="1837" w:type="dxa"/>
            <w:shd w:val="clear" w:color="auto" w:fill="auto"/>
            <w:vAlign w:val="center"/>
            <w:hideMark/>
          </w:tcPr>
          <w:p w14:paraId="393680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BRIBRI</w:t>
            </w:r>
          </w:p>
        </w:tc>
        <w:tc>
          <w:tcPr>
            <w:tcW w:w="1620" w:type="dxa"/>
            <w:shd w:val="clear" w:color="auto" w:fill="auto"/>
            <w:vAlign w:val="center"/>
            <w:hideMark/>
          </w:tcPr>
          <w:p w14:paraId="7AF81C5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DE ADMINISTRACION II CIR. JUD. SAN JOSE</w:t>
            </w:r>
          </w:p>
        </w:tc>
      </w:tr>
      <w:tr w:rsidR="00D106C9" w:rsidRPr="00D106C9" w14:paraId="49E73A89" w14:textId="77777777" w:rsidTr="006D7BCD">
        <w:trPr>
          <w:trHeight w:val="1270"/>
          <w:jc w:val="center"/>
        </w:trPr>
        <w:tc>
          <w:tcPr>
            <w:tcW w:w="1837" w:type="dxa"/>
            <w:shd w:val="clear" w:color="auto" w:fill="auto"/>
            <w:vAlign w:val="center"/>
            <w:hideMark/>
          </w:tcPr>
          <w:p w14:paraId="7AAB6B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PENSIONES ALIMENTARIAS I CJ GUANACASTE</w:t>
            </w:r>
          </w:p>
        </w:tc>
        <w:tc>
          <w:tcPr>
            <w:tcW w:w="1865" w:type="dxa"/>
            <w:shd w:val="clear" w:color="auto" w:fill="auto"/>
            <w:vAlign w:val="center"/>
            <w:hideMark/>
          </w:tcPr>
          <w:p w14:paraId="1D36125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PENAL III CIRCUITO JUDICIAL DE SAN JOSE, SEDE SUROESTE</w:t>
            </w:r>
          </w:p>
        </w:tc>
        <w:tc>
          <w:tcPr>
            <w:tcW w:w="1837" w:type="dxa"/>
            <w:shd w:val="clear" w:color="auto" w:fill="auto"/>
            <w:vAlign w:val="center"/>
            <w:hideMark/>
          </w:tcPr>
          <w:p w14:paraId="3E6A2D9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GUATUSO</w:t>
            </w:r>
          </w:p>
        </w:tc>
        <w:tc>
          <w:tcPr>
            <w:tcW w:w="1620" w:type="dxa"/>
            <w:shd w:val="clear" w:color="auto" w:fill="auto"/>
            <w:vAlign w:val="center"/>
            <w:hideMark/>
          </w:tcPr>
          <w:p w14:paraId="0A646E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TRABAJO SOCIAL Y PSICOLOGIA I CIRCUITO JUDICIAL GUANACASTE</w:t>
            </w:r>
          </w:p>
        </w:tc>
      </w:tr>
      <w:tr w:rsidR="00D106C9" w:rsidRPr="00D106C9" w14:paraId="7B4B9303" w14:textId="77777777" w:rsidTr="006D7BCD">
        <w:trPr>
          <w:trHeight w:val="1480"/>
          <w:jc w:val="center"/>
        </w:trPr>
        <w:tc>
          <w:tcPr>
            <w:tcW w:w="1837" w:type="dxa"/>
            <w:shd w:val="clear" w:color="auto" w:fill="auto"/>
            <w:vAlign w:val="center"/>
            <w:hideMark/>
          </w:tcPr>
          <w:p w14:paraId="46BD821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II CIRCUITO JUD. DE SAN JOSE</w:t>
            </w:r>
          </w:p>
        </w:tc>
        <w:tc>
          <w:tcPr>
            <w:tcW w:w="1865" w:type="dxa"/>
            <w:shd w:val="clear" w:color="auto" w:fill="auto"/>
            <w:vAlign w:val="center"/>
            <w:hideMark/>
          </w:tcPr>
          <w:p w14:paraId="6F33C06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II CIRCUITO JUDICIAL GUANACASTE (SUPERNUMERARIOS)</w:t>
            </w:r>
          </w:p>
        </w:tc>
        <w:tc>
          <w:tcPr>
            <w:tcW w:w="1837" w:type="dxa"/>
            <w:shd w:val="clear" w:color="auto" w:fill="auto"/>
            <w:vAlign w:val="center"/>
            <w:hideMark/>
          </w:tcPr>
          <w:p w14:paraId="2F6853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HATILLO</w:t>
            </w:r>
          </w:p>
        </w:tc>
        <w:tc>
          <w:tcPr>
            <w:tcW w:w="1620" w:type="dxa"/>
            <w:shd w:val="clear" w:color="auto" w:fill="auto"/>
            <w:vAlign w:val="center"/>
            <w:hideMark/>
          </w:tcPr>
          <w:p w14:paraId="504ED4E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TRABAJO SOCIAL Y PSICOLOGIA III CIRCUITO JUDICIAL ALAJUELA (SAN RAMON)</w:t>
            </w:r>
          </w:p>
        </w:tc>
      </w:tr>
      <w:tr w:rsidR="00D106C9" w:rsidRPr="00D106C9" w14:paraId="2023601E" w14:textId="77777777" w:rsidTr="006D7BCD">
        <w:trPr>
          <w:trHeight w:val="1270"/>
          <w:jc w:val="center"/>
        </w:trPr>
        <w:tc>
          <w:tcPr>
            <w:tcW w:w="1837" w:type="dxa"/>
            <w:shd w:val="clear" w:color="auto" w:fill="auto"/>
            <w:vAlign w:val="center"/>
            <w:hideMark/>
          </w:tcPr>
          <w:p w14:paraId="1D53D12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SEGUNDO CIRCUITO JUDICIAL DE SAN JOSE</w:t>
            </w:r>
          </w:p>
        </w:tc>
        <w:tc>
          <w:tcPr>
            <w:tcW w:w="1865" w:type="dxa"/>
            <w:shd w:val="clear" w:color="auto" w:fill="auto"/>
            <w:vAlign w:val="center"/>
            <w:hideMark/>
          </w:tcPr>
          <w:p w14:paraId="338B90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QUEPOS (SUPERNUMERARIOS)</w:t>
            </w:r>
          </w:p>
        </w:tc>
        <w:tc>
          <w:tcPr>
            <w:tcW w:w="1837" w:type="dxa"/>
            <w:shd w:val="clear" w:color="auto" w:fill="auto"/>
            <w:vAlign w:val="center"/>
            <w:hideMark/>
          </w:tcPr>
          <w:p w14:paraId="0C3DB9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TRANSITO II CIRCUITO JUDICIAL GUANACASTE</w:t>
            </w:r>
          </w:p>
        </w:tc>
        <w:tc>
          <w:tcPr>
            <w:tcW w:w="1620" w:type="dxa"/>
            <w:shd w:val="clear" w:color="auto" w:fill="auto"/>
            <w:vAlign w:val="center"/>
            <w:hideMark/>
          </w:tcPr>
          <w:p w14:paraId="3714483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SALA SEGUNDA</w:t>
            </w:r>
          </w:p>
        </w:tc>
      </w:tr>
      <w:tr w:rsidR="00D106C9" w:rsidRPr="00D106C9" w14:paraId="17C5C6F8" w14:textId="77777777" w:rsidTr="006D7BCD">
        <w:trPr>
          <w:trHeight w:val="1270"/>
          <w:jc w:val="center"/>
        </w:trPr>
        <w:tc>
          <w:tcPr>
            <w:tcW w:w="1837" w:type="dxa"/>
            <w:shd w:val="clear" w:color="auto" w:fill="auto"/>
            <w:vAlign w:val="center"/>
            <w:hideMark/>
          </w:tcPr>
          <w:p w14:paraId="082B153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OFICINA DE COMUNICACIONES JUDICIALES II CIRCUITO JUDICIAL GUANACASTE</w:t>
            </w:r>
          </w:p>
        </w:tc>
        <w:tc>
          <w:tcPr>
            <w:tcW w:w="1865" w:type="dxa"/>
            <w:shd w:val="clear" w:color="auto" w:fill="auto"/>
            <w:vAlign w:val="center"/>
            <w:hideMark/>
          </w:tcPr>
          <w:p w14:paraId="77D9F9A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TURRIALBA (SUPERNUMERARIOS)</w:t>
            </w:r>
          </w:p>
        </w:tc>
        <w:tc>
          <w:tcPr>
            <w:tcW w:w="1837" w:type="dxa"/>
            <w:shd w:val="clear" w:color="auto" w:fill="auto"/>
            <w:vAlign w:val="center"/>
            <w:hideMark/>
          </w:tcPr>
          <w:p w14:paraId="004A921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DE ALAJUELA</w:t>
            </w:r>
          </w:p>
        </w:tc>
        <w:tc>
          <w:tcPr>
            <w:tcW w:w="1620" w:type="dxa"/>
            <w:shd w:val="clear" w:color="auto" w:fill="auto"/>
            <w:vAlign w:val="center"/>
            <w:hideMark/>
          </w:tcPr>
          <w:p w14:paraId="47D37F4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SECCION ADMINISTRACION DE PERSONAL</w:t>
            </w:r>
          </w:p>
        </w:tc>
      </w:tr>
      <w:tr w:rsidR="00D106C9" w:rsidRPr="00D106C9" w14:paraId="7685EE9D" w14:textId="77777777" w:rsidTr="006D7BCD">
        <w:trPr>
          <w:trHeight w:val="1270"/>
          <w:jc w:val="center"/>
        </w:trPr>
        <w:tc>
          <w:tcPr>
            <w:tcW w:w="1837" w:type="dxa"/>
            <w:shd w:val="clear" w:color="auto" w:fill="auto"/>
            <w:vAlign w:val="center"/>
            <w:hideMark/>
          </w:tcPr>
          <w:p w14:paraId="196EDE9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LA ZONA ATLANTICA</w:t>
            </w:r>
          </w:p>
        </w:tc>
        <w:tc>
          <w:tcPr>
            <w:tcW w:w="1865" w:type="dxa"/>
            <w:shd w:val="clear" w:color="auto" w:fill="auto"/>
            <w:vAlign w:val="center"/>
            <w:hideMark/>
          </w:tcPr>
          <w:p w14:paraId="4D5E90D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BIBLIOTECA JUDICIAL</w:t>
            </w:r>
          </w:p>
        </w:tc>
        <w:tc>
          <w:tcPr>
            <w:tcW w:w="1837" w:type="dxa"/>
            <w:shd w:val="clear" w:color="auto" w:fill="auto"/>
            <w:vAlign w:val="center"/>
            <w:hideMark/>
          </w:tcPr>
          <w:p w14:paraId="3FE83C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II CIRCUITO JUDICIAL GUANACASTE (SANTA CRUZ)</w:t>
            </w:r>
          </w:p>
        </w:tc>
        <w:tc>
          <w:tcPr>
            <w:tcW w:w="1620" w:type="dxa"/>
            <w:shd w:val="clear" w:color="auto" w:fill="auto"/>
            <w:vAlign w:val="center"/>
            <w:hideMark/>
          </w:tcPr>
          <w:p w14:paraId="4B6ED8F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SUBDELEGACION REGIONAL CAÑAS</w:t>
            </w:r>
          </w:p>
        </w:tc>
      </w:tr>
      <w:tr w:rsidR="00D106C9" w:rsidRPr="00D106C9" w14:paraId="64F14BB8" w14:textId="77777777" w:rsidTr="006D7BCD">
        <w:trPr>
          <w:trHeight w:val="1060"/>
          <w:jc w:val="center"/>
        </w:trPr>
        <w:tc>
          <w:tcPr>
            <w:tcW w:w="1837" w:type="dxa"/>
            <w:shd w:val="clear" w:color="auto" w:fill="auto"/>
            <w:vAlign w:val="center"/>
            <w:hideMark/>
          </w:tcPr>
          <w:p w14:paraId="0B2005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I CIRCUITO JUDICIAL GUANACASTE</w:t>
            </w:r>
          </w:p>
        </w:tc>
        <w:tc>
          <w:tcPr>
            <w:tcW w:w="1865" w:type="dxa"/>
            <w:shd w:val="clear" w:color="auto" w:fill="auto"/>
            <w:vAlign w:val="center"/>
            <w:hideMark/>
          </w:tcPr>
          <w:p w14:paraId="667C30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CONCILIACION DEL PODER JUDICIAL</w:t>
            </w:r>
          </w:p>
        </w:tc>
        <w:tc>
          <w:tcPr>
            <w:tcW w:w="1837" w:type="dxa"/>
            <w:shd w:val="clear" w:color="auto" w:fill="auto"/>
            <w:vAlign w:val="center"/>
            <w:hideMark/>
          </w:tcPr>
          <w:p w14:paraId="456680D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DEL II CIRCUITO JUDICIAL DE ALAJUELA</w:t>
            </w:r>
          </w:p>
        </w:tc>
        <w:tc>
          <w:tcPr>
            <w:tcW w:w="1620" w:type="dxa"/>
            <w:shd w:val="clear" w:color="auto" w:fill="auto"/>
            <w:vAlign w:val="center"/>
            <w:hideMark/>
          </w:tcPr>
          <w:p w14:paraId="0869FB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SUBPROCESO DE GESTION ADMINISTRATIVA Y DESARROLLO</w:t>
            </w:r>
          </w:p>
        </w:tc>
      </w:tr>
      <w:tr w:rsidR="00D106C9" w:rsidRPr="00D106C9" w14:paraId="440E4348" w14:textId="77777777" w:rsidTr="006D7BCD">
        <w:trPr>
          <w:trHeight w:val="1270"/>
          <w:jc w:val="center"/>
        </w:trPr>
        <w:tc>
          <w:tcPr>
            <w:tcW w:w="1837" w:type="dxa"/>
            <w:shd w:val="clear" w:color="auto" w:fill="auto"/>
            <w:vAlign w:val="center"/>
            <w:hideMark/>
          </w:tcPr>
          <w:p w14:paraId="17F2AF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ADMINISTRACION REGIONAL QUEPOS</w:t>
            </w:r>
          </w:p>
        </w:tc>
        <w:tc>
          <w:tcPr>
            <w:tcW w:w="1865" w:type="dxa"/>
            <w:shd w:val="clear" w:color="auto" w:fill="auto"/>
            <w:vAlign w:val="center"/>
            <w:hideMark/>
          </w:tcPr>
          <w:p w14:paraId="543B24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CONCILIACION, SEDE I CIRCUITO JUDICIAL DE ALAJUELA</w:t>
            </w:r>
          </w:p>
        </w:tc>
        <w:tc>
          <w:tcPr>
            <w:tcW w:w="1837" w:type="dxa"/>
            <w:shd w:val="clear" w:color="auto" w:fill="auto"/>
            <w:vAlign w:val="center"/>
            <w:hideMark/>
          </w:tcPr>
          <w:p w14:paraId="7BE2670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VIOL. DOM. Y PROT. CAUT. III CIRC. JUD. ALAJUELA (SAN RAMON)</w:t>
            </w:r>
          </w:p>
        </w:tc>
        <w:tc>
          <w:tcPr>
            <w:tcW w:w="1620" w:type="dxa"/>
            <w:shd w:val="clear" w:color="auto" w:fill="auto"/>
            <w:vAlign w:val="center"/>
            <w:hideMark/>
          </w:tcPr>
          <w:p w14:paraId="379757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APELACION CIVIL Y TRABAJO ZONA ATLANTICA (SEDE LIMON)</w:t>
            </w:r>
          </w:p>
        </w:tc>
      </w:tr>
      <w:tr w:rsidR="00D106C9" w:rsidRPr="00D106C9" w14:paraId="37CDD1D6" w14:textId="77777777" w:rsidTr="006D7BCD">
        <w:trPr>
          <w:trHeight w:val="1270"/>
          <w:jc w:val="center"/>
        </w:trPr>
        <w:tc>
          <w:tcPr>
            <w:tcW w:w="1837" w:type="dxa"/>
            <w:shd w:val="clear" w:color="auto" w:fill="auto"/>
            <w:vAlign w:val="center"/>
            <w:hideMark/>
          </w:tcPr>
          <w:p w14:paraId="7237F5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DE PROBIDAD, TRANSPARENCIA Y ANTICORRUPCION</w:t>
            </w:r>
          </w:p>
        </w:tc>
        <w:tc>
          <w:tcPr>
            <w:tcW w:w="1865" w:type="dxa"/>
            <w:shd w:val="clear" w:color="auto" w:fill="auto"/>
            <w:vAlign w:val="center"/>
            <w:hideMark/>
          </w:tcPr>
          <w:p w14:paraId="67D303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DEPARTAMENTO DE PRENSA Y comunicación ORGANIZACIONAL</w:t>
            </w:r>
          </w:p>
        </w:tc>
        <w:tc>
          <w:tcPr>
            <w:tcW w:w="1837" w:type="dxa"/>
            <w:shd w:val="clear" w:color="auto" w:fill="auto"/>
            <w:vAlign w:val="center"/>
            <w:hideMark/>
          </w:tcPr>
          <w:p w14:paraId="2543B02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ESPECIALIZADO DE COBRO II CIRCUITO JUDICIAL DE SAN JOSE</w:t>
            </w:r>
          </w:p>
        </w:tc>
        <w:tc>
          <w:tcPr>
            <w:tcW w:w="1620" w:type="dxa"/>
            <w:shd w:val="clear" w:color="auto" w:fill="auto"/>
            <w:vAlign w:val="center"/>
            <w:hideMark/>
          </w:tcPr>
          <w:p w14:paraId="30C95B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FAMILIA</w:t>
            </w:r>
          </w:p>
        </w:tc>
      </w:tr>
      <w:tr w:rsidR="00D106C9" w:rsidRPr="00D106C9" w14:paraId="7F59134B" w14:textId="77777777" w:rsidTr="006D7BCD">
        <w:trPr>
          <w:trHeight w:val="1480"/>
          <w:jc w:val="center"/>
        </w:trPr>
        <w:tc>
          <w:tcPr>
            <w:tcW w:w="1837" w:type="dxa"/>
            <w:shd w:val="clear" w:color="auto" w:fill="auto"/>
            <w:vAlign w:val="center"/>
            <w:hideMark/>
          </w:tcPr>
          <w:p w14:paraId="6DF7D3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EJECUCION DE LA PENA</w:t>
            </w:r>
          </w:p>
        </w:tc>
        <w:tc>
          <w:tcPr>
            <w:tcW w:w="1865" w:type="dxa"/>
            <w:shd w:val="clear" w:color="auto" w:fill="auto"/>
            <w:vAlign w:val="center"/>
            <w:hideMark/>
          </w:tcPr>
          <w:p w14:paraId="576AC7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DEPARTAMENTO DE SEGURIDAD</w:t>
            </w:r>
          </w:p>
        </w:tc>
        <w:tc>
          <w:tcPr>
            <w:tcW w:w="1837" w:type="dxa"/>
            <w:shd w:val="clear" w:color="auto" w:fill="auto"/>
            <w:vAlign w:val="center"/>
            <w:hideMark/>
          </w:tcPr>
          <w:p w14:paraId="366A68E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FAMILIA, PENAL JUVENIL, VIOLENCIA DOM. Y PROTECCION CAUTELAR TURRIALBA</w:t>
            </w:r>
          </w:p>
        </w:tc>
        <w:tc>
          <w:tcPr>
            <w:tcW w:w="1620" w:type="dxa"/>
            <w:shd w:val="clear" w:color="auto" w:fill="auto"/>
            <w:vAlign w:val="center"/>
            <w:hideMark/>
          </w:tcPr>
          <w:p w14:paraId="2B47DF9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 CIRCUITO JUDICIAL GUANACASTE, SEDE CAÑAS</w:t>
            </w:r>
          </w:p>
        </w:tc>
      </w:tr>
      <w:tr w:rsidR="00D106C9" w:rsidRPr="00D106C9" w14:paraId="0BE34BCC" w14:textId="77777777" w:rsidTr="006D7BCD">
        <w:trPr>
          <w:trHeight w:val="850"/>
          <w:jc w:val="center"/>
        </w:trPr>
        <w:tc>
          <w:tcPr>
            <w:tcW w:w="1837" w:type="dxa"/>
            <w:shd w:val="clear" w:color="auto" w:fill="auto"/>
            <w:vAlign w:val="center"/>
            <w:hideMark/>
          </w:tcPr>
          <w:p w14:paraId="17461E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FISCALIA ADJUNTA I CIRCUITO JUDICIAL ZONA SUR</w:t>
            </w:r>
          </w:p>
        </w:tc>
        <w:tc>
          <w:tcPr>
            <w:tcW w:w="1865" w:type="dxa"/>
            <w:shd w:val="clear" w:color="auto" w:fill="auto"/>
            <w:noWrap/>
            <w:vAlign w:val="bottom"/>
            <w:hideMark/>
          </w:tcPr>
          <w:p w14:paraId="781F4B09" w14:textId="77777777" w:rsidR="00D106C9" w:rsidRPr="00D106C9" w:rsidRDefault="00D106C9" w:rsidP="00D106C9">
            <w:pPr>
              <w:widowControl w:val="0"/>
              <w:suppressAutoHyphens w:val="0"/>
              <w:autoSpaceDE w:val="0"/>
              <w:autoSpaceDN w:val="0"/>
              <w:adjustRightInd w:val="0"/>
              <w:jc w:val="center"/>
              <w:rPr>
                <w:lang w:eastAsia="es-CR"/>
              </w:rPr>
            </w:pPr>
          </w:p>
        </w:tc>
        <w:tc>
          <w:tcPr>
            <w:tcW w:w="1837" w:type="dxa"/>
            <w:shd w:val="clear" w:color="auto" w:fill="auto"/>
            <w:noWrap/>
            <w:vAlign w:val="bottom"/>
            <w:hideMark/>
          </w:tcPr>
          <w:p w14:paraId="638E9FE3" w14:textId="77777777" w:rsidR="00D106C9" w:rsidRPr="00D106C9" w:rsidRDefault="00D106C9" w:rsidP="00D106C9">
            <w:pPr>
              <w:widowControl w:val="0"/>
              <w:suppressAutoHyphens w:val="0"/>
              <w:autoSpaceDE w:val="0"/>
              <w:autoSpaceDN w:val="0"/>
              <w:adjustRightInd w:val="0"/>
              <w:rPr>
                <w:lang w:eastAsia="es-CR"/>
              </w:rPr>
            </w:pPr>
          </w:p>
        </w:tc>
        <w:tc>
          <w:tcPr>
            <w:tcW w:w="1620" w:type="dxa"/>
            <w:shd w:val="clear" w:color="auto" w:fill="auto"/>
            <w:noWrap/>
            <w:vAlign w:val="bottom"/>
            <w:hideMark/>
          </w:tcPr>
          <w:p w14:paraId="7198BEF9" w14:textId="77777777" w:rsidR="00D106C9" w:rsidRPr="00D106C9" w:rsidRDefault="00D106C9" w:rsidP="00D106C9">
            <w:pPr>
              <w:widowControl w:val="0"/>
              <w:suppressAutoHyphens w:val="0"/>
              <w:autoSpaceDE w:val="0"/>
              <w:autoSpaceDN w:val="0"/>
              <w:adjustRightInd w:val="0"/>
              <w:rPr>
                <w:lang w:eastAsia="es-CR"/>
              </w:rPr>
            </w:pPr>
          </w:p>
        </w:tc>
      </w:tr>
    </w:tbl>
    <w:p w14:paraId="29DF95F8" w14:textId="77777777" w:rsidR="00D106C9" w:rsidRPr="00D106C9" w:rsidRDefault="00D106C9" w:rsidP="00D106C9">
      <w:pPr>
        <w:tabs>
          <w:tab w:val="left" w:pos="993"/>
          <w:tab w:val="left" w:pos="1276"/>
        </w:tabs>
        <w:suppressAutoHyphens w:val="0"/>
        <w:ind w:left="708"/>
        <w:rPr>
          <w:lang w:eastAsia="es-ES"/>
        </w:rPr>
      </w:pPr>
    </w:p>
    <w:p w14:paraId="0189222A" w14:textId="77777777" w:rsidR="00D106C9" w:rsidRPr="00D106C9" w:rsidRDefault="00D106C9" w:rsidP="003B2E9B">
      <w:pPr>
        <w:widowControl w:val="0"/>
        <w:numPr>
          <w:ilvl w:val="0"/>
          <w:numId w:val="82"/>
        </w:numPr>
        <w:tabs>
          <w:tab w:val="left" w:pos="993"/>
          <w:tab w:val="left" w:pos="1276"/>
        </w:tabs>
        <w:suppressAutoHyphens w:val="0"/>
        <w:autoSpaceDE w:val="0"/>
        <w:autoSpaceDN w:val="0"/>
        <w:adjustRightInd w:val="0"/>
        <w:ind w:left="851" w:right="851" w:firstLine="992"/>
        <w:contextualSpacing/>
        <w:jc w:val="both"/>
        <w:rPr>
          <w:lang w:eastAsia="es-ES"/>
        </w:rPr>
      </w:pPr>
      <w:r w:rsidRPr="00D106C9">
        <w:rPr>
          <w:bCs/>
          <w:lang w:eastAsia="es-ES"/>
        </w:rPr>
        <w:t xml:space="preserve">Aprobar el </w:t>
      </w:r>
      <w:r w:rsidRPr="00D106C9">
        <w:rPr>
          <w:b/>
          <w:lang w:eastAsia="es-ES"/>
        </w:rPr>
        <w:t>Plan de Acción</w:t>
      </w:r>
      <w:r w:rsidRPr="00D106C9">
        <w:rPr>
          <w:bCs/>
          <w:lang w:eastAsia="es-ES"/>
        </w:rPr>
        <w:t xml:space="preserve"> expuesto en el apartado 15 de este informe, y comunicarlo a las diferentes instancias judiciales responsables. </w:t>
      </w:r>
      <w:r w:rsidRPr="00D106C9">
        <w:rPr>
          <w:bCs/>
          <w:lang w:eastAsia="es-ES"/>
        </w:rPr>
        <w:lastRenderedPageBreak/>
        <w:t>Este Plan será revisado por el Subproceso de Evaluación de la Dirección de Planificación en el primer semestre del 2022 con el informe de Seguimiento al Plan Anual Operativo 2022.</w:t>
      </w:r>
    </w:p>
    <w:p w14:paraId="04F05B49" w14:textId="77777777" w:rsidR="00D106C9" w:rsidRPr="00D106C9" w:rsidRDefault="00D106C9" w:rsidP="00D106C9">
      <w:pPr>
        <w:suppressAutoHyphens w:val="0"/>
        <w:ind w:left="708"/>
        <w:rPr>
          <w:lang w:eastAsia="es-ES"/>
        </w:rPr>
      </w:pPr>
    </w:p>
    <w:tbl>
      <w:tblPr>
        <w:tblW w:w="10774"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978"/>
        <w:gridCol w:w="1275"/>
        <w:gridCol w:w="3119"/>
        <w:gridCol w:w="3402"/>
      </w:tblGrid>
      <w:tr w:rsidR="00D106C9" w:rsidRPr="00D106C9" w14:paraId="73577E91" w14:textId="77777777" w:rsidTr="006D7BCD">
        <w:trPr>
          <w:trHeight w:val="290"/>
        </w:trPr>
        <w:tc>
          <w:tcPr>
            <w:tcW w:w="2978" w:type="dxa"/>
            <w:shd w:val="clear" w:color="000000" w:fill="0070C0"/>
            <w:vAlign w:val="center"/>
            <w:hideMark/>
          </w:tcPr>
          <w:p w14:paraId="13EAB193" w14:textId="77777777" w:rsidR="00D106C9" w:rsidRPr="00D106C9" w:rsidRDefault="00D106C9" w:rsidP="00D106C9">
            <w:pPr>
              <w:widowControl w:val="0"/>
              <w:suppressAutoHyphens w:val="0"/>
              <w:autoSpaceDE w:val="0"/>
              <w:autoSpaceDN w:val="0"/>
              <w:adjustRightInd w:val="0"/>
              <w:ind w:left="-364" w:firstLine="364"/>
              <w:jc w:val="center"/>
              <w:rPr>
                <w:b/>
                <w:bCs/>
                <w:lang w:eastAsia="es-CR"/>
              </w:rPr>
            </w:pPr>
            <w:r w:rsidRPr="00D106C9">
              <w:rPr>
                <w:b/>
                <w:bCs/>
                <w:lang w:eastAsia="es-CR"/>
              </w:rPr>
              <w:t xml:space="preserve">Actividades </w:t>
            </w:r>
          </w:p>
        </w:tc>
        <w:tc>
          <w:tcPr>
            <w:tcW w:w="1275" w:type="dxa"/>
            <w:shd w:val="clear" w:color="000000" w:fill="0070C0"/>
            <w:vAlign w:val="center"/>
            <w:hideMark/>
          </w:tcPr>
          <w:p w14:paraId="2DAB2044"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Plazo</w:t>
            </w:r>
          </w:p>
        </w:tc>
        <w:tc>
          <w:tcPr>
            <w:tcW w:w="3119" w:type="dxa"/>
            <w:shd w:val="clear" w:color="000000" w:fill="0070C0"/>
            <w:vAlign w:val="center"/>
            <w:hideMark/>
          </w:tcPr>
          <w:p w14:paraId="19018C54"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Responsables</w:t>
            </w:r>
          </w:p>
        </w:tc>
        <w:tc>
          <w:tcPr>
            <w:tcW w:w="3402" w:type="dxa"/>
            <w:shd w:val="clear" w:color="000000" w:fill="0070C0"/>
            <w:vAlign w:val="center"/>
            <w:hideMark/>
          </w:tcPr>
          <w:p w14:paraId="6B714456" w14:textId="77777777" w:rsidR="00D106C9" w:rsidRPr="00D106C9" w:rsidRDefault="00D106C9" w:rsidP="00D106C9">
            <w:pPr>
              <w:widowControl w:val="0"/>
              <w:suppressAutoHyphens w:val="0"/>
              <w:autoSpaceDE w:val="0"/>
              <w:autoSpaceDN w:val="0"/>
              <w:adjustRightInd w:val="0"/>
              <w:jc w:val="center"/>
              <w:rPr>
                <w:b/>
                <w:bCs/>
                <w:lang w:eastAsia="es-CR"/>
              </w:rPr>
            </w:pPr>
            <w:r w:rsidRPr="00D106C9">
              <w:rPr>
                <w:b/>
                <w:bCs/>
                <w:lang w:eastAsia="es-CR"/>
              </w:rPr>
              <w:t>Resultados esperados</w:t>
            </w:r>
          </w:p>
        </w:tc>
      </w:tr>
      <w:tr w:rsidR="00D106C9" w:rsidRPr="00D106C9" w14:paraId="6DBBAE11" w14:textId="77777777" w:rsidTr="006D7BCD">
        <w:trPr>
          <w:trHeight w:val="1050"/>
        </w:trPr>
        <w:tc>
          <w:tcPr>
            <w:tcW w:w="2978" w:type="dxa"/>
            <w:shd w:val="clear" w:color="auto" w:fill="auto"/>
            <w:vAlign w:val="center"/>
            <w:hideMark/>
          </w:tcPr>
          <w:p w14:paraId="7E9F6D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Brindar un seguimiento y acompañamiento a las oficinas que los integran, para que, al término del primer semestre del 2022, el Plan Anual Operativo de cada oficina, registre un avance de al menos un 40% de cumplimiento.</w:t>
            </w:r>
          </w:p>
        </w:tc>
        <w:tc>
          <w:tcPr>
            <w:tcW w:w="1275" w:type="dxa"/>
            <w:shd w:val="clear" w:color="auto" w:fill="auto"/>
            <w:vAlign w:val="center"/>
            <w:hideMark/>
          </w:tcPr>
          <w:p w14:paraId="45292BA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77B875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 Centro Responsabilidad Administración del Primer Circuito Judicial Zona Sur</w:t>
            </w:r>
          </w:p>
        </w:tc>
        <w:tc>
          <w:tcPr>
            <w:tcW w:w="3402" w:type="dxa"/>
            <w:shd w:val="clear" w:color="auto" w:fill="auto"/>
            <w:vAlign w:val="center"/>
            <w:hideMark/>
          </w:tcPr>
          <w:p w14:paraId="39041C3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AB28FC0" w14:textId="77777777" w:rsidTr="006D7BCD">
        <w:trPr>
          <w:trHeight w:val="1050"/>
        </w:trPr>
        <w:tc>
          <w:tcPr>
            <w:tcW w:w="2978" w:type="dxa"/>
            <w:shd w:val="clear" w:color="auto" w:fill="auto"/>
            <w:hideMark/>
          </w:tcPr>
          <w:p w14:paraId="5411A9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Brindar un seguimiento y acompañamiento a las oficinas que los integran, para que, al término del primer semestre del 2022, el Plan Anual Operativo de cada oficina, registre un avance de al menos un 40% de cumplimiento.</w:t>
            </w:r>
          </w:p>
        </w:tc>
        <w:tc>
          <w:tcPr>
            <w:tcW w:w="1275" w:type="dxa"/>
            <w:shd w:val="clear" w:color="auto" w:fill="auto"/>
            <w:vAlign w:val="center"/>
            <w:hideMark/>
          </w:tcPr>
          <w:p w14:paraId="44A35FB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A9BDE3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 Centro Responsabilidad Administración de Osa</w:t>
            </w:r>
          </w:p>
        </w:tc>
        <w:tc>
          <w:tcPr>
            <w:tcW w:w="3402" w:type="dxa"/>
            <w:shd w:val="clear" w:color="auto" w:fill="auto"/>
            <w:vAlign w:val="center"/>
            <w:hideMark/>
          </w:tcPr>
          <w:p w14:paraId="58A91C6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4F0548D" w14:textId="77777777" w:rsidTr="006D7BCD">
        <w:trPr>
          <w:trHeight w:val="1050"/>
        </w:trPr>
        <w:tc>
          <w:tcPr>
            <w:tcW w:w="2978" w:type="dxa"/>
            <w:shd w:val="clear" w:color="auto" w:fill="auto"/>
            <w:hideMark/>
          </w:tcPr>
          <w:p w14:paraId="5F41A2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Brindar un seguimiento y acompañamiento a las oficinas que los integran, para que, al término del primer semestre del 2022, el Plan Anual Operativo de cada oficina, registre un avance de al menos un 40% de cumplimiento.</w:t>
            </w:r>
          </w:p>
        </w:tc>
        <w:tc>
          <w:tcPr>
            <w:tcW w:w="1275" w:type="dxa"/>
            <w:shd w:val="clear" w:color="auto" w:fill="auto"/>
            <w:vAlign w:val="center"/>
            <w:hideMark/>
          </w:tcPr>
          <w:p w14:paraId="740E60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69C78D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 Centro Responsabilidad Administración de Turrialba</w:t>
            </w:r>
          </w:p>
        </w:tc>
        <w:tc>
          <w:tcPr>
            <w:tcW w:w="3402" w:type="dxa"/>
            <w:shd w:val="clear" w:color="auto" w:fill="auto"/>
            <w:vAlign w:val="center"/>
            <w:hideMark/>
          </w:tcPr>
          <w:p w14:paraId="1BD3BC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972D740" w14:textId="77777777" w:rsidTr="006D7BCD">
        <w:trPr>
          <w:trHeight w:val="840"/>
        </w:trPr>
        <w:tc>
          <w:tcPr>
            <w:tcW w:w="2978" w:type="dxa"/>
            <w:shd w:val="clear" w:color="auto" w:fill="auto"/>
            <w:vAlign w:val="center"/>
            <w:hideMark/>
          </w:tcPr>
          <w:p w14:paraId="32E86C7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9967A8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CE88B8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Biblioteca Judicial</w:t>
            </w:r>
          </w:p>
        </w:tc>
        <w:tc>
          <w:tcPr>
            <w:tcW w:w="3402" w:type="dxa"/>
            <w:shd w:val="clear" w:color="auto" w:fill="auto"/>
            <w:vAlign w:val="center"/>
            <w:hideMark/>
          </w:tcPr>
          <w:p w14:paraId="403E84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9D7C997" w14:textId="77777777" w:rsidTr="006D7BCD">
        <w:trPr>
          <w:trHeight w:val="840"/>
        </w:trPr>
        <w:tc>
          <w:tcPr>
            <w:tcW w:w="2978" w:type="dxa"/>
            <w:shd w:val="clear" w:color="auto" w:fill="auto"/>
            <w:hideMark/>
          </w:tcPr>
          <w:p w14:paraId="05B8860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2FA4A8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70904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del Poder Judicial</w:t>
            </w:r>
          </w:p>
        </w:tc>
        <w:tc>
          <w:tcPr>
            <w:tcW w:w="3402" w:type="dxa"/>
            <w:shd w:val="clear" w:color="auto" w:fill="auto"/>
            <w:vAlign w:val="center"/>
            <w:hideMark/>
          </w:tcPr>
          <w:p w14:paraId="20098FA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919B165" w14:textId="77777777" w:rsidTr="006D7BCD">
        <w:trPr>
          <w:trHeight w:val="840"/>
        </w:trPr>
        <w:tc>
          <w:tcPr>
            <w:tcW w:w="2978" w:type="dxa"/>
            <w:shd w:val="clear" w:color="auto" w:fill="auto"/>
            <w:hideMark/>
          </w:tcPr>
          <w:p w14:paraId="565D5EE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70D99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FD90D8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Sede II Circuito Judicial de Alajuela</w:t>
            </w:r>
          </w:p>
        </w:tc>
        <w:tc>
          <w:tcPr>
            <w:tcW w:w="3402" w:type="dxa"/>
            <w:shd w:val="clear" w:color="auto" w:fill="auto"/>
            <w:vAlign w:val="center"/>
            <w:hideMark/>
          </w:tcPr>
          <w:p w14:paraId="04E8914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7AD865C" w14:textId="77777777" w:rsidTr="006D7BCD">
        <w:trPr>
          <w:trHeight w:val="840"/>
        </w:trPr>
        <w:tc>
          <w:tcPr>
            <w:tcW w:w="2978" w:type="dxa"/>
            <w:shd w:val="clear" w:color="auto" w:fill="auto"/>
            <w:hideMark/>
          </w:tcPr>
          <w:p w14:paraId="19B76B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CAE5CF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831B8B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Centro de Conciliación, Sede III Circuito Judicial Alajuela (San Ramon)</w:t>
            </w:r>
          </w:p>
        </w:tc>
        <w:tc>
          <w:tcPr>
            <w:tcW w:w="3402" w:type="dxa"/>
            <w:shd w:val="clear" w:color="auto" w:fill="auto"/>
            <w:vAlign w:val="center"/>
            <w:hideMark/>
          </w:tcPr>
          <w:p w14:paraId="668717E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A7E0159" w14:textId="77777777" w:rsidTr="006D7BCD">
        <w:trPr>
          <w:trHeight w:val="840"/>
        </w:trPr>
        <w:tc>
          <w:tcPr>
            <w:tcW w:w="2978" w:type="dxa"/>
            <w:shd w:val="clear" w:color="auto" w:fill="auto"/>
            <w:hideMark/>
          </w:tcPr>
          <w:p w14:paraId="0708582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62ABD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0A5DF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Comision de la Jurisdicción Agrario y Agroambiental</w:t>
            </w:r>
          </w:p>
        </w:tc>
        <w:tc>
          <w:tcPr>
            <w:tcW w:w="3402" w:type="dxa"/>
            <w:shd w:val="clear" w:color="auto" w:fill="auto"/>
            <w:vAlign w:val="center"/>
            <w:hideMark/>
          </w:tcPr>
          <w:p w14:paraId="4678FC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B8C4621" w14:textId="77777777" w:rsidTr="006D7BCD">
        <w:trPr>
          <w:trHeight w:val="840"/>
        </w:trPr>
        <w:tc>
          <w:tcPr>
            <w:tcW w:w="2978" w:type="dxa"/>
            <w:shd w:val="clear" w:color="auto" w:fill="auto"/>
            <w:hideMark/>
          </w:tcPr>
          <w:p w14:paraId="3F066F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4ED75F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4D4A9D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Comisión de la Jurisdicción Laboral</w:t>
            </w:r>
          </w:p>
        </w:tc>
        <w:tc>
          <w:tcPr>
            <w:tcW w:w="3402" w:type="dxa"/>
            <w:shd w:val="clear" w:color="auto" w:fill="auto"/>
            <w:vAlign w:val="center"/>
            <w:hideMark/>
          </w:tcPr>
          <w:p w14:paraId="7D83FCF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76CF92A" w14:textId="77777777" w:rsidTr="006D7BCD">
        <w:trPr>
          <w:trHeight w:val="840"/>
        </w:trPr>
        <w:tc>
          <w:tcPr>
            <w:tcW w:w="2978" w:type="dxa"/>
            <w:shd w:val="clear" w:color="auto" w:fill="auto"/>
            <w:hideMark/>
          </w:tcPr>
          <w:p w14:paraId="5F6B350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2EDE53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2247FF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del I Circ. Jud. de la Zona Atlántica</w:t>
            </w:r>
          </w:p>
        </w:tc>
        <w:tc>
          <w:tcPr>
            <w:tcW w:w="3402" w:type="dxa"/>
            <w:shd w:val="clear" w:color="auto" w:fill="auto"/>
            <w:vAlign w:val="center"/>
            <w:hideMark/>
          </w:tcPr>
          <w:p w14:paraId="3F1AEF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63EBCA7" w14:textId="77777777" w:rsidTr="006D7BCD">
        <w:trPr>
          <w:trHeight w:val="840"/>
        </w:trPr>
        <w:tc>
          <w:tcPr>
            <w:tcW w:w="2978" w:type="dxa"/>
            <w:shd w:val="clear" w:color="auto" w:fill="auto"/>
            <w:hideMark/>
          </w:tcPr>
          <w:p w14:paraId="7A9F744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23BE4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EA91C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Agrario I Circuito Judicial Alajuela</w:t>
            </w:r>
          </w:p>
        </w:tc>
        <w:tc>
          <w:tcPr>
            <w:tcW w:w="3402" w:type="dxa"/>
            <w:shd w:val="clear" w:color="auto" w:fill="auto"/>
            <w:vAlign w:val="center"/>
            <w:hideMark/>
          </w:tcPr>
          <w:p w14:paraId="18C26F9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9705C35" w14:textId="77777777" w:rsidTr="006D7BCD">
        <w:trPr>
          <w:trHeight w:val="840"/>
        </w:trPr>
        <w:tc>
          <w:tcPr>
            <w:tcW w:w="2978" w:type="dxa"/>
            <w:shd w:val="clear" w:color="auto" w:fill="auto"/>
            <w:hideMark/>
          </w:tcPr>
          <w:p w14:paraId="5FD84E9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84C2E3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D956CE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w:t>
            </w:r>
            <w:proofErr w:type="spellStart"/>
            <w:r w:rsidRPr="00D106C9">
              <w:rPr>
                <w:lang w:eastAsia="es-CR"/>
              </w:rPr>
              <w:t>Civ</w:t>
            </w:r>
            <w:proofErr w:type="spellEnd"/>
            <w:r w:rsidRPr="00D106C9">
              <w:rPr>
                <w:lang w:eastAsia="es-CR"/>
              </w:rPr>
              <w:t xml:space="preserve">, </w:t>
            </w:r>
            <w:proofErr w:type="spellStart"/>
            <w:r w:rsidRPr="00D106C9">
              <w:rPr>
                <w:lang w:eastAsia="es-CR"/>
              </w:rPr>
              <w:t>Tra</w:t>
            </w:r>
            <w:proofErr w:type="spellEnd"/>
            <w:r w:rsidRPr="00D106C9">
              <w:rPr>
                <w:lang w:eastAsia="es-CR"/>
              </w:rPr>
              <w:t xml:space="preserve">, </w:t>
            </w:r>
            <w:proofErr w:type="spellStart"/>
            <w:r w:rsidRPr="00D106C9">
              <w:rPr>
                <w:lang w:eastAsia="es-CR"/>
              </w:rPr>
              <w:t>Agr</w:t>
            </w:r>
            <w:proofErr w:type="spellEnd"/>
            <w:r w:rsidRPr="00D106C9">
              <w:rPr>
                <w:lang w:eastAsia="es-CR"/>
              </w:rPr>
              <w:t xml:space="preserve">, Fam, Pen Juv, Vio Dom y Prot </w:t>
            </w:r>
            <w:proofErr w:type="spellStart"/>
            <w:r w:rsidRPr="00D106C9">
              <w:rPr>
                <w:lang w:eastAsia="es-CR"/>
              </w:rPr>
              <w:t>Cau</w:t>
            </w:r>
            <w:proofErr w:type="spellEnd"/>
            <w:r w:rsidRPr="00D106C9">
              <w:rPr>
                <w:lang w:eastAsia="es-CR"/>
              </w:rPr>
              <w:t xml:space="preserve"> II Cir Jud Ala, Sede Upala</w:t>
            </w:r>
          </w:p>
        </w:tc>
        <w:tc>
          <w:tcPr>
            <w:tcW w:w="3402" w:type="dxa"/>
            <w:shd w:val="clear" w:color="auto" w:fill="auto"/>
            <w:vAlign w:val="center"/>
            <w:hideMark/>
          </w:tcPr>
          <w:p w14:paraId="18810A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6F7BAF7" w14:textId="77777777" w:rsidTr="006D7BCD">
        <w:trPr>
          <w:trHeight w:val="840"/>
        </w:trPr>
        <w:tc>
          <w:tcPr>
            <w:tcW w:w="2978" w:type="dxa"/>
            <w:shd w:val="clear" w:color="auto" w:fill="auto"/>
            <w:hideMark/>
          </w:tcPr>
          <w:p w14:paraId="568E1A6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49776E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1BA1A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del II Circuito Judicial de Alajuela</w:t>
            </w:r>
          </w:p>
        </w:tc>
        <w:tc>
          <w:tcPr>
            <w:tcW w:w="3402" w:type="dxa"/>
            <w:shd w:val="clear" w:color="auto" w:fill="auto"/>
            <w:vAlign w:val="center"/>
            <w:hideMark/>
          </w:tcPr>
          <w:p w14:paraId="3B9B11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4769150" w14:textId="77777777" w:rsidTr="006D7BCD">
        <w:trPr>
          <w:trHeight w:val="840"/>
        </w:trPr>
        <w:tc>
          <w:tcPr>
            <w:tcW w:w="2978" w:type="dxa"/>
            <w:shd w:val="clear" w:color="auto" w:fill="auto"/>
            <w:hideMark/>
          </w:tcPr>
          <w:p w14:paraId="28CC7D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7E66E6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E2764D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 Grecia</w:t>
            </w:r>
          </w:p>
        </w:tc>
        <w:tc>
          <w:tcPr>
            <w:tcW w:w="3402" w:type="dxa"/>
            <w:shd w:val="clear" w:color="auto" w:fill="auto"/>
            <w:vAlign w:val="center"/>
            <w:hideMark/>
          </w:tcPr>
          <w:p w14:paraId="7853DDF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4221BE9" w14:textId="77777777" w:rsidTr="006D7BCD">
        <w:trPr>
          <w:trHeight w:val="840"/>
        </w:trPr>
        <w:tc>
          <w:tcPr>
            <w:tcW w:w="2978" w:type="dxa"/>
            <w:shd w:val="clear" w:color="auto" w:fill="auto"/>
            <w:hideMark/>
          </w:tcPr>
          <w:p w14:paraId="13B182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BE4892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96F626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 Quepos</w:t>
            </w:r>
          </w:p>
        </w:tc>
        <w:tc>
          <w:tcPr>
            <w:tcW w:w="3402" w:type="dxa"/>
            <w:shd w:val="clear" w:color="auto" w:fill="auto"/>
            <w:vAlign w:val="center"/>
            <w:hideMark/>
          </w:tcPr>
          <w:p w14:paraId="312003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C1DEAF5" w14:textId="77777777" w:rsidTr="006D7BCD">
        <w:trPr>
          <w:trHeight w:val="840"/>
        </w:trPr>
        <w:tc>
          <w:tcPr>
            <w:tcW w:w="2978" w:type="dxa"/>
            <w:shd w:val="clear" w:color="auto" w:fill="auto"/>
            <w:hideMark/>
          </w:tcPr>
          <w:p w14:paraId="1B957B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0B896B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47AC5E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del I Circuito Judicial de la Zona Sur</w:t>
            </w:r>
          </w:p>
        </w:tc>
        <w:tc>
          <w:tcPr>
            <w:tcW w:w="3402" w:type="dxa"/>
            <w:shd w:val="clear" w:color="auto" w:fill="auto"/>
            <w:vAlign w:val="center"/>
            <w:hideMark/>
          </w:tcPr>
          <w:p w14:paraId="0506AC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12D15CC" w14:textId="77777777" w:rsidTr="006D7BCD">
        <w:trPr>
          <w:trHeight w:val="840"/>
        </w:trPr>
        <w:tc>
          <w:tcPr>
            <w:tcW w:w="2978" w:type="dxa"/>
            <w:shd w:val="clear" w:color="auto" w:fill="auto"/>
            <w:hideMark/>
          </w:tcPr>
          <w:p w14:paraId="52CBB5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BFD3E7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D5249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II Circ. Jud. de Guanacaste</w:t>
            </w:r>
          </w:p>
        </w:tc>
        <w:tc>
          <w:tcPr>
            <w:tcW w:w="3402" w:type="dxa"/>
            <w:shd w:val="clear" w:color="auto" w:fill="auto"/>
            <w:vAlign w:val="center"/>
            <w:hideMark/>
          </w:tcPr>
          <w:p w14:paraId="08E701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B6B7491" w14:textId="77777777" w:rsidTr="006D7BCD">
        <w:trPr>
          <w:trHeight w:val="840"/>
        </w:trPr>
        <w:tc>
          <w:tcPr>
            <w:tcW w:w="2978" w:type="dxa"/>
            <w:shd w:val="clear" w:color="auto" w:fill="auto"/>
            <w:hideMark/>
          </w:tcPr>
          <w:p w14:paraId="59A9FC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95B53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F9F03F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y Trabajo II Circuito Judicial Zona Sur</w:t>
            </w:r>
          </w:p>
        </w:tc>
        <w:tc>
          <w:tcPr>
            <w:tcW w:w="3402" w:type="dxa"/>
            <w:shd w:val="clear" w:color="auto" w:fill="auto"/>
            <w:vAlign w:val="center"/>
            <w:hideMark/>
          </w:tcPr>
          <w:p w14:paraId="4267992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00D10F9" w14:textId="77777777" w:rsidTr="006D7BCD">
        <w:trPr>
          <w:trHeight w:val="840"/>
        </w:trPr>
        <w:tc>
          <w:tcPr>
            <w:tcW w:w="2978" w:type="dxa"/>
            <w:shd w:val="clear" w:color="auto" w:fill="auto"/>
            <w:hideMark/>
          </w:tcPr>
          <w:p w14:paraId="04639A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C3544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2A3A9E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Trab, Fam, Agra, Penal Juv, </w:t>
            </w:r>
            <w:proofErr w:type="spellStart"/>
            <w:r w:rsidRPr="00D106C9">
              <w:rPr>
                <w:lang w:eastAsia="es-CR"/>
              </w:rPr>
              <w:t>Viol</w:t>
            </w:r>
            <w:proofErr w:type="spellEnd"/>
            <w:r w:rsidRPr="00D106C9">
              <w:rPr>
                <w:lang w:eastAsia="es-CR"/>
              </w:rPr>
              <w:t xml:space="preserve"> Dom y Prot Cautelar Buenos Aires</w:t>
            </w:r>
          </w:p>
        </w:tc>
        <w:tc>
          <w:tcPr>
            <w:tcW w:w="3402" w:type="dxa"/>
            <w:shd w:val="clear" w:color="auto" w:fill="auto"/>
            <w:vAlign w:val="center"/>
            <w:hideMark/>
          </w:tcPr>
          <w:p w14:paraId="7BBA95A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E6F6321" w14:textId="77777777" w:rsidTr="006D7BCD">
        <w:trPr>
          <w:trHeight w:val="840"/>
        </w:trPr>
        <w:tc>
          <w:tcPr>
            <w:tcW w:w="2978" w:type="dxa"/>
            <w:shd w:val="clear" w:color="auto" w:fill="auto"/>
            <w:hideMark/>
          </w:tcPr>
          <w:p w14:paraId="5050F58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CE70F8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74CB5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 Cautelar Puriscal</w:t>
            </w:r>
          </w:p>
        </w:tc>
        <w:tc>
          <w:tcPr>
            <w:tcW w:w="3402" w:type="dxa"/>
            <w:shd w:val="clear" w:color="auto" w:fill="auto"/>
            <w:vAlign w:val="center"/>
            <w:hideMark/>
          </w:tcPr>
          <w:p w14:paraId="34DD721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D0905CE" w14:textId="77777777" w:rsidTr="006D7BCD">
        <w:trPr>
          <w:trHeight w:val="840"/>
        </w:trPr>
        <w:tc>
          <w:tcPr>
            <w:tcW w:w="2978" w:type="dxa"/>
            <w:shd w:val="clear" w:color="auto" w:fill="auto"/>
            <w:hideMark/>
          </w:tcPr>
          <w:p w14:paraId="023AC3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23652F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7BE6EE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Civil, Trab., Fam., Penal Juv., Violencia Dom. y Protección Cautelar Osa</w:t>
            </w:r>
          </w:p>
        </w:tc>
        <w:tc>
          <w:tcPr>
            <w:tcW w:w="3402" w:type="dxa"/>
            <w:shd w:val="clear" w:color="auto" w:fill="auto"/>
            <w:vAlign w:val="center"/>
            <w:hideMark/>
          </w:tcPr>
          <w:p w14:paraId="655AF2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6E942E7" w14:textId="77777777" w:rsidTr="006D7BCD">
        <w:trPr>
          <w:trHeight w:val="840"/>
        </w:trPr>
        <w:tc>
          <w:tcPr>
            <w:tcW w:w="2978" w:type="dxa"/>
            <w:shd w:val="clear" w:color="auto" w:fill="auto"/>
            <w:hideMark/>
          </w:tcPr>
          <w:p w14:paraId="0E3093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8A2923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FCFF5B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Civil, Trabajo, Familia, Penal Juv, </w:t>
            </w:r>
            <w:proofErr w:type="spellStart"/>
            <w:r w:rsidRPr="00D106C9">
              <w:rPr>
                <w:lang w:eastAsia="es-CR"/>
              </w:rPr>
              <w:t>Viol</w:t>
            </w:r>
            <w:proofErr w:type="spellEnd"/>
            <w:r w:rsidRPr="00D106C9">
              <w:rPr>
                <w:lang w:eastAsia="es-CR"/>
              </w:rPr>
              <w:t xml:space="preserve"> Dom y Prot Cautelar Sarapiquí</w:t>
            </w:r>
          </w:p>
        </w:tc>
        <w:tc>
          <w:tcPr>
            <w:tcW w:w="3402" w:type="dxa"/>
            <w:shd w:val="clear" w:color="auto" w:fill="auto"/>
            <w:vAlign w:val="center"/>
            <w:hideMark/>
          </w:tcPr>
          <w:p w14:paraId="3811334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E8B663C" w14:textId="77777777" w:rsidTr="006D7BCD">
        <w:trPr>
          <w:trHeight w:val="840"/>
        </w:trPr>
        <w:tc>
          <w:tcPr>
            <w:tcW w:w="2978" w:type="dxa"/>
            <w:shd w:val="clear" w:color="auto" w:fill="auto"/>
            <w:hideMark/>
          </w:tcPr>
          <w:p w14:paraId="3DB841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0A4853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2973B4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Contencioso Administrativo y Civil de Hacienda</w:t>
            </w:r>
          </w:p>
        </w:tc>
        <w:tc>
          <w:tcPr>
            <w:tcW w:w="3402" w:type="dxa"/>
            <w:shd w:val="clear" w:color="auto" w:fill="auto"/>
            <w:vAlign w:val="center"/>
            <w:hideMark/>
          </w:tcPr>
          <w:p w14:paraId="1EC9609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F79E363" w14:textId="77777777" w:rsidTr="006D7BCD">
        <w:trPr>
          <w:trHeight w:val="840"/>
        </w:trPr>
        <w:tc>
          <w:tcPr>
            <w:tcW w:w="2978" w:type="dxa"/>
            <w:shd w:val="clear" w:color="auto" w:fill="auto"/>
            <w:hideMark/>
          </w:tcPr>
          <w:p w14:paraId="34DDDC6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E5DDF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25F504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Atenas</w:t>
            </w:r>
          </w:p>
        </w:tc>
        <w:tc>
          <w:tcPr>
            <w:tcW w:w="3402" w:type="dxa"/>
            <w:shd w:val="clear" w:color="auto" w:fill="auto"/>
            <w:vAlign w:val="center"/>
            <w:hideMark/>
          </w:tcPr>
          <w:p w14:paraId="0D9886D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402D292" w14:textId="77777777" w:rsidTr="006D7BCD">
        <w:trPr>
          <w:trHeight w:val="840"/>
        </w:trPr>
        <w:tc>
          <w:tcPr>
            <w:tcW w:w="2978" w:type="dxa"/>
            <w:shd w:val="clear" w:color="auto" w:fill="auto"/>
            <w:hideMark/>
          </w:tcPr>
          <w:p w14:paraId="72151B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EC992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5F93B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Carrillo</w:t>
            </w:r>
          </w:p>
        </w:tc>
        <w:tc>
          <w:tcPr>
            <w:tcW w:w="3402" w:type="dxa"/>
            <w:shd w:val="clear" w:color="auto" w:fill="auto"/>
            <w:vAlign w:val="center"/>
            <w:hideMark/>
          </w:tcPr>
          <w:p w14:paraId="45680E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07488D8" w14:textId="77777777" w:rsidTr="006D7BCD">
        <w:trPr>
          <w:trHeight w:val="840"/>
        </w:trPr>
        <w:tc>
          <w:tcPr>
            <w:tcW w:w="2978" w:type="dxa"/>
            <w:shd w:val="clear" w:color="auto" w:fill="auto"/>
            <w:hideMark/>
          </w:tcPr>
          <w:p w14:paraId="3B55105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960C99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123C7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Grecia</w:t>
            </w:r>
          </w:p>
        </w:tc>
        <w:tc>
          <w:tcPr>
            <w:tcW w:w="3402" w:type="dxa"/>
            <w:shd w:val="clear" w:color="auto" w:fill="auto"/>
            <w:vAlign w:val="center"/>
            <w:hideMark/>
          </w:tcPr>
          <w:p w14:paraId="74B50B0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3DF36ED" w14:textId="77777777" w:rsidTr="006D7BCD">
        <w:trPr>
          <w:trHeight w:val="840"/>
        </w:trPr>
        <w:tc>
          <w:tcPr>
            <w:tcW w:w="2978" w:type="dxa"/>
            <w:shd w:val="clear" w:color="auto" w:fill="auto"/>
            <w:hideMark/>
          </w:tcPr>
          <w:p w14:paraId="71B2B1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F6329D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A495C3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Guácimo</w:t>
            </w:r>
          </w:p>
        </w:tc>
        <w:tc>
          <w:tcPr>
            <w:tcW w:w="3402" w:type="dxa"/>
            <w:shd w:val="clear" w:color="auto" w:fill="auto"/>
            <w:vAlign w:val="center"/>
            <w:hideMark/>
          </w:tcPr>
          <w:p w14:paraId="7B64C4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440CC30" w14:textId="77777777" w:rsidTr="006D7BCD">
        <w:trPr>
          <w:trHeight w:val="840"/>
        </w:trPr>
        <w:tc>
          <w:tcPr>
            <w:tcW w:w="2978" w:type="dxa"/>
            <w:shd w:val="clear" w:color="auto" w:fill="auto"/>
            <w:hideMark/>
          </w:tcPr>
          <w:p w14:paraId="054B1A8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D44C31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1FD4F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Guatuso</w:t>
            </w:r>
          </w:p>
        </w:tc>
        <w:tc>
          <w:tcPr>
            <w:tcW w:w="3402" w:type="dxa"/>
            <w:shd w:val="clear" w:color="auto" w:fill="auto"/>
            <w:vAlign w:val="center"/>
            <w:hideMark/>
          </w:tcPr>
          <w:p w14:paraId="2DE77A0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6EFBAE8" w14:textId="77777777" w:rsidTr="006D7BCD">
        <w:trPr>
          <w:trHeight w:val="840"/>
        </w:trPr>
        <w:tc>
          <w:tcPr>
            <w:tcW w:w="2978" w:type="dxa"/>
            <w:shd w:val="clear" w:color="auto" w:fill="auto"/>
            <w:hideMark/>
          </w:tcPr>
          <w:p w14:paraId="64E6140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99AE1B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5D180B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Jiménez</w:t>
            </w:r>
          </w:p>
        </w:tc>
        <w:tc>
          <w:tcPr>
            <w:tcW w:w="3402" w:type="dxa"/>
            <w:shd w:val="clear" w:color="auto" w:fill="auto"/>
            <w:vAlign w:val="center"/>
            <w:hideMark/>
          </w:tcPr>
          <w:p w14:paraId="0143F3E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841F324" w14:textId="77777777" w:rsidTr="006D7BCD">
        <w:trPr>
          <w:trHeight w:val="840"/>
        </w:trPr>
        <w:tc>
          <w:tcPr>
            <w:tcW w:w="2978" w:type="dxa"/>
            <w:shd w:val="clear" w:color="auto" w:fill="auto"/>
            <w:hideMark/>
          </w:tcPr>
          <w:p w14:paraId="55E22AA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08B1BE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3B9426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los Chiles</w:t>
            </w:r>
          </w:p>
        </w:tc>
        <w:tc>
          <w:tcPr>
            <w:tcW w:w="3402" w:type="dxa"/>
            <w:shd w:val="clear" w:color="auto" w:fill="auto"/>
            <w:vAlign w:val="center"/>
            <w:hideMark/>
          </w:tcPr>
          <w:p w14:paraId="0534738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1458D89" w14:textId="77777777" w:rsidTr="006D7BCD">
        <w:trPr>
          <w:trHeight w:val="840"/>
        </w:trPr>
        <w:tc>
          <w:tcPr>
            <w:tcW w:w="2978" w:type="dxa"/>
            <w:shd w:val="clear" w:color="auto" w:fill="auto"/>
            <w:hideMark/>
          </w:tcPr>
          <w:p w14:paraId="25197CC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DD4A9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283BAB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Nandayure</w:t>
            </w:r>
          </w:p>
        </w:tc>
        <w:tc>
          <w:tcPr>
            <w:tcW w:w="3402" w:type="dxa"/>
            <w:shd w:val="clear" w:color="auto" w:fill="auto"/>
            <w:vAlign w:val="center"/>
            <w:hideMark/>
          </w:tcPr>
          <w:p w14:paraId="529F38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0B1CE6C" w14:textId="77777777" w:rsidTr="006D7BCD">
        <w:trPr>
          <w:trHeight w:val="840"/>
        </w:trPr>
        <w:tc>
          <w:tcPr>
            <w:tcW w:w="2978" w:type="dxa"/>
            <w:shd w:val="clear" w:color="auto" w:fill="auto"/>
            <w:hideMark/>
          </w:tcPr>
          <w:p w14:paraId="2453A0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375379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186346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Parrita</w:t>
            </w:r>
          </w:p>
        </w:tc>
        <w:tc>
          <w:tcPr>
            <w:tcW w:w="3402" w:type="dxa"/>
            <w:shd w:val="clear" w:color="auto" w:fill="auto"/>
            <w:vAlign w:val="center"/>
            <w:hideMark/>
          </w:tcPr>
          <w:p w14:paraId="3383C1E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C6C5742" w14:textId="77777777" w:rsidTr="006D7BCD">
        <w:trPr>
          <w:trHeight w:val="840"/>
        </w:trPr>
        <w:tc>
          <w:tcPr>
            <w:tcW w:w="2978" w:type="dxa"/>
            <w:shd w:val="clear" w:color="auto" w:fill="auto"/>
            <w:hideMark/>
          </w:tcPr>
          <w:p w14:paraId="2048DE7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68BAE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7B66AA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Puerto Jimenez</w:t>
            </w:r>
          </w:p>
        </w:tc>
        <w:tc>
          <w:tcPr>
            <w:tcW w:w="3402" w:type="dxa"/>
            <w:shd w:val="clear" w:color="auto" w:fill="auto"/>
            <w:vAlign w:val="center"/>
            <w:hideMark/>
          </w:tcPr>
          <w:p w14:paraId="0C26ED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49F8F0B" w14:textId="77777777" w:rsidTr="006D7BCD">
        <w:trPr>
          <w:trHeight w:val="840"/>
        </w:trPr>
        <w:tc>
          <w:tcPr>
            <w:tcW w:w="2978" w:type="dxa"/>
            <w:shd w:val="clear" w:color="auto" w:fill="auto"/>
            <w:hideMark/>
          </w:tcPr>
          <w:p w14:paraId="735C565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8693F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8C3EFA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Puriscal</w:t>
            </w:r>
          </w:p>
        </w:tc>
        <w:tc>
          <w:tcPr>
            <w:tcW w:w="3402" w:type="dxa"/>
            <w:shd w:val="clear" w:color="auto" w:fill="auto"/>
            <w:vAlign w:val="center"/>
            <w:hideMark/>
          </w:tcPr>
          <w:p w14:paraId="4FCDC8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9671BF5" w14:textId="77777777" w:rsidTr="006D7BCD">
        <w:trPr>
          <w:trHeight w:val="840"/>
        </w:trPr>
        <w:tc>
          <w:tcPr>
            <w:tcW w:w="2978" w:type="dxa"/>
            <w:shd w:val="clear" w:color="auto" w:fill="auto"/>
            <w:hideMark/>
          </w:tcPr>
          <w:p w14:paraId="183F5AC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18A96E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CCCEDF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San Rafael</w:t>
            </w:r>
          </w:p>
        </w:tc>
        <w:tc>
          <w:tcPr>
            <w:tcW w:w="3402" w:type="dxa"/>
            <w:shd w:val="clear" w:color="auto" w:fill="auto"/>
            <w:vAlign w:val="center"/>
            <w:hideMark/>
          </w:tcPr>
          <w:p w14:paraId="6CD318B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0F2D13F" w14:textId="77777777" w:rsidTr="006D7BCD">
        <w:trPr>
          <w:trHeight w:val="840"/>
        </w:trPr>
        <w:tc>
          <w:tcPr>
            <w:tcW w:w="2978" w:type="dxa"/>
            <w:shd w:val="clear" w:color="auto" w:fill="auto"/>
            <w:hideMark/>
          </w:tcPr>
          <w:p w14:paraId="03A8884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381ED6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A7C824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Santo Domingo</w:t>
            </w:r>
          </w:p>
        </w:tc>
        <w:tc>
          <w:tcPr>
            <w:tcW w:w="3402" w:type="dxa"/>
            <w:shd w:val="clear" w:color="auto" w:fill="auto"/>
            <w:vAlign w:val="center"/>
            <w:hideMark/>
          </w:tcPr>
          <w:p w14:paraId="759F72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E4C79E0" w14:textId="77777777" w:rsidTr="006D7BCD">
        <w:trPr>
          <w:trHeight w:val="840"/>
        </w:trPr>
        <w:tc>
          <w:tcPr>
            <w:tcW w:w="2978" w:type="dxa"/>
            <w:shd w:val="clear" w:color="auto" w:fill="auto"/>
            <w:hideMark/>
          </w:tcPr>
          <w:p w14:paraId="7E521C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F25DA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A47C2D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Siquirres</w:t>
            </w:r>
          </w:p>
        </w:tc>
        <w:tc>
          <w:tcPr>
            <w:tcW w:w="3402" w:type="dxa"/>
            <w:shd w:val="clear" w:color="auto" w:fill="auto"/>
            <w:vAlign w:val="center"/>
            <w:hideMark/>
          </w:tcPr>
          <w:p w14:paraId="0E09855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074DF65" w14:textId="77777777" w:rsidTr="006D7BCD">
        <w:trPr>
          <w:trHeight w:val="840"/>
        </w:trPr>
        <w:tc>
          <w:tcPr>
            <w:tcW w:w="2978" w:type="dxa"/>
            <w:shd w:val="clear" w:color="auto" w:fill="auto"/>
            <w:hideMark/>
          </w:tcPr>
          <w:p w14:paraId="76EC4D1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256F0A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C5A390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Tarrazú, Dota y León Cortes</w:t>
            </w:r>
          </w:p>
        </w:tc>
        <w:tc>
          <w:tcPr>
            <w:tcW w:w="3402" w:type="dxa"/>
            <w:shd w:val="clear" w:color="auto" w:fill="auto"/>
            <w:vAlign w:val="center"/>
            <w:hideMark/>
          </w:tcPr>
          <w:p w14:paraId="6C4A10D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0531ECC" w14:textId="77777777" w:rsidTr="006D7BCD">
        <w:trPr>
          <w:trHeight w:val="840"/>
        </w:trPr>
        <w:tc>
          <w:tcPr>
            <w:tcW w:w="2978" w:type="dxa"/>
            <w:shd w:val="clear" w:color="auto" w:fill="auto"/>
            <w:hideMark/>
          </w:tcPr>
          <w:p w14:paraId="4EAB17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4A06D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99758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Turrubares</w:t>
            </w:r>
          </w:p>
        </w:tc>
        <w:tc>
          <w:tcPr>
            <w:tcW w:w="3402" w:type="dxa"/>
            <w:shd w:val="clear" w:color="auto" w:fill="auto"/>
            <w:vAlign w:val="center"/>
            <w:hideMark/>
          </w:tcPr>
          <w:p w14:paraId="6E1F42D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9653BE6" w14:textId="77777777" w:rsidTr="006D7BCD">
        <w:trPr>
          <w:trHeight w:val="840"/>
        </w:trPr>
        <w:tc>
          <w:tcPr>
            <w:tcW w:w="2978" w:type="dxa"/>
            <w:shd w:val="clear" w:color="auto" w:fill="auto"/>
            <w:hideMark/>
          </w:tcPr>
          <w:p w14:paraId="4FD14E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BAC2FA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7ADC9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de Zarcero</w:t>
            </w:r>
          </w:p>
        </w:tc>
        <w:tc>
          <w:tcPr>
            <w:tcW w:w="3402" w:type="dxa"/>
            <w:shd w:val="clear" w:color="auto" w:fill="auto"/>
            <w:vAlign w:val="center"/>
            <w:hideMark/>
          </w:tcPr>
          <w:p w14:paraId="311262C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E07179B" w14:textId="77777777" w:rsidTr="006D7BCD">
        <w:trPr>
          <w:trHeight w:val="840"/>
        </w:trPr>
        <w:tc>
          <w:tcPr>
            <w:tcW w:w="2978" w:type="dxa"/>
            <w:shd w:val="clear" w:color="auto" w:fill="auto"/>
            <w:hideMark/>
          </w:tcPr>
          <w:p w14:paraId="2BB7AFD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0E170F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3B6C35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 Circ. Jud. de la Zona Atlántica</w:t>
            </w:r>
          </w:p>
        </w:tc>
        <w:tc>
          <w:tcPr>
            <w:tcW w:w="3402" w:type="dxa"/>
            <w:shd w:val="clear" w:color="auto" w:fill="auto"/>
            <w:vAlign w:val="center"/>
            <w:hideMark/>
          </w:tcPr>
          <w:p w14:paraId="3570A8C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96D98CC" w14:textId="77777777" w:rsidTr="006D7BCD">
        <w:trPr>
          <w:trHeight w:val="840"/>
        </w:trPr>
        <w:tc>
          <w:tcPr>
            <w:tcW w:w="2978" w:type="dxa"/>
            <w:shd w:val="clear" w:color="auto" w:fill="auto"/>
            <w:hideMark/>
          </w:tcPr>
          <w:p w14:paraId="31217C3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CA5FF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759D8B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 Circuito Judicial Zona Sur</w:t>
            </w:r>
          </w:p>
        </w:tc>
        <w:tc>
          <w:tcPr>
            <w:tcW w:w="3402" w:type="dxa"/>
            <w:shd w:val="clear" w:color="auto" w:fill="auto"/>
            <w:vAlign w:val="center"/>
            <w:hideMark/>
          </w:tcPr>
          <w:p w14:paraId="0CDA9A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90BE51A" w14:textId="77777777" w:rsidTr="006D7BCD">
        <w:trPr>
          <w:trHeight w:val="840"/>
        </w:trPr>
        <w:tc>
          <w:tcPr>
            <w:tcW w:w="2978" w:type="dxa"/>
            <w:shd w:val="clear" w:color="auto" w:fill="auto"/>
            <w:hideMark/>
          </w:tcPr>
          <w:p w14:paraId="3C8BA6C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548AAE0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6743658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III Circuito Judicial San Jose</w:t>
            </w:r>
          </w:p>
        </w:tc>
        <w:tc>
          <w:tcPr>
            <w:tcW w:w="3402" w:type="dxa"/>
            <w:shd w:val="clear" w:color="auto" w:fill="auto"/>
            <w:vAlign w:val="center"/>
            <w:hideMark/>
          </w:tcPr>
          <w:p w14:paraId="1F9A2F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6F70479" w14:textId="77777777" w:rsidTr="006D7BCD">
        <w:trPr>
          <w:trHeight w:val="840"/>
        </w:trPr>
        <w:tc>
          <w:tcPr>
            <w:tcW w:w="2978" w:type="dxa"/>
            <w:shd w:val="clear" w:color="auto" w:fill="auto"/>
            <w:hideMark/>
          </w:tcPr>
          <w:p w14:paraId="58611F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0FF00D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1D048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Juzgado Contravencional y Pens. </w:t>
            </w:r>
            <w:proofErr w:type="spellStart"/>
            <w:r w:rsidRPr="00D106C9">
              <w:rPr>
                <w:lang w:eastAsia="es-CR"/>
              </w:rPr>
              <w:t>Alimen</w:t>
            </w:r>
            <w:proofErr w:type="spellEnd"/>
            <w:r w:rsidRPr="00D106C9">
              <w:rPr>
                <w:lang w:eastAsia="es-CR"/>
              </w:rPr>
              <w:t>. III Circ. Jud. Alajuela (San Ramon)</w:t>
            </w:r>
          </w:p>
        </w:tc>
        <w:tc>
          <w:tcPr>
            <w:tcW w:w="3402" w:type="dxa"/>
            <w:shd w:val="clear" w:color="auto" w:fill="auto"/>
            <w:vAlign w:val="center"/>
            <w:hideMark/>
          </w:tcPr>
          <w:p w14:paraId="5E77049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275AA43" w14:textId="77777777" w:rsidTr="006D7BCD">
        <w:trPr>
          <w:trHeight w:val="840"/>
        </w:trPr>
        <w:tc>
          <w:tcPr>
            <w:tcW w:w="2978" w:type="dxa"/>
            <w:shd w:val="clear" w:color="auto" w:fill="auto"/>
            <w:hideMark/>
          </w:tcPr>
          <w:p w14:paraId="1D7348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AB55A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A5A9B3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Pensiones Alimentarias I CJ Guanacaste</w:t>
            </w:r>
          </w:p>
        </w:tc>
        <w:tc>
          <w:tcPr>
            <w:tcW w:w="3402" w:type="dxa"/>
            <w:shd w:val="clear" w:color="auto" w:fill="auto"/>
            <w:vAlign w:val="center"/>
            <w:hideMark/>
          </w:tcPr>
          <w:p w14:paraId="1101F08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A964EA5" w14:textId="77777777" w:rsidTr="006D7BCD">
        <w:trPr>
          <w:trHeight w:val="840"/>
        </w:trPr>
        <w:tc>
          <w:tcPr>
            <w:tcW w:w="2978" w:type="dxa"/>
            <w:shd w:val="clear" w:color="auto" w:fill="auto"/>
            <w:hideMark/>
          </w:tcPr>
          <w:p w14:paraId="471194C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88622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CE2065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Contravencional y Tránsito I Circuito Judicial Zona Sur</w:t>
            </w:r>
          </w:p>
        </w:tc>
        <w:tc>
          <w:tcPr>
            <w:tcW w:w="3402" w:type="dxa"/>
            <w:shd w:val="clear" w:color="auto" w:fill="auto"/>
            <w:vAlign w:val="center"/>
            <w:hideMark/>
          </w:tcPr>
          <w:p w14:paraId="261ABB7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1B07AD7" w14:textId="77777777" w:rsidTr="006D7BCD">
        <w:trPr>
          <w:trHeight w:val="840"/>
        </w:trPr>
        <w:tc>
          <w:tcPr>
            <w:tcW w:w="2978" w:type="dxa"/>
            <w:shd w:val="clear" w:color="auto" w:fill="auto"/>
            <w:hideMark/>
          </w:tcPr>
          <w:p w14:paraId="2353F34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6A97E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F764B0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Golfito</w:t>
            </w:r>
          </w:p>
        </w:tc>
        <w:tc>
          <w:tcPr>
            <w:tcW w:w="3402" w:type="dxa"/>
            <w:shd w:val="clear" w:color="auto" w:fill="auto"/>
            <w:vAlign w:val="center"/>
            <w:hideMark/>
          </w:tcPr>
          <w:p w14:paraId="4828D6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488ABB5" w14:textId="77777777" w:rsidTr="006D7BCD">
        <w:trPr>
          <w:trHeight w:val="840"/>
        </w:trPr>
        <w:tc>
          <w:tcPr>
            <w:tcW w:w="2978" w:type="dxa"/>
            <w:shd w:val="clear" w:color="auto" w:fill="auto"/>
            <w:hideMark/>
          </w:tcPr>
          <w:p w14:paraId="4A65744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12AB06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DBDDC0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Heredia</w:t>
            </w:r>
          </w:p>
        </w:tc>
        <w:tc>
          <w:tcPr>
            <w:tcW w:w="3402" w:type="dxa"/>
            <w:shd w:val="clear" w:color="auto" w:fill="auto"/>
            <w:vAlign w:val="center"/>
            <w:hideMark/>
          </w:tcPr>
          <w:p w14:paraId="07AF8B8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109F17A" w14:textId="77777777" w:rsidTr="006D7BCD">
        <w:trPr>
          <w:trHeight w:val="840"/>
        </w:trPr>
        <w:tc>
          <w:tcPr>
            <w:tcW w:w="2978" w:type="dxa"/>
            <w:shd w:val="clear" w:color="auto" w:fill="auto"/>
            <w:hideMark/>
          </w:tcPr>
          <w:p w14:paraId="3A302DA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5540C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4724F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Pococi</w:t>
            </w:r>
          </w:p>
        </w:tc>
        <w:tc>
          <w:tcPr>
            <w:tcW w:w="3402" w:type="dxa"/>
            <w:shd w:val="clear" w:color="auto" w:fill="auto"/>
            <w:vAlign w:val="center"/>
            <w:hideMark/>
          </w:tcPr>
          <w:p w14:paraId="10607F8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B02E86E" w14:textId="77777777" w:rsidTr="006D7BCD">
        <w:trPr>
          <w:trHeight w:val="840"/>
        </w:trPr>
        <w:tc>
          <w:tcPr>
            <w:tcW w:w="2978" w:type="dxa"/>
            <w:shd w:val="clear" w:color="auto" w:fill="auto"/>
            <w:hideMark/>
          </w:tcPr>
          <w:p w14:paraId="5581CA6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F3FDA7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FADE94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 Puntarenas</w:t>
            </w:r>
          </w:p>
        </w:tc>
        <w:tc>
          <w:tcPr>
            <w:tcW w:w="3402" w:type="dxa"/>
            <w:shd w:val="clear" w:color="auto" w:fill="auto"/>
            <w:vAlign w:val="center"/>
            <w:hideMark/>
          </w:tcPr>
          <w:p w14:paraId="4DDAB9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4F60ACF" w14:textId="77777777" w:rsidTr="006D7BCD">
        <w:trPr>
          <w:trHeight w:val="840"/>
        </w:trPr>
        <w:tc>
          <w:tcPr>
            <w:tcW w:w="2978" w:type="dxa"/>
            <w:shd w:val="clear" w:color="auto" w:fill="auto"/>
            <w:hideMark/>
          </w:tcPr>
          <w:p w14:paraId="199BA5A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32F659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C583A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III Circuito Judicial de Alajuela (San Ramón)</w:t>
            </w:r>
          </w:p>
        </w:tc>
        <w:tc>
          <w:tcPr>
            <w:tcW w:w="3402" w:type="dxa"/>
            <w:shd w:val="clear" w:color="auto" w:fill="auto"/>
            <w:vAlign w:val="center"/>
            <w:hideMark/>
          </w:tcPr>
          <w:p w14:paraId="6FC35D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9C50B56" w14:textId="77777777" w:rsidTr="006D7BCD">
        <w:trPr>
          <w:trHeight w:val="840"/>
        </w:trPr>
        <w:tc>
          <w:tcPr>
            <w:tcW w:w="2978" w:type="dxa"/>
            <w:shd w:val="clear" w:color="auto" w:fill="auto"/>
            <w:hideMark/>
          </w:tcPr>
          <w:p w14:paraId="5E09815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DB3AD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11EE74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de Alajuela</w:t>
            </w:r>
          </w:p>
        </w:tc>
        <w:tc>
          <w:tcPr>
            <w:tcW w:w="3402" w:type="dxa"/>
            <w:shd w:val="clear" w:color="auto" w:fill="auto"/>
            <w:vAlign w:val="center"/>
            <w:hideMark/>
          </w:tcPr>
          <w:p w14:paraId="799BD1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05E66D5" w14:textId="77777777" w:rsidTr="006D7BCD">
        <w:trPr>
          <w:trHeight w:val="840"/>
        </w:trPr>
        <w:tc>
          <w:tcPr>
            <w:tcW w:w="2978" w:type="dxa"/>
            <w:shd w:val="clear" w:color="auto" w:fill="auto"/>
            <w:hideMark/>
          </w:tcPr>
          <w:p w14:paraId="4750CE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220A2B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90EF6C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del I Circuito Judicial Zona Atlántica</w:t>
            </w:r>
          </w:p>
        </w:tc>
        <w:tc>
          <w:tcPr>
            <w:tcW w:w="3402" w:type="dxa"/>
            <w:shd w:val="clear" w:color="auto" w:fill="auto"/>
            <w:vAlign w:val="center"/>
            <w:hideMark/>
          </w:tcPr>
          <w:p w14:paraId="0E1F431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0DD2702" w14:textId="77777777" w:rsidTr="006D7BCD">
        <w:trPr>
          <w:trHeight w:val="840"/>
        </w:trPr>
        <w:tc>
          <w:tcPr>
            <w:tcW w:w="2978" w:type="dxa"/>
            <w:shd w:val="clear" w:color="auto" w:fill="auto"/>
            <w:hideMark/>
          </w:tcPr>
          <w:p w14:paraId="209BD5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154D99A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5D0C7D0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 Circuito Judicial Zona Sur</w:t>
            </w:r>
          </w:p>
        </w:tc>
        <w:tc>
          <w:tcPr>
            <w:tcW w:w="3402" w:type="dxa"/>
            <w:shd w:val="clear" w:color="auto" w:fill="auto"/>
            <w:vAlign w:val="center"/>
            <w:hideMark/>
          </w:tcPr>
          <w:p w14:paraId="432440F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9587B62" w14:textId="77777777" w:rsidTr="006D7BCD">
        <w:trPr>
          <w:trHeight w:val="840"/>
        </w:trPr>
        <w:tc>
          <w:tcPr>
            <w:tcW w:w="2978" w:type="dxa"/>
            <w:shd w:val="clear" w:color="auto" w:fill="auto"/>
            <w:hideMark/>
          </w:tcPr>
          <w:p w14:paraId="1F2E6B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2DBACB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07E590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Cobro II Circuito Judicial Guanacaste (Santa Cruz)</w:t>
            </w:r>
          </w:p>
        </w:tc>
        <w:tc>
          <w:tcPr>
            <w:tcW w:w="3402" w:type="dxa"/>
            <w:shd w:val="clear" w:color="auto" w:fill="auto"/>
            <w:vAlign w:val="center"/>
            <w:hideMark/>
          </w:tcPr>
          <w:p w14:paraId="1A2931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25BD07F" w14:textId="77777777" w:rsidTr="006D7BCD">
        <w:trPr>
          <w:trHeight w:val="840"/>
        </w:trPr>
        <w:tc>
          <w:tcPr>
            <w:tcW w:w="2978" w:type="dxa"/>
            <w:shd w:val="clear" w:color="auto" w:fill="auto"/>
            <w:hideMark/>
          </w:tcPr>
          <w:p w14:paraId="12821EF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4EAC4B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D88A7C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Ejecución de la Pena de Puntarenas, Sede Guanacaste</w:t>
            </w:r>
          </w:p>
        </w:tc>
        <w:tc>
          <w:tcPr>
            <w:tcW w:w="3402" w:type="dxa"/>
            <w:shd w:val="clear" w:color="auto" w:fill="auto"/>
            <w:vAlign w:val="center"/>
            <w:hideMark/>
          </w:tcPr>
          <w:p w14:paraId="5E9918D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3E66A36" w14:textId="77777777" w:rsidTr="006D7BCD">
        <w:trPr>
          <w:trHeight w:val="840"/>
        </w:trPr>
        <w:tc>
          <w:tcPr>
            <w:tcW w:w="2978" w:type="dxa"/>
            <w:shd w:val="clear" w:color="auto" w:fill="auto"/>
            <w:hideMark/>
          </w:tcPr>
          <w:p w14:paraId="075A556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F8C26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EB803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Familia II Circuito Jud. de San Jose</w:t>
            </w:r>
          </w:p>
        </w:tc>
        <w:tc>
          <w:tcPr>
            <w:tcW w:w="3402" w:type="dxa"/>
            <w:shd w:val="clear" w:color="auto" w:fill="auto"/>
            <w:vAlign w:val="center"/>
            <w:hideMark/>
          </w:tcPr>
          <w:p w14:paraId="6477683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6131A9E" w14:textId="77777777" w:rsidTr="006D7BCD">
        <w:trPr>
          <w:trHeight w:val="840"/>
        </w:trPr>
        <w:tc>
          <w:tcPr>
            <w:tcW w:w="2978" w:type="dxa"/>
            <w:shd w:val="clear" w:color="auto" w:fill="auto"/>
            <w:hideMark/>
          </w:tcPr>
          <w:p w14:paraId="49857E1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1434ED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E3351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de Heredia</w:t>
            </w:r>
          </w:p>
        </w:tc>
        <w:tc>
          <w:tcPr>
            <w:tcW w:w="3402" w:type="dxa"/>
            <w:shd w:val="clear" w:color="auto" w:fill="auto"/>
            <w:vAlign w:val="center"/>
            <w:hideMark/>
          </w:tcPr>
          <w:p w14:paraId="01BF61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40BC690" w14:textId="77777777" w:rsidTr="006D7BCD">
        <w:trPr>
          <w:trHeight w:val="840"/>
        </w:trPr>
        <w:tc>
          <w:tcPr>
            <w:tcW w:w="2978" w:type="dxa"/>
            <w:shd w:val="clear" w:color="auto" w:fill="auto"/>
            <w:hideMark/>
          </w:tcPr>
          <w:p w14:paraId="45F0E1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4F60B9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E28246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de Santa Cruz</w:t>
            </w:r>
          </w:p>
        </w:tc>
        <w:tc>
          <w:tcPr>
            <w:tcW w:w="3402" w:type="dxa"/>
            <w:shd w:val="clear" w:color="auto" w:fill="auto"/>
            <w:vAlign w:val="center"/>
            <w:hideMark/>
          </w:tcPr>
          <w:p w14:paraId="55088CB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A37D5D7" w14:textId="77777777" w:rsidTr="006D7BCD">
        <w:trPr>
          <w:trHeight w:val="840"/>
        </w:trPr>
        <w:tc>
          <w:tcPr>
            <w:tcW w:w="2978" w:type="dxa"/>
            <w:shd w:val="clear" w:color="auto" w:fill="auto"/>
            <w:hideMark/>
          </w:tcPr>
          <w:p w14:paraId="12CD59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B01B99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C39B3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de Trabajo Segundo Circuito Judicial de San Jose</w:t>
            </w:r>
          </w:p>
        </w:tc>
        <w:tc>
          <w:tcPr>
            <w:tcW w:w="3402" w:type="dxa"/>
            <w:shd w:val="clear" w:color="auto" w:fill="auto"/>
            <w:vAlign w:val="center"/>
            <w:hideMark/>
          </w:tcPr>
          <w:p w14:paraId="0CAE6A7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D2251EE" w14:textId="77777777" w:rsidTr="006D7BCD">
        <w:trPr>
          <w:trHeight w:val="840"/>
        </w:trPr>
        <w:tc>
          <w:tcPr>
            <w:tcW w:w="2978" w:type="dxa"/>
            <w:shd w:val="clear" w:color="auto" w:fill="auto"/>
            <w:hideMark/>
          </w:tcPr>
          <w:p w14:paraId="6B1354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FA9F3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5F22ED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Especializado de Cobro II Circuito Judicial de San Jose</w:t>
            </w:r>
          </w:p>
        </w:tc>
        <w:tc>
          <w:tcPr>
            <w:tcW w:w="3402" w:type="dxa"/>
            <w:shd w:val="clear" w:color="auto" w:fill="auto"/>
            <w:vAlign w:val="center"/>
            <w:hideMark/>
          </w:tcPr>
          <w:p w14:paraId="06FB98D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B9C0DCD" w14:textId="77777777" w:rsidTr="006D7BCD">
        <w:trPr>
          <w:trHeight w:val="840"/>
        </w:trPr>
        <w:tc>
          <w:tcPr>
            <w:tcW w:w="2978" w:type="dxa"/>
            <w:shd w:val="clear" w:color="auto" w:fill="auto"/>
            <w:hideMark/>
          </w:tcPr>
          <w:p w14:paraId="28AE06A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74223C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F63BE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Batán</w:t>
            </w:r>
          </w:p>
        </w:tc>
        <w:tc>
          <w:tcPr>
            <w:tcW w:w="3402" w:type="dxa"/>
            <w:shd w:val="clear" w:color="auto" w:fill="auto"/>
            <w:vAlign w:val="center"/>
            <w:hideMark/>
          </w:tcPr>
          <w:p w14:paraId="308363E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1C12FB6" w14:textId="77777777" w:rsidTr="006D7BCD">
        <w:trPr>
          <w:trHeight w:val="840"/>
        </w:trPr>
        <w:tc>
          <w:tcPr>
            <w:tcW w:w="2978" w:type="dxa"/>
            <w:shd w:val="clear" w:color="auto" w:fill="auto"/>
            <w:hideMark/>
          </w:tcPr>
          <w:p w14:paraId="6CCA41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63F7EA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CEB8F1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Buenos Aires</w:t>
            </w:r>
          </w:p>
        </w:tc>
        <w:tc>
          <w:tcPr>
            <w:tcW w:w="3402" w:type="dxa"/>
            <w:shd w:val="clear" w:color="auto" w:fill="auto"/>
            <w:vAlign w:val="center"/>
            <w:hideMark/>
          </w:tcPr>
          <w:p w14:paraId="23DD09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B0D8B57" w14:textId="77777777" w:rsidTr="006D7BCD">
        <w:trPr>
          <w:trHeight w:val="840"/>
        </w:trPr>
        <w:tc>
          <w:tcPr>
            <w:tcW w:w="2978" w:type="dxa"/>
            <w:shd w:val="clear" w:color="auto" w:fill="auto"/>
            <w:hideMark/>
          </w:tcPr>
          <w:p w14:paraId="1B50414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0E4BA1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1C5311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Coto Brus</w:t>
            </w:r>
          </w:p>
        </w:tc>
        <w:tc>
          <w:tcPr>
            <w:tcW w:w="3402" w:type="dxa"/>
            <w:shd w:val="clear" w:color="auto" w:fill="auto"/>
            <w:vAlign w:val="center"/>
            <w:hideMark/>
          </w:tcPr>
          <w:p w14:paraId="54F94D0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2FCD938" w14:textId="77777777" w:rsidTr="006D7BCD">
        <w:trPr>
          <w:trHeight w:val="840"/>
        </w:trPr>
        <w:tc>
          <w:tcPr>
            <w:tcW w:w="2978" w:type="dxa"/>
            <w:shd w:val="clear" w:color="auto" w:fill="auto"/>
            <w:hideMark/>
          </w:tcPr>
          <w:p w14:paraId="51A77B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213895F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12DE09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Garabito</w:t>
            </w:r>
          </w:p>
        </w:tc>
        <w:tc>
          <w:tcPr>
            <w:tcW w:w="3402" w:type="dxa"/>
            <w:shd w:val="clear" w:color="auto" w:fill="auto"/>
            <w:vAlign w:val="center"/>
            <w:hideMark/>
          </w:tcPr>
          <w:p w14:paraId="6B28457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E876E2D" w14:textId="77777777" w:rsidTr="006D7BCD">
        <w:trPr>
          <w:trHeight w:val="840"/>
        </w:trPr>
        <w:tc>
          <w:tcPr>
            <w:tcW w:w="2978" w:type="dxa"/>
            <w:shd w:val="clear" w:color="auto" w:fill="auto"/>
            <w:hideMark/>
          </w:tcPr>
          <w:p w14:paraId="3925F2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FE0FB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521B60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Golfito</w:t>
            </w:r>
          </w:p>
        </w:tc>
        <w:tc>
          <w:tcPr>
            <w:tcW w:w="3402" w:type="dxa"/>
            <w:shd w:val="clear" w:color="auto" w:fill="auto"/>
            <w:vAlign w:val="center"/>
            <w:hideMark/>
          </w:tcPr>
          <w:p w14:paraId="2950743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5EE9971" w14:textId="77777777" w:rsidTr="006D7BCD">
        <w:trPr>
          <w:trHeight w:val="840"/>
        </w:trPr>
        <w:tc>
          <w:tcPr>
            <w:tcW w:w="2978" w:type="dxa"/>
            <w:shd w:val="clear" w:color="auto" w:fill="auto"/>
            <w:hideMark/>
          </w:tcPr>
          <w:p w14:paraId="7C9A620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9B085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3F5FF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Hatillo</w:t>
            </w:r>
          </w:p>
        </w:tc>
        <w:tc>
          <w:tcPr>
            <w:tcW w:w="3402" w:type="dxa"/>
            <w:shd w:val="clear" w:color="auto" w:fill="auto"/>
            <w:vAlign w:val="center"/>
            <w:hideMark/>
          </w:tcPr>
          <w:p w14:paraId="5F45DAF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2B2E4E8" w14:textId="77777777" w:rsidTr="006D7BCD">
        <w:trPr>
          <w:trHeight w:val="840"/>
        </w:trPr>
        <w:tc>
          <w:tcPr>
            <w:tcW w:w="2978" w:type="dxa"/>
            <w:shd w:val="clear" w:color="auto" w:fill="auto"/>
            <w:hideMark/>
          </w:tcPr>
          <w:p w14:paraId="7D8137B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144A75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1D40E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Heredia</w:t>
            </w:r>
          </w:p>
        </w:tc>
        <w:tc>
          <w:tcPr>
            <w:tcW w:w="3402" w:type="dxa"/>
            <w:shd w:val="clear" w:color="auto" w:fill="auto"/>
            <w:vAlign w:val="center"/>
            <w:hideMark/>
          </w:tcPr>
          <w:p w14:paraId="5F4199B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3774C5A" w14:textId="77777777" w:rsidTr="006D7BCD">
        <w:trPr>
          <w:trHeight w:val="840"/>
        </w:trPr>
        <w:tc>
          <w:tcPr>
            <w:tcW w:w="2978" w:type="dxa"/>
            <w:shd w:val="clear" w:color="auto" w:fill="auto"/>
            <w:hideMark/>
          </w:tcPr>
          <w:p w14:paraId="540499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F913C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1C76D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Osa</w:t>
            </w:r>
          </w:p>
        </w:tc>
        <w:tc>
          <w:tcPr>
            <w:tcW w:w="3402" w:type="dxa"/>
            <w:shd w:val="clear" w:color="auto" w:fill="auto"/>
            <w:vAlign w:val="center"/>
            <w:hideMark/>
          </w:tcPr>
          <w:p w14:paraId="2ACFDDA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F4461DA" w14:textId="77777777" w:rsidTr="006D7BCD">
        <w:trPr>
          <w:trHeight w:val="840"/>
        </w:trPr>
        <w:tc>
          <w:tcPr>
            <w:tcW w:w="2978" w:type="dxa"/>
            <w:shd w:val="clear" w:color="auto" w:fill="auto"/>
            <w:hideMark/>
          </w:tcPr>
          <w:p w14:paraId="12B8D5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7ED751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BB249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Pavas</w:t>
            </w:r>
          </w:p>
        </w:tc>
        <w:tc>
          <w:tcPr>
            <w:tcW w:w="3402" w:type="dxa"/>
            <w:shd w:val="clear" w:color="auto" w:fill="auto"/>
            <w:vAlign w:val="center"/>
            <w:hideMark/>
          </w:tcPr>
          <w:p w14:paraId="11B7B26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C5E6304" w14:textId="77777777" w:rsidTr="006D7BCD">
        <w:trPr>
          <w:trHeight w:val="840"/>
        </w:trPr>
        <w:tc>
          <w:tcPr>
            <w:tcW w:w="2978" w:type="dxa"/>
            <w:shd w:val="clear" w:color="auto" w:fill="auto"/>
            <w:hideMark/>
          </w:tcPr>
          <w:p w14:paraId="0D6ABD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2FECC5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3F0F72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Puntarenas, Sede Cóbano</w:t>
            </w:r>
          </w:p>
        </w:tc>
        <w:tc>
          <w:tcPr>
            <w:tcW w:w="3402" w:type="dxa"/>
            <w:shd w:val="clear" w:color="auto" w:fill="auto"/>
            <w:vAlign w:val="center"/>
            <w:hideMark/>
          </w:tcPr>
          <w:p w14:paraId="1E47323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0A6E3FA" w14:textId="77777777" w:rsidTr="006D7BCD">
        <w:trPr>
          <w:trHeight w:val="840"/>
        </w:trPr>
        <w:tc>
          <w:tcPr>
            <w:tcW w:w="2978" w:type="dxa"/>
            <w:shd w:val="clear" w:color="auto" w:fill="auto"/>
            <w:hideMark/>
          </w:tcPr>
          <w:p w14:paraId="3C094DA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BF582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4955E8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Puriscal</w:t>
            </w:r>
          </w:p>
        </w:tc>
        <w:tc>
          <w:tcPr>
            <w:tcW w:w="3402" w:type="dxa"/>
            <w:shd w:val="clear" w:color="auto" w:fill="auto"/>
            <w:vAlign w:val="center"/>
            <w:hideMark/>
          </w:tcPr>
          <w:p w14:paraId="115839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F8A3AE0" w14:textId="77777777" w:rsidTr="006D7BCD">
        <w:trPr>
          <w:trHeight w:val="840"/>
        </w:trPr>
        <w:tc>
          <w:tcPr>
            <w:tcW w:w="2978" w:type="dxa"/>
            <w:shd w:val="clear" w:color="auto" w:fill="auto"/>
            <w:hideMark/>
          </w:tcPr>
          <w:p w14:paraId="1D849A2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31B9E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59F0D6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Sarapiquí</w:t>
            </w:r>
          </w:p>
        </w:tc>
        <w:tc>
          <w:tcPr>
            <w:tcW w:w="3402" w:type="dxa"/>
            <w:shd w:val="clear" w:color="auto" w:fill="auto"/>
            <w:vAlign w:val="center"/>
            <w:hideMark/>
          </w:tcPr>
          <w:p w14:paraId="51D33AF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CAEAB9B" w14:textId="77777777" w:rsidTr="006D7BCD">
        <w:trPr>
          <w:trHeight w:val="840"/>
        </w:trPr>
        <w:tc>
          <w:tcPr>
            <w:tcW w:w="2978" w:type="dxa"/>
            <w:shd w:val="clear" w:color="auto" w:fill="auto"/>
            <w:hideMark/>
          </w:tcPr>
          <w:p w14:paraId="650163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15C24A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6F5D53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Talamanca</w:t>
            </w:r>
          </w:p>
        </w:tc>
        <w:tc>
          <w:tcPr>
            <w:tcW w:w="3402" w:type="dxa"/>
            <w:shd w:val="clear" w:color="auto" w:fill="auto"/>
            <w:vAlign w:val="center"/>
            <w:hideMark/>
          </w:tcPr>
          <w:p w14:paraId="600220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1008B95" w14:textId="77777777" w:rsidTr="006D7BCD">
        <w:trPr>
          <w:trHeight w:val="840"/>
        </w:trPr>
        <w:tc>
          <w:tcPr>
            <w:tcW w:w="2978" w:type="dxa"/>
            <w:shd w:val="clear" w:color="auto" w:fill="auto"/>
            <w:hideMark/>
          </w:tcPr>
          <w:p w14:paraId="63FA34F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0CE076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AFDB11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Turrialba</w:t>
            </w:r>
          </w:p>
        </w:tc>
        <w:tc>
          <w:tcPr>
            <w:tcW w:w="3402" w:type="dxa"/>
            <w:shd w:val="clear" w:color="auto" w:fill="auto"/>
            <w:vAlign w:val="center"/>
            <w:hideMark/>
          </w:tcPr>
          <w:p w14:paraId="017F70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0CA55C9" w14:textId="77777777" w:rsidTr="006D7BCD">
        <w:trPr>
          <w:trHeight w:val="840"/>
        </w:trPr>
        <w:tc>
          <w:tcPr>
            <w:tcW w:w="2978" w:type="dxa"/>
            <w:shd w:val="clear" w:color="auto" w:fill="auto"/>
            <w:hideMark/>
          </w:tcPr>
          <w:p w14:paraId="5CF77C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1D80F6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77708B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 Upala</w:t>
            </w:r>
          </w:p>
        </w:tc>
        <w:tc>
          <w:tcPr>
            <w:tcW w:w="3402" w:type="dxa"/>
            <w:shd w:val="clear" w:color="auto" w:fill="auto"/>
            <w:vAlign w:val="center"/>
            <w:hideMark/>
          </w:tcPr>
          <w:p w14:paraId="33B278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2AFF05F" w14:textId="77777777" w:rsidTr="006D7BCD">
        <w:trPr>
          <w:trHeight w:val="840"/>
        </w:trPr>
        <w:tc>
          <w:tcPr>
            <w:tcW w:w="2978" w:type="dxa"/>
            <w:shd w:val="clear" w:color="auto" w:fill="auto"/>
            <w:hideMark/>
          </w:tcPr>
          <w:p w14:paraId="4D49DA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5573D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ED293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Alajuela, Sede Atenas</w:t>
            </w:r>
          </w:p>
        </w:tc>
        <w:tc>
          <w:tcPr>
            <w:tcW w:w="3402" w:type="dxa"/>
            <w:shd w:val="clear" w:color="auto" w:fill="auto"/>
            <w:vAlign w:val="center"/>
            <w:hideMark/>
          </w:tcPr>
          <w:p w14:paraId="0F6DCF2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ADF31C3" w14:textId="77777777" w:rsidTr="006D7BCD">
        <w:trPr>
          <w:trHeight w:val="840"/>
        </w:trPr>
        <w:tc>
          <w:tcPr>
            <w:tcW w:w="2978" w:type="dxa"/>
            <w:shd w:val="clear" w:color="auto" w:fill="auto"/>
            <w:hideMark/>
          </w:tcPr>
          <w:p w14:paraId="32A515A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23C506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EE675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Alajuela</w:t>
            </w:r>
          </w:p>
        </w:tc>
        <w:tc>
          <w:tcPr>
            <w:tcW w:w="3402" w:type="dxa"/>
            <w:shd w:val="clear" w:color="auto" w:fill="auto"/>
            <w:vAlign w:val="center"/>
            <w:hideMark/>
          </w:tcPr>
          <w:p w14:paraId="4A3ABF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694F72B" w14:textId="77777777" w:rsidTr="006D7BCD">
        <w:trPr>
          <w:trHeight w:val="840"/>
        </w:trPr>
        <w:tc>
          <w:tcPr>
            <w:tcW w:w="2978" w:type="dxa"/>
            <w:shd w:val="clear" w:color="auto" w:fill="auto"/>
            <w:hideMark/>
          </w:tcPr>
          <w:p w14:paraId="6F84F3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A85655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A8E135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la Zona Atlántica</w:t>
            </w:r>
          </w:p>
        </w:tc>
        <w:tc>
          <w:tcPr>
            <w:tcW w:w="3402" w:type="dxa"/>
            <w:shd w:val="clear" w:color="auto" w:fill="auto"/>
            <w:vAlign w:val="center"/>
            <w:hideMark/>
          </w:tcPr>
          <w:p w14:paraId="478A100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435D3663" w14:textId="77777777" w:rsidTr="006D7BCD">
        <w:trPr>
          <w:trHeight w:val="840"/>
        </w:trPr>
        <w:tc>
          <w:tcPr>
            <w:tcW w:w="2978" w:type="dxa"/>
            <w:shd w:val="clear" w:color="auto" w:fill="auto"/>
            <w:hideMark/>
          </w:tcPr>
          <w:p w14:paraId="6BDAE95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83580D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79CD62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 Circuito Judicial de San Jose</w:t>
            </w:r>
          </w:p>
        </w:tc>
        <w:tc>
          <w:tcPr>
            <w:tcW w:w="3402" w:type="dxa"/>
            <w:shd w:val="clear" w:color="auto" w:fill="auto"/>
            <w:vAlign w:val="center"/>
            <w:hideMark/>
          </w:tcPr>
          <w:p w14:paraId="66CF8CE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78A8449" w14:textId="77777777" w:rsidTr="006D7BCD">
        <w:trPr>
          <w:trHeight w:val="840"/>
        </w:trPr>
        <w:tc>
          <w:tcPr>
            <w:tcW w:w="2978" w:type="dxa"/>
            <w:shd w:val="clear" w:color="auto" w:fill="auto"/>
            <w:hideMark/>
          </w:tcPr>
          <w:p w14:paraId="69FC3D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CDD650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47A9E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II Circuito Judicial de Alajuela, Sede la Fortuna</w:t>
            </w:r>
          </w:p>
        </w:tc>
        <w:tc>
          <w:tcPr>
            <w:tcW w:w="3402" w:type="dxa"/>
            <w:shd w:val="clear" w:color="auto" w:fill="auto"/>
            <w:vAlign w:val="center"/>
            <w:hideMark/>
          </w:tcPr>
          <w:p w14:paraId="0F2EF57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6FB80FF" w14:textId="77777777" w:rsidTr="006D7BCD">
        <w:trPr>
          <w:trHeight w:val="840"/>
        </w:trPr>
        <w:tc>
          <w:tcPr>
            <w:tcW w:w="2978" w:type="dxa"/>
            <w:shd w:val="clear" w:color="auto" w:fill="auto"/>
            <w:hideMark/>
          </w:tcPr>
          <w:p w14:paraId="380199A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070207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89A40A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del II Circuito Judicial de Alajuela, Sede los Chiles</w:t>
            </w:r>
          </w:p>
        </w:tc>
        <w:tc>
          <w:tcPr>
            <w:tcW w:w="3402" w:type="dxa"/>
            <w:shd w:val="clear" w:color="auto" w:fill="auto"/>
            <w:vAlign w:val="center"/>
            <w:hideMark/>
          </w:tcPr>
          <w:p w14:paraId="30B0500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C3D86A5" w14:textId="77777777" w:rsidTr="006D7BCD">
        <w:trPr>
          <w:trHeight w:val="840"/>
        </w:trPr>
        <w:tc>
          <w:tcPr>
            <w:tcW w:w="2978" w:type="dxa"/>
            <w:shd w:val="clear" w:color="auto" w:fill="auto"/>
            <w:hideMark/>
          </w:tcPr>
          <w:p w14:paraId="2990B00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EBD938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9D232A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 Jud. Guanacaste</w:t>
            </w:r>
          </w:p>
        </w:tc>
        <w:tc>
          <w:tcPr>
            <w:tcW w:w="3402" w:type="dxa"/>
            <w:shd w:val="clear" w:color="auto" w:fill="auto"/>
            <w:vAlign w:val="center"/>
            <w:hideMark/>
          </w:tcPr>
          <w:p w14:paraId="4FED435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2B29466" w14:textId="77777777" w:rsidTr="006D7BCD">
        <w:trPr>
          <w:trHeight w:val="840"/>
        </w:trPr>
        <w:tc>
          <w:tcPr>
            <w:tcW w:w="2978" w:type="dxa"/>
            <w:shd w:val="clear" w:color="auto" w:fill="auto"/>
            <w:hideMark/>
          </w:tcPr>
          <w:p w14:paraId="3F6355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0D645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7290E0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Circuito Judicial de San Jose</w:t>
            </w:r>
          </w:p>
        </w:tc>
        <w:tc>
          <w:tcPr>
            <w:tcW w:w="3402" w:type="dxa"/>
            <w:shd w:val="clear" w:color="auto" w:fill="auto"/>
            <w:vAlign w:val="center"/>
            <w:hideMark/>
          </w:tcPr>
          <w:p w14:paraId="1D0C7A0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B5AED25" w14:textId="77777777" w:rsidTr="006D7BCD">
        <w:trPr>
          <w:trHeight w:val="840"/>
        </w:trPr>
        <w:tc>
          <w:tcPr>
            <w:tcW w:w="2978" w:type="dxa"/>
            <w:shd w:val="clear" w:color="auto" w:fill="auto"/>
            <w:hideMark/>
          </w:tcPr>
          <w:p w14:paraId="17F3BA7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C451D8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28BB58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 Circuito Judicial Zona Sur</w:t>
            </w:r>
          </w:p>
        </w:tc>
        <w:tc>
          <w:tcPr>
            <w:tcW w:w="3402" w:type="dxa"/>
            <w:shd w:val="clear" w:color="auto" w:fill="auto"/>
            <w:vAlign w:val="center"/>
            <w:hideMark/>
          </w:tcPr>
          <w:p w14:paraId="44BF56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7898A39" w14:textId="77777777" w:rsidTr="006D7BCD">
        <w:trPr>
          <w:trHeight w:val="840"/>
        </w:trPr>
        <w:tc>
          <w:tcPr>
            <w:tcW w:w="2978" w:type="dxa"/>
            <w:shd w:val="clear" w:color="auto" w:fill="auto"/>
            <w:hideMark/>
          </w:tcPr>
          <w:p w14:paraId="6A4896A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DC797C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D1749D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III Circ. Jud. de Alajuela (San Ramón)</w:t>
            </w:r>
          </w:p>
        </w:tc>
        <w:tc>
          <w:tcPr>
            <w:tcW w:w="3402" w:type="dxa"/>
            <w:shd w:val="clear" w:color="auto" w:fill="auto"/>
            <w:vAlign w:val="center"/>
            <w:hideMark/>
          </w:tcPr>
          <w:p w14:paraId="3179C50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E3117A2" w14:textId="77777777" w:rsidTr="006D7BCD">
        <w:trPr>
          <w:trHeight w:val="840"/>
        </w:trPr>
        <w:tc>
          <w:tcPr>
            <w:tcW w:w="2978" w:type="dxa"/>
            <w:shd w:val="clear" w:color="auto" w:fill="auto"/>
            <w:hideMark/>
          </w:tcPr>
          <w:p w14:paraId="628861E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2520D9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784F484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III Circuito Judicial de San Jose</w:t>
            </w:r>
          </w:p>
        </w:tc>
        <w:tc>
          <w:tcPr>
            <w:tcW w:w="3402" w:type="dxa"/>
            <w:shd w:val="clear" w:color="auto" w:fill="auto"/>
            <w:vAlign w:val="center"/>
            <w:hideMark/>
          </w:tcPr>
          <w:p w14:paraId="149409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13BEC79" w14:textId="77777777" w:rsidTr="006D7BCD">
        <w:trPr>
          <w:trHeight w:val="840"/>
        </w:trPr>
        <w:tc>
          <w:tcPr>
            <w:tcW w:w="2978" w:type="dxa"/>
            <w:shd w:val="clear" w:color="auto" w:fill="auto"/>
            <w:hideMark/>
          </w:tcPr>
          <w:p w14:paraId="0C64673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2D94A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5036BB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Cartago</w:t>
            </w:r>
          </w:p>
        </w:tc>
        <w:tc>
          <w:tcPr>
            <w:tcW w:w="3402" w:type="dxa"/>
            <w:shd w:val="clear" w:color="auto" w:fill="auto"/>
            <w:vAlign w:val="center"/>
            <w:hideMark/>
          </w:tcPr>
          <w:p w14:paraId="4F4766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CDA1DA5" w14:textId="77777777" w:rsidTr="006D7BCD">
        <w:trPr>
          <w:trHeight w:val="840"/>
        </w:trPr>
        <w:tc>
          <w:tcPr>
            <w:tcW w:w="2978" w:type="dxa"/>
            <w:shd w:val="clear" w:color="auto" w:fill="auto"/>
            <w:hideMark/>
          </w:tcPr>
          <w:p w14:paraId="72EB92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267FEC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AA6C3C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Heredia</w:t>
            </w:r>
          </w:p>
        </w:tc>
        <w:tc>
          <w:tcPr>
            <w:tcW w:w="3402" w:type="dxa"/>
            <w:shd w:val="clear" w:color="auto" w:fill="auto"/>
            <w:vAlign w:val="center"/>
            <w:hideMark/>
          </w:tcPr>
          <w:p w14:paraId="6AB1AA2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799870B" w14:textId="77777777" w:rsidTr="006D7BCD">
        <w:trPr>
          <w:trHeight w:val="840"/>
        </w:trPr>
        <w:tc>
          <w:tcPr>
            <w:tcW w:w="2978" w:type="dxa"/>
            <w:shd w:val="clear" w:color="auto" w:fill="auto"/>
            <w:hideMark/>
          </w:tcPr>
          <w:p w14:paraId="16B01D9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D6C94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9995AB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Puntarenas</w:t>
            </w:r>
          </w:p>
        </w:tc>
        <w:tc>
          <w:tcPr>
            <w:tcW w:w="3402" w:type="dxa"/>
            <w:shd w:val="clear" w:color="auto" w:fill="auto"/>
            <w:vAlign w:val="center"/>
            <w:hideMark/>
          </w:tcPr>
          <w:p w14:paraId="1B397D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83CEB90" w14:textId="77777777" w:rsidTr="006D7BCD">
        <w:trPr>
          <w:trHeight w:val="840"/>
        </w:trPr>
        <w:tc>
          <w:tcPr>
            <w:tcW w:w="2978" w:type="dxa"/>
            <w:shd w:val="clear" w:color="auto" w:fill="auto"/>
            <w:hideMark/>
          </w:tcPr>
          <w:p w14:paraId="27DE5A2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834997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4F0AFF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 San Jose</w:t>
            </w:r>
          </w:p>
        </w:tc>
        <w:tc>
          <w:tcPr>
            <w:tcW w:w="3402" w:type="dxa"/>
            <w:shd w:val="clear" w:color="auto" w:fill="auto"/>
            <w:vAlign w:val="center"/>
            <w:hideMark/>
          </w:tcPr>
          <w:p w14:paraId="109B7DF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9D40226" w14:textId="77777777" w:rsidTr="006D7BCD">
        <w:trPr>
          <w:trHeight w:val="840"/>
        </w:trPr>
        <w:tc>
          <w:tcPr>
            <w:tcW w:w="2978" w:type="dxa"/>
            <w:shd w:val="clear" w:color="auto" w:fill="auto"/>
            <w:hideMark/>
          </w:tcPr>
          <w:p w14:paraId="1425C3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7DA92C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73C8AF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del I Circuito Judicial de la Zona Atlántica</w:t>
            </w:r>
          </w:p>
        </w:tc>
        <w:tc>
          <w:tcPr>
            <w:tcW w:w="3402" w:type="dxa"/>
            <w:shd w:val="clear" w:color="auto" w:fill="auto"/>
            <w:vAlign w:val="center"/>
            <w:hideMark/>
          </w:tcPr>
          <w:p w14:paraId="18AB2C6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C00BA86" w14:textId="77777777" w:rsidTr="006D7BCD">
        <w:trPr>
          <w:trHeight w:val="840"/>
        </w:trPr>
        <w:tc>
          <w:tcPr>
            <w:tcW w:w="2978" w:type="dxa"/>
            <w:shd w:val="clear" w:color="auto" w:fill="auto"/>
            <w:hideMark/>
          </w:tcPr>
          <w:p w14:paraId="5563609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07E6E2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D53D4E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 Circuito Judicial Zona Sur</w:t>
            </w:r>
          </w:p>
        </w:tc>
        <w:tc>
          <w:tcPr>
            <w:tcW w:w="3402" w:type="dxa"/>
            <w:shd w:val="clear" w:color="auto" w:fill="auto"/>
            <w:vAlign w:val="center"/>
            <w:hideMark/>
          </w:tcPr>
          <w:p w14:paraId="441CB2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5A30219" w14:textId="77777777" w:rsidTr="006D7BCD">
        <w:trPr>
          <w:trHeight w:val="840"/>
        </w:trPr>
        <w:tc>
          <w:tcPr>
            <w:tcW w:w="2978" w:type="dxa"/>
            <w:shd w:val="clear" w:color="auto" w:fill="auto"/>
            <w:hideMark/>
          </w:tcPr>
          <w:p w14:paraId="6300685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1AEC9C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97F0B9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Alajuela</w:t>
            </w:r>
          </w:p>
        </w:tc>
        <w:tc>
          <w:tcPr>
            <w:tcW w:w="3402" w:type="dxa"/>
            <w:shd w:val="clear" w:color="auto" w:fill="auto"/>
            <w:vAlign w:val="center"/>
            <w:hideMark/>
          </w:tcPr>
          <w:p w14:paraId="29ED74B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9D01010" w14:textId="77777777" w:rsidTr="006D7BCD">
        <w:trPr>
          <w:trHeight w:val="840"/>
        </w:trPr>
        <w:tc>
          <w:tcPr>
            <w:tcW w:w="2978" w:type="dxa"/>
            <w:shd w:val="clear" w:color="auto" w:fill="auto"/>
            <w:hideMark/>
          </w:tcPr>
          <w:p w14:paraId="2994315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536335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B5C952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Atlántica</w:t>
            </w:r>
          </w:p>
        </w:tc>
        <w:tc>
          <w:tcPr>
            <w:tcW w:w="3402" w:type="dxa"/>
            <w:shd w:val="clear" w:color="auto" w:fill="auto"/>
            <w:vAlign w:val="center"/>
            <w:hideMark/>
          </w:tcPr>
          <w:p w14:paraId="29D2DF5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9451D01" w14:textId="77777777" w:rsidTr="006D7BCD">
        <w:trPr>
          <w:trHeight w:val="840"/>
        </w:trPr>
        <w:tc>
          <w:tcPr>
            <w:tcW w:w="2978" w:type="dxa"/>
            <w:shd w:val="clear" w:color="auto" w:fill="auto"/>
            <w:hideMark/>
          </w:tcPr>
          <w:p w14:paraId="5E04F36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EFA9C1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F43313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 Circuito Judicial Zona Sur</w:t>
            </w:r>
          </w:p>
        </w:tc>
        <w:tc>
          <w:tcPr>
            <w:tcW w:w="3402" w:type="dxa"/>
            <w:shd w:val="clear" w:color="auto" w:fill="auto"/>
            <w:vAlign w:val="center"/>
            <w:hideMark/>
          </w:tcPr>
          <w:p w14:paraId="7FC3E56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0A61C44" w14:textId="77777777" w:rsidTr="006D7BCD">
        <w:trPr>
          <w:trHeight w:val="840"/>
        </w:trPr>
        <w:tc>
          <w:tcPr>
            <w:tcW w:w="2978" w:type="dxa"/>
            <w:shd w:val="clear" w:color="auto" w:fill="auto"/>
            <w:hideMark/>
          </w:tcPr>
          <w:p w14:paraId="0B766ED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9868F1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A2C11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Penal Juvenil III Circuito Judicial Alajuela (San Ramón)</w:t>
            </w:r>
          </w:p>
        </w:tc>
        <w:tc>
          <w:tcPr>
            <w:tcW w:w="3402" w:type="dxa"/>
            <w:shd w:val="clear" w:color="auto" w:fill="auto"/>
            <w:vAlign w:val="center"/>
            <w:hideMark/>
          </w:tcPr>
          <w:p w14:paraId="279C42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8BF759D" w14:textId="77777777" w:rsidTr="006D7BCD">
        <w:trPr>
          <w:trHeight w:val="840"/>
        </w:trPr>
        <w:tc>
          <w:tcPr>
            <w:tcW w:w="2978" w:type="dxa"/>
            <w:shd w:val="clear" w:color="auto" w:fill="auto"/>
            <w:hideMark/>
          </w:tcPr>
          <w:p w14:paraId="6F972B1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155C77F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1772B5D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Protección Cautelar Escazú</w:t>
            </w:r>
          </w:p>
        </w:tc>
        <w:tc>
          <w:tcPr>
            <w:tcW w:w="3402" w:type="dxa"/>
            <w:shd w:val="clear" w:color="auto" w:fill="auto"/>
            <w:vAlign w:val="center"/>
            <w:hideMark/>
          </w:tcPr>
          <w:p w14:paraId="26B5D52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341F6BC" w14:textId="77777777" w:rsidTr="006D7BCD">
        <w:trPr>
          <w:trHeight w:val="840"/>
        </w:trPr>
        <w:tc>
          <w:tcPr>
            <w:tcW w:w="2978" w:type="dxa"/>
            <w:shd w:val="clear" w:color="auto" w:fill="auto"/>
            <w:hideMark/>
          </w:tcPr>
          <w:p w14:paraId="540FDB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F594B8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FB4757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Pensiones, Violencia Domestica y Protección Cautelar Pavas</w:t>
            </w:r>
          </w:p>
        </w:tc>
        <w:tc>
          <w:tcPr>
            <w:tcW w:w="3402" w:type="dxa"/>
            <w:shd w:val="clear" w:color="auto" w:fill="auto"/>
            <w:vAlign w:val="center"/>
            <w:hideMark/>
          </w:tcPr>
          <w:p w14:paraId="690BC2E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BA3852C" w14:textId="77777777" w:rsidTr="006D7BCD">
        <w:trPr>
          <w:trHeight w:val="840"/>
        </w:trPr>
        <w:tc>
          <w:tcPr>
            <w:tcW w:w="2978" w:type="dxa"/>
            <w:shd w:val="clear" w:color="auto" w:fill="auto"/>
            <w:hideMark/>
          </w:tcPr>
          <w:p w14:paraId="14A34EB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80F496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D7ECDA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Primero Especializado de Cobro I Circuito Judicial de San Jose</w:t>
            </w:r>
          </w:p>
        </w:tc>
        <w:tc>
          <w:tcPr>
            <w:tcW w:w="3402" w:type="dxa"/>
            <w:shd w:val="clear" w:color="auto" w:fill="auto"/>
            <w:vAlign w:val="center"/>
            <w:hideMark/>
          </w:tcPr>
          <w:p w14:paraId="64A3669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DECAB48" w14:textId="77777777" w:rsidTr="006D7BCD">
        <w:trPr>
          <w:trHeight w:val="840"/>
        </w:trPr>
        <w:tc>
          <w:tcPr>
            <w:tcW w:w="2978" w:type="dxa"/>
            <w:shd w:val="clear" w:color="auto" w:fill="auto"/>
            <w:hideMark/>
          </w:tcPr>
          <w:p w14:paraId="7B38CC6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D06D9D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AE01D7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Juzgado Tercero Especializado de Cobro I Circuito Judicial de San Jose</w:t>
            </w:r>
          </w:p>
        </w:tc>
        <w:tc>
          <w:tcPr>
            <w:tcW w:w="3402" w:type="dxa"/>
            <w:shd w:val="clear" w:color="auto" w:fill="auto"/>
            <w:vAlign w:val="center"/>
            <w:hideMark/>
          </w:tcPr>
          <w:p w14:paraId="22D8457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6268D5A" w14:textId="77777777" w:rsidTr="006D7BCD">
        <w:trPr>
          <w:trHeight w:val="840"/>
        </w:trPr>
        <w:tc>
          <w:tcPr>
            <w:tcW w:w="2978" w:type="dxa"/>
            <w:shd w:val="clear" w:color="auto" w:fill="auto"/>
            <w:hideMark/>
          </w:tcPr>
          <w:p w14:paraId="5B73E1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7AFACE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988BEE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Oficina de Comunicaciones Judiciales I Circuito Judicial Guanacaste</w:t>
            </w:r>
          </w:p>
        </w:tc>
        <w:tc>
          <w:tcPr>
            <w:tcW w:w="3402" w:type="dxa"/>
            <w:shd w:val="clear" w:color="auto" w:fill="auto"/>
            <w:vAlign w:val="center"/>
            <w:hideMark/>
          </w:tcPr>
          <w:p w14:paraId="0E11A6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AA01671" w14:textId="77777777" w:rsidTr="006D7BCD">
        <w:trPr>
          <w:trHeight w:val="840"/>
        </w:trPr>
        <w:tc>
          <w:tcPr>
            <w:tcW w:w="2978" w:type="dxa"/>
            <w:shd w:val="clear" w:color="auto" w:fill="auto"/>
            <w:hideMark/>
          </w:tcPr>
          <w:p w14:paraId="20098F5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9CBACD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5B226C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Sala Segunda</w:t>
            </w:r>
          </w:p>
        </w:tc>
        <w:tc>
          <w:tcPr>
            <w:tcW w:w="3402" w:type="dxa"/>
            <w:shd w:val="clear" w:color="auto" w:fill="auto"/>
            <w:vAlign w:val="center"/>
            <w:hideMark/>
          </w:tcPr>
          <w:p w14:paraId="1E8620A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7125D24" w14:textId="77777777" w:rsidTr="006D7BCD">
        <w:trPr>
          <w:trHeight w:val="840"/>
        </w:trPr>
        <w:tc>
          <w:tcPr>
            <w:tcW w:w="2978" w:type="dxa"/>
            <w:shd w:val="clear" w:color="auto" w:fill="auto"/>
            <w:hideMark/>
          </w:tcPr>
          <w:p w14:paraId="0A89AA1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5E501C2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25533E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Subdelegación Regional de Cañas</w:t>
            </w:r>
          </w:p>
        </w:tc>
        <w:tc>
          <w:tcPr>
            <w:tcW w:w="3402" w:type="dxa"/>
            <w:shd w:val="clear" w:color="auto" w:fill="auto"/>
            <w:vAlign w:val="center"/>
            <w:hideMark/>
          </w:tcPr>
          <w:p w14:paraId="59B3F03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2951B72" w14:textId="77777777" w:rsidTr="006D7BCD">
        <w:trPr>
          <w:trHeight w:val="840"/>
        </w:trPr>
        <w:tc>
          <w:tcPr>
            <w:tcW w:w="2978" w:type="dxa"/>
            <w:shd w:val="clear" w:color="auto" w:fill="auto"/>
            <w:hideMark/>
          </w:tcPr>
          <w:p w14:paraId="468C2A0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A34793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A1A77A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Subproceso de Gestión Administrativa y Desarrollo</w:t>
            </w:r>
          </w:p>
        </w:tc>
        <w:tc>
          <w:tcPr>
            <w:tcW w:w="3402" w:type="dxa"/>
            <w:shd w:val="clear" w:color="auto" w:fill="auto"/>
            <w:vAlign w:val="center"/>
            <w:hideMark/>
          </w:tcPr>
          <w:p w14:paraId="046C877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B36069B" w14:textId="77777777" w:rsidTr="006D7BCD">
        <w:trPr>
          <w:trHeight w:val="840"/>
        </w:trPr>
        <w:tc>
          <w:tcPr>
            <w:tcW w:w="2978" w:type="dxa"/>
            <w:shd w:val="clear" w:color="auto" w:fill="auto"/>
            <w:hideMark/>
          </w:tcPr>
          <w:p w14:paraId="3D4AC7F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8E7447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B3AB0B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Cartago</w:t>
            </w:r>
          </w:p>
        </w:tc>
        <w:tc>
          <w:tcPr>
            <w:tcW w:w="3402" w:type="dxa"/>
            <w:shd w:val="clear" w:color="auto" w:fill="auto"/>
            <w:vAlign w:val="center"/>
            <w:hideMark/>
          </w:tcPr>
          <w:p w14:paraId="7599754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4853379" w14:textId="77777777" w:rsidTr="006D7BCD">
        <w:trPr>
          <w:trHeight w:val="840"/>
        </w:trPr>
        <w:tc>
          <w:tcPr>
            <w:tcW w:w="2978" w:type="dxa"/>
            <w:shd w:val="clear" w:color="auto" w:fill="auto"/>
            <w:hideMark/>
          </w:tcPr>
          <w:p w14:paraId="02A8371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A55109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C6B52E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Heredia</w:t>
            </w:r>
          </w:p>
        </w:tc>
        <w:tc>
          <w:tcPr>
            <w:tcW w:w="3402" w:type="dxa"/>
            <w:shd w:val="clear" w:color="auto" w:fill="auto"/>
            <w:vAlign w:val="center"/>
            <w:hideMark/>
          </w:tcPr>
          <w:p w14:paraId="3C57EF5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85CBC16" w14:textId="77777777" w:rsidTr="006D7BCD">
        <w:trPr>
          <w:trHeight w:val="840"/>
        </w:trPr>
        <w:tc>
          <w:tcPr>
            <w:tcW w:w="2978" w:type="dxa"/>
            <w:shd w:val="clear" w:color="auto" w:fill="auto"/>
            <w:hideMark/>
          </w:tcPr>
          <w:p w14:paraId="5514672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AC5ED8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663539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 Circuito Jud. Zona Sur (Pérez Zeledón)</w:t>
            </w:r>
          </w:p>
        </w:tc>
        <w:tc>
          <w:tcPr>
            <w:tcW w:w="3402" w:type="dxa"/>
            <w:shd w:val="clear" w:color="auto" w:fill="auto"/>
            <w:vAlign w:val="center"/>
            <w:hideMark/>
          </w:tcPr>
          <w:p w14:paraId="22E78E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ABD96DB" w14:textId="77777777" w:rsidTr="006D7BCD">
        <w:trPr>
          <w:trHeight w:val="840"/>
        </w:trPr>
        <w:tc>
          <w:tcPr>
            <w:tcW w:w="2978" w:type="dxa"/>
            <w:shd w:val="clear" w:color="auto" w:fill="auto"/>
            <w:hideMark/>
          </w:tcPr>
          <w:p w14:paraId="08A86B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402C95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09639B8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 Circuito Judicial Alajuela</w:t>
            </w:r>
          </w:p>
        </w:tc>
        <w:tc>
          <w:tcPr>
            <w:tcW w:w="3402" w:type="dxa"/>
            <w:shd w:val="clear" w:color="auto" w:fill="auto"/>
            <w:vAlign w:val="center"/>
            <w:hideMark/>
          </w:tcPr>
          <w:p w14:paraId="4D51EB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104B0CC" w14:textId="77777777" w:rsidTr="006D7BCD">
        <w:trPr>
          <w:trHeight w:val="840"/>
        </w:trPr>
        <w:tc>
          <w:tcPr>
            <w:tcW w:w="2978" w:type="dxa"/>
            <w:shd w:val="clear" w:color="auto" w:fill="auto"/>
            <w:hideMark/>
          </w:tcPr>
          <w:p w14:paraId="365149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773A8C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5B1E277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III Circuito Jud Alajuela (San Ramon)</w:t>
            </w:r>
          </w:p>
        </w:tc>
        <w:tc>
          <w:tcPr>
            <w:tcW w:w="3402" w:type="dxa"/>
            <w:shd w:val="clear" w:color="auto" w:fill="auto"/>
            <w:vAlign w:val="center"/>
            <w:hideMark/>
          </w:tcPr>
          <w:p w14:paraId="2EDDE0C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2A96550" w14:textId="77777777" w:rsidTr="006D7BCD">
        <w:trPr>
          <w:trHeight w:val="840"/>
        </w:trPr>
        <w:tc>
          <w:tcPr>
            <w:tcW w:w="2978" w:type="dxa"/>
            <w:shd w:val="clear" w:color="auto" w:fill="auto"/>
            <w:hideMark/>
          </w:tcPr>
          <w:p w14:paraId="7BFF43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AD3F4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065213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Colegiado Primera Instancia Civil Puntarenas</w:t>
            </w:r>
          </w:p>
        </w:tc>
        <w:tc>
          <w:tcPr>
            <w:tcW w:w="3402" w:type="dxa"/>
            <w:shd w:val="clear" w:color="auto" w:fill="auto"/>
            <w:vAlign w:val="center"/>
            <w:hideMark/>
          </w:tcPr>
          <w:p w14:paraId="42B91D6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09AF58CF" w14:textId="77777777" w:rsidTr="006D7BCD">
        <w:trPr>
          <w:trHeight w:val="840"/>
        </w:trPr>
        <w:tc>
          <w:tcPr>
            <w:tcW w:w="2978" w:type="dxa"/>
            <w:shd w:val="clear" w:color="auto" w:fill="auto"/>
            <w:hideMark/>
          </w:tcPr>
          <w:p w14:paraId="47A08A1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4DDD6D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7D87CB1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Contencioso Administrativo</w:t>
            </w:r>
          </w:p>
        </w:tc>
        <w:tc>
          <w:tcPr>
            <w:tcW w:w="3402" w:type="dxa"/>
            <w:shd w:val="clear" w:color="auto" w:fill="auto"/>
            <w:vAlign w:val="center"/>
            <w:hideMark/>
          </w:tcPr>
          <w:p w14:paraId="5D86712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9D4C578" w14:textId="77777777" w:rsidTr="006D7BCD">
        <w:trPr>
          <w:trHeight w:val="840"/>
        </w:trPr>
        <w:tc>
          <w:tcPr>
            <w:tcW w:w="2978" w:type="dxa"/>
            <w:shd w:val="clear" w:color="auto" w:fill="auto"/>
            <w:hideMark/>
          </w:tcPr>
          <w:p w14:paraId="26EEB1C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2E27CC95"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7E032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Cartago, sede Turrialba</w:t>
            </w:r>
          </w:p>
        </w:tc>
        <w:tc>
          <w:tcPr>
            <w:tcW w:w="3402" w:type="dxa"/>
            <w:shd w:val="clear" w:color="auto" w:fill="auto"/>
            <w:vAlign w:val="center"/>
            <w:hideMark/>
          </w:tcPr>
          <w:p w14:paraId="7EED8A0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2075B51E" w14:textId="77777777" w:rsidTr="006D7BCD">
        <w:trPr>
          <w:trHeight w:val="840"/>
        </w:trPr>
        <w:tc>
          <w:tcPr>
            <w:tcW w:w="2978" w:type="dxa"/>
            <w:shd w:val="clear" w:color="auto" w:fill="auto"/>
            <w:hideMark/>
          </w:tcPr>
          <w:p w14:paraId="72A87CE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4CCDB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204E42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Familia</w:t>
            </w:r>
          </w:p>
        </w:tc>
        <w:tc>
          <w:tcPr>
            <w:tcW w:w="3402" w:type="dxa"/>
            <w:shd w:val="clear" w:color="auto" w:fill="auto"/>
            <w:vAlign w:val="center"/>
            <w:hideMark/>
          </w:tcPr>
          <w:p w14:paraId="10B23A5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414985E" w14:textId="77777777" w:rsidTr="006D7BCD">
        <w:trPr>
          <w:trHeight w:val="840"/>
        </w:trPr>
        <w:tc>
          <w:tcPr>
            <w:tcW w:w="2978" w:type="dxa"/>
            <w:shd w:val="clear" w:color="auto" w:fill="auto"/>
            <w:hideMark/>
          </w:tcPr>
          <w:p w14:paraId="5EB1F44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BF4F9F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302779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Heredia</w:t>
            </w:r>
          </w:p>
        </w:tc>
        <w:tc>
          <w:tcPr>
            <w:tcW w:w="3402" w:type="dxa"/>
            <w:shd w:val="clear" w:color="auto" w:fill="auto"/>
            <w:vAlign w:val="center"/>
            <w:hideMark/>
          </w:tcPr>
          <w:p w14:paraId="757DBEF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D51D09E" w14:textId="77777777" w:rsidTr="006D7BCD">
        <w:trPr>
          <w:trHeight w:val="840"/>
        </w:trPr>
        <w:tc>
          <w:tcPr>
            <w:tcW w:w="2978" w:type="dxa"/>
            <w:shd w:val="clear" w:color="auto" w:fill="auto"/>
            <w:hideMark/>
          </w:tcPr>
          <w:p w14:paraId="552651A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A171EC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40396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 Puntarenas</w:t>
            </w:r>
          </w:p>
        </w:tc>
        <w:tc>
          <w:tcPr>
            <w:tcW w:w="3402" w:type="dxa"/>
            <w:shd w:val="clear" w:color="auto" w:fill="auto"/>
            <w:vAlign w:val="center"/>
            <w:hideMark/>
          </w:tcPr>
          <w:p w14:paraId="38B5462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DDCF135" w14:textId="77777777" w:rsidTr="006D7BCD">
        <w:trPr>
          <w:trHeight w:val="840"/>
        </w:trPr>
        <w:tc>
          <w:tcPr>
            <w:tcW w:w="2978" w:type="dxa"/>
            <w:shd w:val="clear" w:color="auto" w:fill="auto"/>
            <w:hideMark/>
          </w:tcPr>
          <w:p w14:paraId="66BCED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8F318B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108D99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Alajuela</w:t>
            </w:r>
          </w:p>
        </w:tc>
        <w:tc>
          <w:tcPr>
            <w:tcW w:w="3402" w:type="dxa"/>
            <w:shd w:val="clear" w:color="auto" w:fill="auto"/>
            <w:vAlign w:val="center"/>
            <w:hideMark/>
          </w:tcPr>
          <w:p w14:paraId="6B8F272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D9EDD7E" w14:textId="77777777" w:rsidTr="006D7BCD">
        <w:trPr>
          <w:trHeight w:val="840"/>
        </w:trPr>
        <w:tc>
          <w:tcPr>
            <w:tcW w:w="2978" w:type="dxa"/>
            <w:shd w:val="clear" w:color="auto" w:fill="auto"/>
            <w:hideMark/>
          </w:tcPr>
          <w:p w14:paraId="501E5E6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817D79A"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05B70E6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 Circuito Judicial de la Zona Atlántica</w:t>
            </w:r>
          </w:p>
        </w:tc>
        <w:tc>
          <w:tcPr>
            <w:tcW w:w="3402" w:type="dxa"/>
            <w:shd w:val="clear" w:color="auto" w:fill="auto"/>
            <w:vAlign w:val="center"/>
            <w:hideMark/>
          </w:tcPr>
          <w:p w14:paraId="5AB06EF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60C19620" w14:textId="77777777" w:rsidTr="006D7BCD">
        <w:trPr>
          <w:trHeight w:val="840"/>
        </w:trPr>
        <w:tc>
          <w:tcPr>
            <w:tcW w:w="2978" w:type="dxa"/>
            <w:shd w:val="clear" w:color="auto" w:fill="auto"/>
            <w:hideMark/>
          </w:tcPr>
          <w:p w14:paraId="12A3EEB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360A72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9D64D1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 Circuito Judicial de Guanacaste, Sede Santa Cruz</w:t>
            </w:r>
          </w:p>
        </w:tc>
        <w:tc>
          <w:tcPr>
            <w:tcW w:w="3402" w:type="dxa"/>
            <w:shd w:val="clear" w:color="auto" w:fill="auto"/>
            <w:vAlign w:val="center"/>
            <w:hideMark/>
          </w:tcPr>
          <w:p w14:paraId="3D577F7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001FC68" w14:textId="77777777" w:rsidTr="006D7BCD">
        <w:trPr>
          <w:trHeight w:val="840"/>
        </w:trPr>
        <w:tc>
          <w:tcPr>
            <w:tcW w:w="2978" w:type="dxa"/>
            <w:shd w:val="clear" w:color="auto" w:fill="auto"/>
            <w:hideMark/>
          </w:tcPr>
          <w:p w14:paraId="7DA935A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 xml:space="preserve">Implementar las medidas correctivas para que, al término del primer semestre del 2022, el Plan Anual Operativo registre un avance </w:t>
            </w:r>
            <w:r w:rsidRPr="00D106C9">
              <w:rPr>
                <w:lang w:eastAsia="es-CR"/>
              </w:rPr>
              <w:lastRenderedPageBreak/>
              <w:t>de al menos un 40% de cumplimiento.</w:t>
            </w:r>
          </w:p>
        </w:tc>
        <w:tc>
          <w:tcPr>
            <w:tcW w:w="1275" w:type="dxa"/>
            <w:shd w:val="clear" w:color="auto" w:fill="auto"/>
            <w:vAlign w:val="center"/>
            <w:hideMark/>
          </w:tcPr>
          <w:p w14:paraId="5F7CDE7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lastRenderedPageBreak/>
              <w:t>30/6/2022</w:t>
            </w:r>
          </w:p>
        </w:tc>
        <w:tc>
          <w:tcPr>
            <w:tcW w:w="3119" w:type="dxa"/>
            <w:shd w:val="clear" w:color="auto" w:fill="auto"/>
            <w:vAlign w:val="center"/>
            <w:hideMark/>
          </w:tcPr>
          <w:p w14:paraId="546FC3D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 Circuito Judicial de la Zona Atlántica</w:t>
            </w:r>
          </w:p>
        </w:tc>
        <w:tc>
          <w:tcPr>
            <w:tcW w:w="3402" w:type="dxa"/>
            <w:shd w:val="clear" w:color="auto" w:fill="auto"/>
            <w:vAlign w:val="center"/>
            <w:hideMark/>
          </w:tcPr>
          <w:p w14:paraId="5EB7E611"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81C5BFD" w14:textId="77777777" w:rsidTr="006D7BCD">
        <w:trPr>
          <w:trHeight w:val="840"/>
        </w:trPr>
        <w:tc>
          <w:tcPr>
            <w:tcW w:w="2978" w:type="dxa"/>
            <w:shd w:val="clear" w:color="auto" w:fill="auto"/>
            <w:hideMark/>
          </w:tcPr>
          <w:p w14:paraId="773D00A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7A4E6BC4"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D89367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del III Circuito Judicial de Alajuela (San Ramón)</w:t>
            </w:r>
          </w:p>
        </w:tc>
        <w:tc>
          <w:tcPr>
            <w:tcW w:w="3402" w:type="dxa"/>
            <w:shd w:val="clear" w:color="auto" w:fill="auto"/>
            <w:vAlign w:val="center"/>
            <w:hideMark/>
          </w:tcPr>
          <w:p w14:paraId="03FB3B3E"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330B8A3E" w14:textId="77777777" w:rsidTr="006D7BCD">
        <w:trPr>
          <w:trHeight w:val="840"/>
        </w:trPr>
        <w:tc>
          <w:tcPr>
            <w:tcW w:w="2978" w:type="dxa"/>
            <w:shd w:val="clear" w:color="auto" w:fill="auto"/>
            <w:hideMark/>
          </w:tcPr>
          <w:p w14:paraId="5301E807"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0B2F3CB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2E383E93"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 Circuito Judicial Guanacaste</w:t>
            </w:r>
          </w:p>
        </w:tc>
        <w:tc>
          <w:tcPr>
            <w:tcW w:w="3402" w:type="dxa"/>
            <w:shd w:val="clear" w:color="auto" w:fill="auto"/>
            <w:vAlign w:val="center"/>
            <w:hideMark/>
          </w:tcPr>
          <w:p w14:paraId="3EC552F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713B1371" w14:textId="77777777" w:rsidTr="006D7BCD">
        <w:trPr>
          <w:trHeight w:val="840"/>
        </w:trPr>
        <w:tc>
          <w:tcPr>
            <w:tcW w:w="2978" w:type="dxa"/>
            <w:shd w:val="clear" w:color="auto" w:fill="auto"/>
            <w:hideMark/>
          </w:tcPr>
          <w:p w14:paraId="5CC34A2F"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4B01C8DC"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1E838D5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II Circuito Judicial Zona Sur, Sede Golfito</w:t>
            </w:r>
          </w:p>
        </w:tc>
        <w:tc>
          <w:tcPr>
            <w:tcW w:w="3402" w:type="dxa"/>
            <w:shd w:val="clear" w:color="auto" w:fill="auto"/>
            <w:vAlign w:val="center"/>
            <w:hideMark/>
          </w:tcPr>
          <w:p w14:paraId="37D13DC2"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17866CD6" w14:textId="77777777" w:rsidTr="006D7BCD">
        <w:trPr>
          <w:trHeight w:val="840"/>
        </w:trPr>
        <w:tc>
          <w:tcPr>
            <w:tcW w:w="2978" w:type="dxa"/>
            <w:shd w:val="clear" w:color="auto" w:fill="auto"/>
            <w:hideMark/>
          </w:tcPr>
          <w:p w14:paraId="0265B956"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1383BF48"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04DF8FD"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II Circuito Judicial Zona Sur, Sede Osa</w:t>
            </w:r>
          </w:p>
        </w:tc>
        <w:tc>
          <w:tcPr>
            <w:tcW w:w="3402" w:type="dxa"/>
            <w:shd w:val="clear" w:color="auto" w:fill="auto"/>
            <w:vAlign w:val="center"/>
            <w:hideMark/>
          </w:tcPr>
          <w:p w14:paraId="0A55C58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r w:rsidR="00D106C9" w:rsidRPr="00D106C9" w14:paraId="506E901F" w14:textId="77777777" w:rsidTr="006D7BCD">
        <w:trPr>
          <w:trHeight w:val="840"/>
        </w:trPr>
        <w:tc>
          <w:tcPr>
            <w:tcW w:w="2978" w:type="dxa"/>
            <w:shd w:val="clear" w:color="auto" w:fill="auto"/>
            <w:hideMark/>
          </w:tcPr>
          <w:p w14:paraId="1B09FD19"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Implementar las medidas correctivas para que, al término del primer semestre del 2022, el Plan Anual Operativo registre un avance de al menos un 40% de cumplimiento.</w:t>
            </w:r>
          </w:p>
        </w:tc>
        <w:tc>
          <w:tcPr>
            <w:tcW w:w="1275" w:type="dxa"/>
            <w:shd w:val="clear" w:color="auto" w:fill="auto"/>
            <w:vAlign w:val="center"/>
            <w:hideMark/>
          </w:tcPr>
          <w:p w14:paraId="693F7A20"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30/6/2022</w:t>
            </w:r>
          </w:p>
        </w:tc>
        <w:tc>
          <w:tcPr>
            <w:tcW w:w="3119" w:type="dxa"/>
            <w:shd w:val="clear" w:color="auto" w:fill="auto"/>
            <w:vAlign w:val="center"/>
            <w:hideMark/>
          </w:tcPr>
          <w:p w14:paraId="433D19D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Tribunal Primero Colegiado Primera Instancia Civil I Circuito Judicial San Jose</w:t>
            </w:r>
          </w:p>
        </w:tc>
        <w:tc>
          <w:tcPr>
            <w:tcW w:w="3402" w:type="dxa"/>
            <w:shd w:val="clear" w:color="auto" w:fill="auto"/>
            <w:vAlign w:val="center"/>
            <w:hideMark/>
          </w:tcPr>
          <w:p w14:paraId="1A15C68B" w14:textId="77777777" w:rsidR="00D106C9" w:rsidRPr="00D106C9" w:rsidRDefault="00D106C9" w:rsidP="00D106C9">
            <w:pPr>
              <w:widowControl w:val="0"/>
              <w:suppressAutoHyphens w:val="0"/>
              <w:autoSpaceDE w:val="0"/>
              <w:autoSpaceDN w:val="0"/>
              <w:adjustRightInd w:val="0"/>
              <w:jc w:val="center"/>
              <w:rPr>
                <w:lang w:eastAsia="es-CR"/>
              </w:rPr>
            </w:pPr>
            <w:r w:rsidRPr="00D106C9">
              <w:rPr>
                <w:lang w:eastAsia="es-CR"/>
              </w:rPr>
              <w:t>Incremento en el cumplimiento del Plan Anual Operativo del primer semestre 2022</w:t>
            </w:r>
          </w:p>
        </w:tc>
      </w:tr>
    </w:tbl>
    <w:p w14:paraId="3C9BD5FF" w14:textId="77777777" w:rsidR="00D106C9" w:rsidRPr="00D106C9" w:rsidRDefault="00D106C9" w:rsidP="00D106C9">
      <w:pPr>
        <w:suppressAutoHyphens w:val="0"/>
        <w:ind w:left="708"/>
        <w:rPr>
          <w:lang w:eastAsia="es-ES"/>
        </w:rPr>
      </w:pPr>
    </w:p>
    <w:p w14:paraId="416D5E38" w14:textId="77777777" w:rsidR="00D106C9" w:rsidRPr="00D106C9" w:rsidRDefault="00D106C9" w:rsidP="003B2E9B">
      <w:pPr>
        <w:widowControl w:val="0"/>
        <w:numPr>
          <w:ilvl w:val="0"/>
          <w:numId w:val="82"/>
        </w:numPr>
        <w:tabs>
          <w:tab w:val="left" w:pos="993"/>
          <w:tab w:val="left" w:pos="1276"/>
        </w:tabs>
        <w:suppressAutoHyphens w:val="0"/>
        <w:autoSpaceDE w:val="0"/>
        <w:autoSpaceDN w:val="0"/>
        <w:adjustRightInd w:val="0"/>
        <w:ind w:left="851" w:right="851" w:firstLine="992"/>
        <w:contextualSpacing/>
        <w:jc w:val="both"/>
        <w:rPr>
          <w:b/>
          <w:bCs/>
          <w:lang w:eastAsia="es-ES"/>
        </w:rPr>
      </w:pPr>
      <w:r w:rsidRPr="00D106C9">
        <w:rPr>
          <w:lang w:eastAsia="es-ES"/>
        </w:rPr>
        <w:t xml:space="preserve">Aprobar el seguimiento realizado a las recomendaciones del </w:t>
      </w:r>
      <w:r w:rsidRPr="00D106C9">
        <w:rPr>
          <w:lang w:eastAsia="es-ES"/>
        </w:rPr>
        <w:lastRenderedPageBreak/>
        <w:t>informe 1311-PLA-EV-2021, relacionado con el informe semestral de seguimiento de los Planes Anuales Operativos que se muestra en el apartado 16 de este informe.</w:t>
      </w:r>
    </w:p>
    <w:p w14:paraId="1BC4683B" w14:textId="77777777" w:rsidR="00D106C9" w:rsidRPr="00D106C9" w:rsidRDefault="00D106C9" w:rsidP="00D106C9">
      <w:pPr>
        <w:widowControl w:val="0"/>
        <w:suppressAutoHyphens w:val="0"/>
        <w:autoSpaceDE w:val="0"/>
        <w:autoSpaceDN w:val="0"/>
        <w:adjustRightInd w:val="0"/>
        <w:ind w:left="851" w:right="851" w:firstLine="992"/>
        <w:rPr>
          <w:lang w:eastAsia="es-ES"/>
        </w:rPr>
      </w:pPr>
    </w:p>
    <w:p w14:paraId="58DF69C3" w14:textId="77777777" w:rsidR="00D106C9" w:rsidRPr="00D106C9" w:rsidRDefault="00D106C9" w:rsidP="00D106C9">
      <w:pPr>
        <w:widowControl w:val="0"/>
        <w:suppressAutoHyphens w:val="0"/>
        <w:autoSpaceDE w:val="0"/>
        <w:autoSpaceDN w:val="0"/>
        <w:adjustRightInd w:val="0"/>
        <w:ind w:left="851" w:right="851" w:firstLine="992"/>
        <w:rPr>
          <w:b/>
          <w:bCs/>
          <w:lang w:eastAsia="es-ES"/>
        </w:rPr>
      </w:pPr>
      <w:r w:rsidRPr="00D106C9">
        <w:rPr>
          <w:b/>
          <w:bCs/>
          <w:lang w:eastAsia="es-ES"/>
        </w:rPr>
        <w:t>A las oficinas y despachos judiciales</w:t>
      </w:r>
    </w:p>
    <w:p w14:paraId="0DE93EE0" w14:textId="77777777" w:rsidR="00D106C9" w:rsidRPr="00D106C9" w:rsidRDefault="00D106C9" w:rsidP="00D106C9">
      <w:pPr>
        <w:widowControl w:val="0"/>
        <w:suppressAutoHyphens w:val="0"/>
        <w:autoSpaceDE w:val="0"/>
        <w:autoSpaceDN w:val="0"/>
        <w:adjustRightInd w:val="0"/>
        <w:ind w:left="851" w:right="851" w:firstLine="992"/>
        <w:rPr>
          <w:lang w:eastAsia="es-ES"/>
        </w:rPr>
      </w:pPr>
    </w:p>
    <w:p w14:paraId="481DD378" w14:textId="77777777" w:rsidR="00D106C9" w:rsidRPr="00D106C9" w:rsidRDefault="00D106C9" w:rsidP="003B2E9B">
      <w:pPr>
        <w:widowControl w:val="0"/>
        <w:numPr>
          <w:ilvl w:val="0"/>
          <w:numId w:val="82"/>
        </w:numPr>
        <w:tabs>
          <w:tab w:val="left" w:pos="993"/>
          <w:tab w:val="left" w:pos="1276"/>
        </w:tabs>
        <w:suppressAutoHyphens w:val="0"/>
        <w:autoSpaceDE w:val="0"/>
        <w:autoSpaceDN w:val="0"/>
        <w:adjustRightInd w:val="0"/>
        <w:ind w:left="851" w:right="851" w:firstLine="992"/>
        <w:contextualSpacing/>
        <w:jc w:val="both"/>
        <w:rPr>
          <w:lang w:eastAsia="es-ES"/>
        </w:rPr>
      </w:pPr>
      <w:r w:rsidRPr="00D106C9">
        <w:rPr>
          <w:lang w:eastAsia="es-ES"/>
        </w:rPr>
        <w:t>Acatar lo indicado en la circular 32-2022, de la Secretaría General de la Corte, del 11 de enero del 2022, denominada “Reiteración de la circular 141-2020 sobre la Obligación de realizar evaluaciones semestrales y anuales de Planes anuales y operativos”. A raíz de lo anterior, se solicita a todos los despachos y oficinas judiciales del país que formularon sus Planes Anuales Operativos para el 2022, el deber de mantener actualizado el avance logrado en cada una de las metas formuladas.</w:t>
      </w:r>
    </w:p>
    <w:p w14:paraId="3B466FFF"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b/>
          <w:lang w:eastAsia="es-ES"/>
        </w:rPr>
      </w:pPr>
    </w:p>
    <w:p w14:paraId="18435578"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
          <w:lang w:eastAsia="es-ES"/>
        </w:rPr>
      </w:pPr>
      <w:r w:rsidRPr="00D106C9">
        <w:rPr>
          <w:bCs/>
          <w:lang w:eastAsia="es-ES"/>
        </w:rPr>
        <w:t xml:space="preserve"> Registrar avances a las metas operativas de los Planes Anuales Operativos que están vinculadas con el Plan Estratégico Institucional </w:t>
      </w:r>
      <w:r w:rsidRPr="00D106C9">
        <w:rPr>
          <w:b/>
          <w:lang w:eastAsia="es-ES"/>
        </w:rPr>
        <w:t>de manera periódica</w:t>
      </w:r>
      <w:r w:rsidRPr="00D106C9">
        <w:rPr>
          <w:bCs/>
          <w:lang w:eastAsia="es-ES"/>
        </w:rPr>
        <w:t xml:space="preserve">, debido a la importancia que revisten esas metas al contribuir de manera directa con el cumplimiento del PEI. </w:t>
      </w:r>
    </w:p>
    <w:p w14:paraId="6A32892D"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lang w:eastAsia="es-ES"/>
        </w:rPr>
      </w:pPr>
      <w:r w:rsidRPr="00D106C9">
        <w:rPr>
          <w:lang w:eastAsia="es-ES"/>
        </w:rPr>
        <w:t xml:space="preserve"> </w:t>
      </w:r>
    </w:p>
    <w:p w14:paraId="2FC5601C" w14:textId="77777777" w:rsidR="00D106C9" w:rsidRPr="00D106C9" w:rsidRDefault="00D106C9" w:rsidP="003B2E9B">
      <w:pPr>
        <w:widowControl w:val="0"/>
        <w:numPr>
          <w:ilvl w:val="0"/>
          <w:numId w:val="82"/>
        </w:numPr>
        <w:tabs>
          <w:tab w:val="left" w:pos="851"/>
        </w:tabs>
        <w:suppressAutoHyphens w:val="0"/>
        <w:autoSpaceDE w:val="0"/>
        <w:autoSpaceDN w:val="0"/>
        <w:adjustRightInd w:val="0"/>
        <w:ind w:left="851" w:right="851" w:firstLine="992"/>
        <w:contextualSpacing/>
        <w:jc w:val="both"/>
        <w:rPr>
          <w:bCs/>
          <w:lang w:eastAsia="es-ES"/>
        </w:rPr>
      </w:pPr>
      <w:r w:rsidRPr="00D106C9">
        <w:rPr>
          <w:lang w:eastAsia="es-ES"/>
        </w:rPr>
        <w:t xml:space="preserve"> </w:t>
      </w:r>
      <w:r w:rsidRPr="00D106C9">
        <w:rPr>
          <w:shd w:val="clear" w:color="auto" w:fill="FFFFFF"/>
          <w:lang w:eastAsia="es-ES"/>
        </w:rPr>
        <w:t>Actualizar adecuadamente los estados de las metas contenidas en el Sistema PAO, para que, al llevar a cabo la evaluación del PAO al finalizar el 2022, las metas queden clasificadas </w:t>
      </w:r>
      <w:r w:rsidRPr="00D106C9">
        <w:rPr>
          <w:b/>
          <w:bCs/>
          <w:shd w:val="clear" w:color="auto" w:fill="FFFFFF"/>
          <w:lang w:eastAsia="es-ES"/>
        </w:rPr>
        <w:t>en los únicos tres estados avalados:</w:t>
      </w:r>
      <w:r w:rsidRPr="00D106C9">
        <w:rPr>
          <w:shd w:val="clear" w:color="auto" w:fill="FFFFFF"/>
          <w:lang w:eastAsia="es-ES"/>
        </w:rPr>
        <w:t> </w:t>
      </w:r>
      <w:r w:rsidRPr="00D106C9">
        <w:rPr>
          <w:b/>
          <w:bCs/>
          <w:shd w:val="clear" w:color="auto" w:fill="FFFFFF"/>
          <w:lang w:eastAsia="es-ES"/>
        </w:rPr>
        <w:t>completado, pendiente o cancelado</w:t>
      </w:r>
      <w:r w:rsidRPr="00D106C9">
        <w:rPr>
          <w:shd w:val="clear" w:color="auto" w:fill="FFFFFF"/>
          <w:lang w:eastAsia="es-ES"/>
        </w:rPr>
        <w:t> (este último debe contar un visto bueno por parte de la Dirección de Planificación), los restantes estados no están avalados para reportar el estado final de una meta.</w:t>
      </w:r>
    </w:p>
    <w:p w14:paraId="4204E711" w14:textId="77777777" w:rsidR="00D106C9" w:rsidRPr="00D106C9" w:rsidRDefault="00D106C9" w:rsidP="00D106C9">
      <w:pPr>
        <w:suppressAutoHyphens w:val="0"/>
        <w:ind w:left="851" w:right="851" w:firstLine="992"/>
        <w:rPr>
          <w:bCs/>
          <w:lang w:eastAsia="es-ES"/>
        </w:rPr>
      </w:pPr>
    </w:p>
    <w:p w14:paraId="5121494C" w14:textId="77777777" w:rsidR="00D106C9" w:rsidRPr="00D106C9" w:rsidRDefault="00D106C9" w:rsidP="003B2E9B">
      <w:pPr>
        <w:widowControl w:val="0"/>
        <w:numPr>
          <w:ilvl w:val="0"/>
          <w:numId w:val="82"/>
        </w:numPr>
        <w:tabs>
          <w:tab w:val="left" w:pos="851"/>
        </w:tabs>
        <w:suppressAutoHyphens w:val="0"/>
        <w:autoSpaceDE w:val="0"/>
        <w:autoSpaceDN w:val="0"/>
        <w:adjustRightInd w:val="0"/>
        <w:ind w:left="851" w:right="851" w:firstLine="992"/>
        <w:contextualSpacing/>
        <w:jc w:val="both"/>
        <w:rPr>
          <w:bCs/>
          <w:lang w:eastAsia="es-ES"/>
        </w:rPr>
      </w:pPr>
      <w:r w:rsidRPr="00D106C9">
        <w:rPr>
          <w:bCs/>
          <w:lang w:eastAsia="es-ES"/>
        </w:rPr>
        <w:t xml:space="preserve"> Se reitera que la persona que funge como jefatura de la oficina será la responsable de garantizar el cumplimiento del Plan Anual Operativo, para esto debe procurar la participación activa del personal a cargo; lo cual contribuirá al logro de los objetivos propuestos en el PAO del 2022.  </w:t>
      </w:r>
    </w:p>
    <w:p w14:paraId="0505C573" w14:textId="77777777" w:rsidR="00D106C9" w:rsidRPr="00D106C9" w:rsidRDefault="00D106C9" w:rsidP="00D106C9">
      <w:pPr>
        <w:widowControl w:val="0"/>
        <w:tabs>
          <w:tab w:val="left" w:pos="851"/>
        </w:tabs>
        <w:suppressAutoHyphens w:val="0"/>
        <w:autoSpaceDE w:val="0"/>
        <w:autoSpaceDN w:val="0"/>
        <w:adjustRightInd w:val="0"/>
        <w:ind w:left="851" w:right="851" w:firstLine="992"/>
        <w:jc w:val="both"/>
        <w:rPr>
          <w:bCs/>
          <w:lang w:eastAsia="es-ES"/>
        </w:rPr>
      </w:pPr>
    </w:p>
    <w:p w14:paraId="49748247"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
          <w:lang w:eastAsia="es-ES"/>
        </w:rPr>
      </w:pPr>
      <w:r w:rsidRPr="00D106C9">
        <w:rPr>
          <w:bCs/>
          <w:lang w:eastAsia="es-ES"/>
        </w:rPr>
        <w:t xml:space="preserve"> Se recomienda a las oficinas y despachos judiciales describir el cumplimiento y adjuntar una evidencia conforme a la meta, al objetivo, al eje transversal, esto con el fin de garantizar un cumplimiento efectivo en las metas operativas.</w:t>
      </w:r>
    </w:p>
    <w:p w14:paraId="15B6ABCC" w14:textId="77777777" w:rsidR="00D106C9" w:rsidRPr="00D106C9" w:rsidRDefault="00D106C9" w:rsidP="00D106C9">
      <w:pPr>
        <w:suppressAutoHyphens w:val="0"/>
        <w:ind w:left="851" w:right="851" w:firstLine="992"/>
        <w:rPr>
          <w:b/>
          <w:lang w:eastAsia="es-ES"/>
        </w:rPr>
      </w:pPr>
    </w:p>
    <w:p w14:paraId="1BE967F6"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lang w:eastAsia="es-ES"/>
        </w:rPr>
      </w:pPr>
    </w:p>
    <w:p w14:paraId="6445FA58" w14:textId="77777777" w:rsidR="00D106C9" w:rsidRPr="00D106C9" w:rsidRDefault="00D106C9" w:rsidP="00D106C9">
      <w:pPr>
        <w:widowControl w:val="0"/>
        <w:suppressAutoHyphens w:val="0"/>
        <w:autoSpaceDE w:val="0"/>
        <w:autoSpaceDN w:val="0"/>
        <w:adjustRightInd w:val="0"/>
        <w:ind w:left="851" w:right="851" w:firstLine="992"/>
        <w:rPr>
          <w:b/>
          <w:bCs/>
          <w:lang w:eastAsia="es-ES"/>
        </w:rPr>
      </w:pPr>
      <w:r w:rsidRPr="00D106C9">
        <w:rPr>
          <w:b/>
          <w:bCs/>
          <w:lang w:eastAsia="es-ES"/>
        </w:rPr>
        <w:t>A las Administraciones Regionales y Consejos de Administración y Centros de Responsabilidad:</w:t>
      </w:r>
    </w:p>
    <w:p w14:paraId="6BA1E1BA" w14:textId="77777777" w:rsidR="00D106C9" w:rsidRPr="00D106C9" w:rsidRDefault="00D106C9" w:rsidP="00D106C9">
      <w:pPr>
        <w:widowControl w:val="0"/>
        <w:tabs>
          <w:tab w:val="left" w:pos="993"/>
          <w:tab w:val="left" w:pos="1134"/>
        </w:tabs>
        <w:suppressAutoHyphens w:val="0"/>
        <w:autoSpaceDE w:val="0"/>
        <w:autoSpaceDN w:val="0"/>
        <w:adjustRightInd w:val="0"/>
        <w:ind w:left="851" w:right="851" w:firstLine="992"/>
        <w:jc w:val="both"/>
        <w:rPr>
          <w:b/>
          <w:bCs/>
          <w:lang w:eastAsia="es-ES"/>
        </w:rPr>
      </w:pPr>
    </w:p>
    <w:p w14:paraId="3C5D7BA8" w14:textId="77777777" w:rsidR="00D106C9" w:rsidRPr="00D106C9" w:rsidRDefault="00D106C9" w:rsidP="00D106C9">
      <w:pPr>
        <w:widowControl w:val="0"/>
        <w:tabs>
          <w:tab w:val="left" w:pos="851"/>
          <w:tab w:val="left" w:pos="993"/>
          <w:tab w:val="left" w:pos="1134"/>
        </w:tabs>
        <w:suppressAutoHyphens w:val="0"/>
        <w:autoSpaceDE w:val="0"/>
        <w:autoSpaceDN w:val="0"/>
        <w:adjustRightInd w:val="0"/>
        <w:ind w:left="851" w:right="851" w:firstLine="992"/>
        <w:jc w:val="both"/>
        <w:rPr>
          <w:b/>
          <w:lang w:eastAsia="es-ES"/>
        </w:rPr>
      </w:pPr>
    </w:p>
    <w:p w14:paraId="695DA2D6"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Cs/>
          <w:lang w:eastAsia="es-ES"/>
        </w:rPr>
      </w:pPr>
      <w:r w:rsidRPr="00D106C9">
        <w:rPr>
          <w:bCs/>
          <w:lang w:eastAsia="es-ES"/>
        </w:rPr>
        <w:lastRenderedPageBreak/>
        <w:t xml:space="preserve">La utilización de datos históricos de variables que produce la oficina como patrón de comportamiento, para que la formulación de las metas sea acorde a la realidad y se puedan alcanzar efectivamente. </w:t>
      </w:r>
    </w:p>
    <w:p w14:paraId="483CDE88"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bCs/>
          <w:lang w:eastAsia="es-ES"/>
        </w:rPr>
      </w:pPr>
    </w:p>
    <w:p w14:paraId="6231EBBC"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Cs/>
          <w:lang w:eastAsia="es-ES"/>
        </w:rPr>
      </w:pPr>
      <w:r w:rsidRPr="00D106C9">
        <w:rPr>
          <w:bCs/>
          <w:lang w:eastAsia="es-ES"/>
        </w:rPr>
        <w:t xml:space="preserve">La importancia de tomar en cuenta la capacidad instalada de la oficina, así como los riesgos asociados a cada objetivo, para valorar la posibilidad de cumplimiento de las metas que se proponen.  </w:t>
      </w:r>
    </w:p>
    <w:p w14:paraId="302D6D74"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bCs/>
          <w:lang w:eastAsia="es-ES"/>
        </w:rPr>
      </w:pPr>
    </w:p>
    <w:p w14:paraId="59CCD308"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Cs/>
          <w:lang w:eastAsia="es-ES"/>
        </w:rPr>
      </w:pPr>
      <w:r w:rsidRPr="00D106C9">
        <w:rPr>
          <w:bCs/>
          <w:lang w:eastAsia="es-ES"/>
        </w:rPr>
        <w:t>El seguimiento efectivo de la ejecución de las actividades programadas en la forma y plazo establecido, garantizando el avance de las metas al finalizar el segundo semestre del 2022.</w:t>
      </w:r>
    </w:p>
    <w:p w14:paraId="21C8B638"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bCs/>
          <w:lang w:eastAsia="es-ES"/>
        </w:rPr>
      </w:pPr>
    </w:p>
    <w:p w14:paraId="2C0353CB"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Cs/>
          <w:lang w:eastAsia="es-ES"/>
        </w:rPr>
      </w:pPr>
      <w:r w:rsidRPr="00D106C9">
        <w:rPr>
          <w:bCs/>
          <w:lang w:eastAsia="es-ES"/>
        </w:rPr>
        <w:t>La importancia de realizar de manera anticipada la coordinación con instancias relacionadas a la ejecución de las metas propuestas, que asegure el cumplimiento de los planes de trabajo.</w:t>
      </w:r>
    </w:p>
    <w:p w14:paraId="16B2573C"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bCs/>
          <w:lang w:eastAsia="es-ES"/>
        </w:rPr>
      </w:pPr>
    </w:p>
    <w:p w14:paraId="52C94D05"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Cs/>
          <w:lang w:eastAsia="es-ES"/>
        </w:rPr>
      </w:pPr>
      <w:r w:rsidRPr="00D106C9">
        <w:rPr>
          <w:bCs/>
          <w:lang w:eastAsia="es-ES"/>
        </w:rPr>
        <w:t>En el caso de los Centros de Responsabilidad, se requiere que brinden un apoyo y acompañamiento a las oficinas que los integran. El seguimiento efectivo de la ejecución de las actividades programadas en la forma y plazo establecido, garantizando el avance de las metas y la efectiva distribución a lo largo del año. Esta actividad será complementada por medio de notificaciones automáticas que generará el Sistema PAO en el caso de las oficinas y despachos que tengan metas pendientes de actualizar. Las notificaciones provenientes del Sistema PAO le llegarán tanto a las personas encargadas de los Centros de Responsabilidad, como a las oficinas, despachos y coordinadores de Comisiones Institucionales respectivas.</w:t>
      </w:r>
    </w:p>
    <w:p w14:paraId="0F9CA9D0" w14:textId="77777777" w:rsidR="00D106C9" w:rsidRPr="00D106C9" w:rsidRDefault="00D106C9" w:rsidP="00D106C9">
      <w:pPr>
        <w:suppressAutoHyphens w:val="0"/>
        <w:ind w:left="851" w:right="851" w:firstLine="992"/>
        <w:rPr>
          <w:bCs/>
          <w:lang w:eastAsia="es-ES"/>
        </w:rPr>
      </w:pPr>
    </w:p>
    <w:p w14:paraId="082B40BF"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Cs/>
          <w:lang w:eastAsia="es-ES"/>
        </w:rPr>
      </w:pPr>
      <w:r w:rsidRPr="00D106C9">
        <w:rPr>
          <w:bCs/>
          <w:lang w:eastAsia="es-ES"/>
        </w:rPr>
        <w:t>Los Centros de Responsabilidad revisarán los documentos y la evidencias que las oficinas suben como justificación del avance de las metas PAO. Este seguimiento debería estar documentado en las reuniones de los Consejos de Administración para que se visualice su seguimiento y dejarlo consignado en las minutas de las sesiones de estos Consejos.</w:t>
      </w:r>
    </w:p>
    <w:p w14:paraId="7E5F8AFE" w14:textId="77777777" w:rsidR="00D106C9" w:rsidRPr="00D106C9" w:rsidRDefault="00D106C9" w:rsidP="00D106C9">
      <w:pPr>
        <w:suppressAutoHyphens w:val="0"/>
        <w:ind w:left="851" w:right="851" w:firstLine="992"/>
        <w:rPr>
          <w:bCs/>
          <w:lang w:eastAsia="es-ES"/>
        </w:rPr>
      </w:pPr>
    </w:p>
    <w:p w14:paraId="3264278A"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Cs/>
          <w:lang w:eastAsia="es-ES"/>
        </w:rPr>
      </w:pPr>
      <w:r w:rsidRPr="00D106C9">
        <w:rPr>
          <w:shd w:val="clear" w:color="auto" w:fill="FFFFFF"/>
          <w:lang w:eastAsia="es-ES"/>
        </w:rPr>
        <w:t xml:space="preserve">Todos los Centros de Responsabilidad a nivel nacional deberán replicar la capacitación que imparte el Subproceso de Evaluación denominada </w:t>
      </w:r>
      <w:r w:rsidRPr="00D106C9">
        <w:rPr>
          <w:i/>
          <w:iCs/>
          <w:shd w:val="clear" w:color="auto" w:fill="FFFFFF"/>
          <w:lang w:eastAsia="es-ES"/>
        </w:rPr>
        <w:t>"Capacitación de Seguimiento PAO",</w:t>
      </w:r>
      <w:r w:rsidRPr="00D106C9">
        <w:rPr>
          <w:shd w:val="clear" w:color="auto" w:fill="FFFFFF"/>
          <w:lang w:eastAsia="es-ES"/>
        </w:rPr>
        <w:t> dirigida al personal de las oficinas administrativas y jurisdiccionales; así como, atender las distintas consultas relacionadas con la formulación y seguimiento del PAO, en caso de requerir estos Centros la capacitación por parte de la Dirección de Planificación, solicitarla para realizar la respectiva programación.</w:t>
      </w:r>
    </w:p>
    <w:p w14:paraId="474D96F3" w14:textId="77777777" w:rsidR="00D106C9" w:rsidRPr="00D106C9" w:rsidRDefault="00D106C9" w:rsidP="00D106C9">
      <w:pPr>
        <w:widowControl w:val="0"/>
        <w:suppressAutoHyphens w:val="0"/>
        <w:autoSpaceDE w:val="0"/>
        <w:autoSpaceDN w:val="0"/>
        <w:adjustRightInd w:val="0"/>
        <w:ind w:left="851" w:right="851" w:firstLine="992"/>
        <w:rPr>
          <w:lang w:eastAsia="es-ES"/>
        </w:rPr>
      </w:pPr>
    </w:p>
    <w:p w14:paraId="06A4BC80" w14:textId="77777777" w:rsidR="00D106C9" w:rsidRPr="00D106C9" w:rsidRDefault="00D106C9" w:rsidP="00D106C9">
      <w:pPr>
        <w:widowControl w:val="0"/>
        <w:suppressAutoHyphens w:val="0"/>
        <w:autoSpaceDE w:val="0"/>
        <w:autoSpaceDN w:val="0"/>
        <w:adjustRightInd w:val="0"/>
        <w:ind w:left="851" w:right="851" w:firstLine="992"/>
        <w:rPr>
          <w:b/>
          <w:bCs/>
          <w:lang w:eastAsia="es-ES"/>
        </w:rPr>
      </w:pPr>
      <w:r w:rsidRPr="00D106C9">
        <w:rPr>
          <w:b/>
          <w:bCs/>
          <w:lang w:eastAsia="es-ES"/>
        </w:rPr>
        <w:lastRenderedPageBreak/>
        <w:t xml:space="preserve">A los </w:t>
      </w:r>
      <w:proofErr w:type="gramStart"/>
      <w:r w:rsidRPr="00D106C9">
        <w:rPr>
          <w:b/>
          <w:bCs/>
          <w:lang w:eastAsia="es-ES"/>
        </w:rPr>
        <w:t>Responsables</w:t>
      </w:r>
      <w:proofErr w:type="gramEnd"/>
      <w:r w:rsidRPr="00D106C9">
        <w:rPr>
          <w:b/>
          <w:bCs/>
          <w:lang w:eastAsia="es-ES"/>
        </w:rPr>
        <w:t xml:space="preserve"> Estratégicos</w:t>
      </w:r>
    </w:p>
    <w:p w14:paraId="78E03444"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bCs/>
          <w:lang w:eastAsia="es-ES"/>
        </w:rPr>
      </w:pPr>
    </w:p>
    <w:p w14:paraId="4C4216A1"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lang w:eastAsia="es-ES"/>
        </w:rPr>
      </w:pPr>
      <w:r w:rsidRPr="00D106C9">
        <w:rPr>
          <w:bCs/>
          <w:lang w:eastAsia="es-ES"/>
        </w:rPr>
        <w:t xml:space="preserve"> Coordinar y dar seguimiento a los responsables operativos con el fin de registrar los avances de las metas contenidas en los Planes Anuales Operativos</w:t>
      </w:r>
      <w:r w:rsidRPr="00D106C9">
        <w:rPr>
          <w:lang w:eastAsia="es-ES"/>
        </w:rPr>
        <w:t xml:space="preserve"> que están vinculados con el Plan Estratégico Institucional de manera periódica, debido a la importancia que revisten esas metas al contribuir de manera directa con el cumplimiento del PEI. </w:t>
      </w:r>
    </w:p>
    <w:p w14:paraId="1E6AF721"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lang w:eastAsia="es-ES"/>
        </w:rPr>
      </w:pPr>
    </w:p>
    <w:p w14:paraId="08978243" w14:textId="77777777" w:rsidR="00D106C9" w:rsidRPr="00D106C9" w:rsidRDefault="00D106C9" w:rsidP="00D106C9">
      <w:pPr>
        <w:widowControl w:val="0"/>
        <w:suppressAutoHyphens w:val="0"/>
        <w:autoSpaceDE w:val="0"/>
        <w:autoSpaceDN w:val="0"/>
        <w:adjustRightInd w:val="0"/>
        <w:ind w:left="851" w:right="851" w:firstLine="992"/>
        <w:rPr>
          <w:b/>
          <w:bCs/>
          <w:lang w:eastAsia="es-ES"/>
        </w:rPr>
      </w:pPr>
      <w:r w:rsidRPr="00D106C9">
        <w:rPr>
          <w:b/>
          <w:bCs/>
          <w:lang w:eastAsia="es-ES"/>
        </w:rPr>
        <w:t xml:space="preserve">Recomendaciones derivadas de la Evaluación al Plan </w:t>
      </w:r>
      <w:proofErr w:type="spellStart"/>
      <w:r w:rsidRPr="00D106C9">
        <w:rPr>
          <w:b/>
          <w:bCs/>
          <w:lang w:eastAsia="es-ES"/>
        </w:rPr>
        <w:t>Covid</w:t>
      </w:r>
      <w:proofErr w:type="spellEnd"/>
    </w:p>
    <w:p w14:paraId="376CEC94" w14:textId="77777777" w:rsidR="00D106C9" w:rsidRPr="00D106C9" w:rsidRDefault="00D106C9" w:rsidP="00D106C9">
      <w:pPr>
        <w:widowControl w:val="0"/>
        <w:suppressAutoHyphens w:val="0"/>
        <w:autoSpaceDE w:val="0"/>
        <w:autoSpaceDN w:val="0"/>
        <w:adjustRightInd w:val="0"/>
        <w:ind w:left="851" w:right="851" w:firstLine="992"/>
        <w:rPr>
          <w:b/>
          <w:bCs/>
          <w:lang w:eastAsia="es-ES"/>
        </w:rPr>
      </w:pPr>
      <w:r w:rsidRPr="00D106C9">
        <w:rPr>
          <w:b/>
          <w:bCs/>
          <w:lang w:eastAsia="es-ES"/>
        </w:rPr>
        <w:t>A la Dirección de Tecnología de la Información</w:t>
      </w:r>
    </w:p>
    <w:p w14:paraId="68BCB1FF"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lang w:eastAsia="es-ES"/>
        </w:rPr>
      </w:pPr>
    </w:p>
    <w:p w14:paraId="2A056160"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992"/>
        <w:contextualSpacing/>
        <w:jc w:val="both"/>
        <w:rPr>
          <w:bCs/>
          <w:lang w:eastAsia="es-ES"/>
        </w:rPr>
      </w:pPr>
      <w:bookmarkStart w:id="56" w:name="_Hlk102652732"/>
      <w:r w:rsidRPr="00D106C9">
        <w:rPr>
          <w:bCs/>
          <w:lang w:eastAsia="es-ES"/>
        </w:rPr>
        <w:t>Informar al Consejo Superior las razones por las cuales las dos estrategias del Plan de Acción asociadas a la materia tecnológica no se le formularon objetivos operativos, lo que imposibilita realizar una evaluación de su cumplimiento.  Las estrategias citadas son las siguientes: Estrategia 10 – Ampliación de los servicios de la Mesa de Ayuda (DTI) y Estrategia 20 – Gestión de las Tecnologías de la Información y Transformación Digital.</w:t>
      </w:r>
    </w:p>
    <w:bookmarkEnd w:id="56"/>
    <w:p w14:paraId="2B755C45"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992"/>
        <w:jc w:val="both"/>
        <w:rPr>
          <w:lang w:eastAsia="es-ES"/>
        </w:rPr>
      </w:pPr>
    </w:p>
    <w:p w14:paraId="506185FA" w14:textId="77777777" w:rsidR="00D106C9" w:rsidRPr="00D106C9" w:rsidRDefault="00D106C9" w:rsidP="003B2E9B">
      <w:pPr>
        <w:pStyle w:val="Prrafodelista"/>
        <w:widowControl w:val="0"/>
        <w:numPr>
          <w:ilvl w:val="1"/>
          <w:numId w:val="50"/>
        </w:numPr>
        <w:suppressAutoHyphens w:val="0"/>
        <w:autoSpaceDE w:val="0"/>
        <w:autoSpaceDN w:val="0"/>
        <w:adjustRightInd w:val="0"/>
        <w:ind w:right="851"/>
        <w:rPr>
          <w:b/>
          <w:bCs/>
          <w:lang w:val="es-CR" w:eastAsia="es-ES"/>
        </w:rPr>
      </w:pPr>
      <w:bookmarkStart w:id="57" w:name="_MON_1701090556"/>
      <w:bookmarkStart w:id="58" w:name="_Toc90563637"/>
      <w:bookmarkStart w:id="59" w:name="_Toc102390792"/>
      <w:bookmarkEnd w:id="57"/>
      <w:r w:rsidRPr="00D106C9">
        <w:rPr>
          <w:b/>
          <w:bCs/>
          <w:lang w:val="es-CR" w:eastAsia="es-ES"/>
        </w:rPr>
        <w:t>Anexos</w:t>
      </w:r>
      <w:bookmarkEnd w:id="58"/>
      <w:bookmarkEnd w:id="59"/>
    </w:p>
    <w:p w14:paraId="485DA987" w14:textId="77777777" w:rsidR="00D106C9" w:rsidRPr="00D106C9" w:rsidRDefault="00D106C9" w:rsidP="00D106C9">
      <w:pPr>
        <w:widowControl w:val="0"/>
        <w:suppressAutoHyphens w:val="0"/>
        <w:autoSpaceDE w:val="0"/>
        <w:autoSpaceDN w:val="0"/>
        <w:adjustRightInd w:val="0"/>
        <w:ind w:right="851"/>
        <w:rPr>
          <w:b/>
          <w:lang w:eastAsia="es-ES"/>
        </w:rPr>
      </w:pPr>
    </w:p>
    <w:p w14:paraId="4C3D747D" w14:textId="77777777" w:rsidR="00D106C9" w:rsidRPr="00D106C9" w:rsidRDefault="00D106C9" w:rsidP="00D106C9">
      <w:pPr>
        <w:jc w:val="center"/>
        <w:rPr>
          <w:b/>
          <w:bCs/>
        </w:rPr>
      </w:pPr>
      <w:r w:rsidRPr="00D106C9">
        <w:rPr>
          <w:b/>
          <w:bCs/>
        </w:rPr>
        <w:t>Anexo 1: Circular 32-2022 del 11 de enero del 2022, denominada “Obligación de realizar evaluaciones semestrales y anuales de Planes anuales y operativos”.</w:t>
      </w:r>
    </w:p>
    <w:bookmarkStart w:id="60" w:name="_MON_1706592273"/>
    <w:bookmarkEnd w:id="60"/>
    <w:p w14:paraId="6CAAAE15" w14:textId="77777777" w:rsidR="00D106C9" w:rsidRPr="00D106C9" w:rsidRDefault="00D106C9" w:rsidP="00D106C9">
      <w:pPr>
        <w:jc w:val="center"/>
        <w:rPr>
          <w:b/>
          <w:bCs/>
        </w:rPr>
      </w:pPr>
      <w:r w:rsidRPr="00D106C9">
        <w:object w:dxaOrig="1508" w:dyaOrig="983" w14:anchorId="518EF9A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5pt;height:49.5pt" o:ole="">
            <v:imagedata r:id="rId33" o:title=""/>
          </v:shape>
          <o:OLEObject Type="Embed" ProgID="Word.Document.12" ShapeID="_x0000_i1025" DrawAspect="Icon" ObjectID="_1716381956" r:id="rId34">
            <o:FieldCodes>\s</o:FieldCodes>
          </o:OLEObject>
        </w:object>
      </w:r>
    </w:p>
    <w:p w14:paraId="6AE55130" w14:textId="77777777" w:rsidR="00D106C9" w:rsidRPr="00D106C9" w:rsidRDefault="00D106C9" w:rsidP="00D106C9">
      <w:pPr>
        <w:jc w:val="center"/>
        <w:rPr>
          <w:b/>
          <w:bCs/>
        </w:rPr>
      </w:pPr>
    </w:p>
    <w:p w14:paraId="7A689E7D" w14:textId="77777777" w:rsidR="00D106C9" w:rsidRPr="00D106C9" w:rsidRDefault="00D106C9" w:rsidP="00D106C9">
      <w:pPr>
        <w:jc w:val="center"/>
        <w:rPr>
          <w:b/>
          <w:bCs/>
        </w:rPr>
      </w:pPr>
      <w:r w:rsidRPr="00D106C9">
        <w:rPr>
          <w:b/>
          <w:bCs/>
        </w:rPr>
        <w:t>Anexo 2: Oficinas que formularon el PAO 2021.</w:t>
      </w:r>
    </w:p>
    <w:bookmarkStart w:id="61" w:name="_MON_1706084138"/>
    <w:bookmarkEnd w:id="61"/>
    <w:p w14:paraId="1A950B96" w14:textId="77777777" w:rsidR="00D106C9" w:rsidRPr="00D106C9" w:rsidRDefault="00D106C9" w:rsidP="00D106C9">
      <w:pPr>
        <w:jc w:val="center"/>
        <w:rPr>
          <w:lang w:eastAsia="ja-JP"/>
        </w:rPr>
      </w:pPr>
      <w:r w:rsidRPr="00D106C9">
        <w:rPr>
          <w:lang w:eastAsia="ja-JP"/>
        </w:rPr>
        <w:object w:dxaOrig="1376" w:dyaOrig="893" w14:anchorId="750BFBBD">
          <v:shape id="_x0000_i1026" type="#_x0000_t75" style="width:69pt;height:45pt" o:ole="">
            <v:imagedata r:id="rId35" o:title=""/>
          </v:shape>
          <o:OLEObject Type="Embed" ProgID="Excel.Sheet.8" ShapeID="_x0000_i1026" DrawAspect="Icon" ObjectID="_1716381957" r:id="rId36"/>
        </w:object>
      </w:r>
    </w:p>
    <w:p w14:paraId="62EA3BCD" w14:textId="77777777" w:rsidR="00D106C9" w:rsidRPr="00D106C9" w:rsidRDefault="00D106C9" w:rsidP="00D106C9">
      <w:pPr>
        <w:rPr>
          <w:b/>
        </w:rPr>
      </w:pPr>
    </w:p>
    <w:p w14:paraId="4F051E29" w14:textId="77777777" w:rsidR="00D106C9" w:rsidRPr="00D106C9" w:rsidRDefault="00D106C9" w:rsidP="00D106C9">
      <w:pPr>
        <w:widowControl w:val="0"/>
        <w:autoSpaceDE w:val="0"/>
        <w:autoSpaceDN w:val="0"/>
        <w:adjustRightInd w:val="0"/>
        <w:ind w:firstLine="8"/>
        <w:jc w:val="center"/>
        <w:rPr>
          <w:b/>
          <w:bCs/>
        </w:rPr>
      </w:pPr>
      <w:r w:rsidRPr="00D106C9">
        <w:rPr>
          <w:b/>
          <w:bCs/>
        </w:rPr>
        <w:t>Anexo 3: Oficinas con registro de cumplimiento inferior al 90%</w:t>
      </w:r>
    </w:p>
    <w:p w14:paraId="1262D9F2" w14:textId="77777777" w:rsidR="00D106C9" w:rsidRPr="00D106C9" w:rsidRDefault="00D106C9" w:rsidP="00D106C9">
      <w:pPr>
        <w:widowControl w:val="0"/>
        <w:autoSpaceDE w:val="0"/>
        <w:autoSpaceDN w:val="0"/>
        <w:adjustRightInd w:val="0"/>
        <w:ind w:firstLine="8"/>
        <w:jc w:val="center"/>
        <w:rPr>
          <w:b/>
          <w:bCs/>
        </w:rPr>
      </w:pPr>
      <w:r w:rsidRPr="00D106C9">
        <w:rPr>
          <w:b/>
          <w:bCs/>
        </w:rPr>
        <w:t>en los avances al PAO.</w:t>
      </w:r>
    </w:p>
    <w:p w14:paraId="754FE497" w14:textId="77777777" w:rsidR="00D106C9" w:rsidRPr="00D106C9" w:rsidRDefault="00D106C9" w:rsidP="00D106C9">
      <w:pPr>
        <w:widowControl w:val="0"/>
        <w:autoSpaceDE w:val="0"/>
        <w:autoSpaceDN w:val="0"/>
        <w:adjustRightInd w:val="0"/>
        <w:ind w:firstLine="8"/>
        <w:jc w:val="both"/>
        <w:rPr>
          <w:b/>
          <w:bCs/>
        </w:rPr>
      </w:pPr>
    </w:p>
    <w:bookmarkStart w:id="62" w:name="_MON_1709123144"/>
    <w:bookmarkEnd w:id="62"/>
    <w:p w14:paraId="1501603B" w14:textId="77777777" w:rsidR="00D106C9" w:rsidRPr="00D106C9" w:rsidRDefault="00D106C9" w:rsidP="00D106C9">
      <w:pPr>
        <w:widowControl w:val="0"/>
        <w:autoSpaceDE w:val="0"/>
        <w:autoSpaceDN w:val="0"/>
        <w:adjustRightInd w:val="0"/>
        <w:ind w:firstLine="8"/>
        <w:jc w:val="center"/>
        <w:rPr>
          <w:b/>
          <w:bCs/>
        </w:rPr>
      </w:pPr>
      <w:r w:rsidRPr="00D106C9">
        <w:rPr>
          <w:b/>
          <w:bCs/>
        </w:rPr>
        <w:object w:dxaOrig="1376" w:dyaOrig="893" w14:anchorId="67C588D4">
          <v:shape id="_x0000_i1027" type="#_x0000_t75" style="width:69pt;height:45pt" o:ole="">
            <v:imagedata r:id="rId37" o:title=""/>
          </v:shape>
          <o:OLEObject Type="Embed" ProgID="Excel.Sheet.12" ShapeID="_x0000_i1027" DrawAspect="Icon" ObjectID="_1716381958" r:id="rId38"/>
        </w:object>
      </w:r>
    </w:p>
    <w:p w14:paraId="70D57625" w14:textId="77777777" w:rsidR="00D106C9" w:rsidRPr="00D106C9" w:rsidRDefault="00D106C9" w:rsidP="00D106C9">
      <w:pPr>
        <w:widowControl w:val="0"/>
        <w:autoSpaceDE w:val="0"/>
        <w:autoSpaceDN w:val="0"/>
        <w:adjustRightInd w:val="0"/>
        <w:jc w:val="both"/>
        <w:rPr>
          <w:b/>
          <w:bCs/>
        </w:rPr>
      </w:pPr>
    </w:p>
    <w:p w14:paraId="48226AEB" w14:textId="77777777" w:rsidR="00D106C9" w:rsidRPr="00D106C9" w:rsidRDefault="00D106C9" w:rsidP="00D106C9">
      <w:pPr>
        <w:widowControl w:val="0"/>
        <w:autoSpaceDE w:val="0"/>
        <w:autoSpaceDN w:val="0"/>
        <w:adjustRightInd w:val="0"/>
        <w:ind w:firstLine="8"/>
        <w:jc w:val="both"/>
        <w:rPr>
          <w:bCs/>
          <w:lang w:eastAsia="es-ES"/>
        </w:rPr>
      </w:pPr>
      <w:r w:rsidRPr="00D106C9">
        <w:rPr>
          <w:b/>
          <w:bCs/>
        </w:rPr>
        <w:t>Anexo 4: Circular externa 12-2021 del 16 de diciembre del 2021, denominada “</w:t>
      </w:r>
      <w:r w:rsidRPr="00D106C9">
        <w:rPr>
          <w:b/>
          <w:bCs/>
          <w:lang w:eastAsia="es-ES"/>
        </w:rPr>
        <w:t xml:space="preserve">Fecha límite </w:t>
      </w:r>
      <w:r w:rsidRPr="00D106C9">
        <w:rPr>
          <w:b/>
          <w:bCs/>
          <w:lang w:eastAsia="es-ES"/>
        </w:rPr>
        <w:lastRenderedPageBreak/>
        <w:t>para el registro de avances en el cumplimiento de objetivos y metas de los Planes Anuales Operativos (PAO) 2021.”</w:t>
      </w:r>
    </w:p>
    <w:p w14:paraId="6B6C8E6A" w14:textId="77777777" w:rsidR="00D106C9" w:rsidRPr="00D106C9" w:rsidRDefault="00D106C9" w:rsidP="00D106C9">
      <w:pPr>
        <w:widowControl w:val="0"/>
        <w:autoSpaceDE w:val="0"/>
        <w:autoSpaceDN w:val="0"/>
        <w:adjustRightInd w:val="0"/>
        <w:ind w:firstLine="8"/>
        <w:jc w:val="both"/>
        <w:rPr>
          <w:b/>
          <w:bCs/>
        </w:rPr>
      </w:pPr>
    </w:p>
    <w:p w14:paraId="3EA05891" w14:textId="77777777" w:rsidR="00D106C9" w:rsidRPr="00D106C9" w:rsidRDefault="00D106C9" w:rsidP="00D106C9">
      <w:pPr>
        <w:widowControl w:val="0"/>
        <w:autoSpaceDE w:val="0"/>
        <w:autoSpaceDN w:val="0"/>
        <w:adjustRightInd w:val="0"/>
        <w:ind w:firstLine="8"/>
        <w:jc w:val="both"/>
        <w:rPr>
          <w:b/>
          <w:bCs/>
        </w:rPr>
      </w:pPr>
    </w:p>
    <w:p w14:paraId="2872876C" w14:textId="77777777" w:rsidR="00D106C9" w:rsidRPr="00D106C9" w:rsidRDefault="00D106C9" w:rsidP="00D106C9">
      <w:pPr>
        <w:widowControl w:val="0"/>
        <w:autoSpaceDE w:val="0"/>
        <w:autoSpaceDN w:val="0"/>
        <w:adjustRightInd w:val="0"/>
        <w:ind w:firstLine="8"/>
        <w:jc w:val="both"/>
        <w:rPr>
          <w:b/>
          <w:bCs/>
        </w:rPr>
      </w:pPr>
    </w:p>
    <w:bookmarkStart w:id="63" w:name="_MON_1712747650"/>
    <w:bookmarkEnd w:id="63"/>
    <w:p w14:paraId="4CC1FE6B" w14:textId="77777777" w:rsidR="00D106C9" w:rsidRPr="00D106C9" w:rsidRDefault="00D106C9" w:rsidP="00D106C9">
      <w:pPr>
        <w:widowControl w:val="0"/>
        <w:autoSpaceDE w:val="0"/>
        <w:autoSpaceDN w:val="0"/>
        <w:adjustRightInd w:val="0"/>
        <w:ind w:firstLine="8"/>
        <w:jc w:val="center"/>
        <w:rPr>
          <w:b/>
          <w:bCs/>
        </w:rPr>
      </w:pPr>
      <w:r w:rsidRPr="00D106C9">
        <w:object w:dxaOrig="1376" w:dyaOrig="893" w14:anchorId="201F20EF">
          <v:shape id="_x0000_i1028" type="#_x0000_t75" style="width:69pt;height:44.25pt" o:ole="">
            <v:imagedata r:id="rId39" o:title=""/>
          </v:shape>
          <o:OLEObject Type="Embed" ProgID="Word.Document.12" ShapeID="_x0000_i1028" DrawAspect="Icon" ObjectID="_1716381959" r:id="rId40">
            <o:FieldCodes>\s</o:FieldCodes>
          </o:OLEObject>
        </w:object>
      </w:r>
    </w:p>
    <w:p w14:paraId="494A33F3" w14:textId="77777777" w:rsidR="00D106C9" w:rsidRPr="00D106C9" w:rsidRDefault="00D106C9" w:rsidP="00D106C9">
      <w:pPr>
        <w:widowControl w:val="0"/>
        <w:autoSpaceDE w:val="0"/>
        <w:autoSpaceDN w:val="0"/>
        <w:adjustRightInd w:val="0"/>
        <w:jc w:val="both"/>
        <w:rPr>
          <w:b/>
          <w:bCs/>
        </w:rPr>
      </w:pPr>
    </w:p>
    <w:p w14:paraId="3EB7CC64" w14:textId="77777777" w:rsidR="00D106C9" w:rsidRPr="00D106C9" w:rsidRDefault="00D106C9" w:rsidP="00D106C9">
      <w:pPr>
        <w:pStyle w:val="Descripcin"/>
        <w:rPr>
          <w:sz w:val="24"/>
          <w:szCs w:val="24"/>
        </w:rPr>
      </w:pPr>
      <w:r w:rsidRPr="00D106C9">
        <w:rPr>
          <w:sz w:val="24"/>
          <w:szCs w:val="24"/>
        </w:rPr>
        <w:t>Anexo 5: Oficinas con estado de metas operativas no avalados.</w:t>
      </w:r>
    </w:p>
    <w:p w14:paraId="2C28ED60" w14:textId="77777777" w:rsidR="00D106C9" w:rsidRPr="00D106C9" w:rsidRDefault="00D106C9" w:rsidP="00D106C9"/>
    <w:bookmarkStart w:id="64" w:name="_MON_1709012694"/>
    <w:bookmarkEnd w:id="64"/>
    <w:p w14:paraId="39273592" w14:textId="77777777" w:rsidR="00D106C9" w:rsidRPr="00D106C9" w:rsidRDefault="00D106C9" w:rsidP="00D106C9">
      <w:pPr>
        <w:jc w:val="center"/>
      </w:pPr>
      <w:r w:rsidRPr="00D106C9">
        <w:object w:dxaOrig="1376" w:dyaOrig="893" w14:anchorId="653F2439">
          <v:shape id="_x0000_i1029" type="#_x0000_t75" style="width:69pt;height:45pt" o:ole="">
            <v:imagedata r:id="rId41" o:title=""/>
          </v:shape>
          <o:OLEObject Type="Embed" ProgID="Excel.Sheet.12" ShapeID="_x0000_i1029" DrawAspect="Icon" ObjectID="_1716381960" r:id="rId42"/>
        </w:object>
      </w:r>
    </w:p>
    <w:p w14:paraId="303EF6A2" w14:textId="77777777" w:rsidR="00D106C9" w:rsidRPr="00D106C9" w:rsidRDefault="00D106C9" w:rsidP="00D106C9">
      <w:pPr>
        <w:widowControl w:val="0"/>
        <w:autoSpaceDE w:val="0"/>
        <w:autoSpaceDN w:val="0"/>
        <w:adjustRightInd w:val="0"/>
        <w:jc w:val="both"/>
        <w:rPr>
          <w:b/>
          <w:bCs/>
        </w:rPr>
      </w:pPr>
    </w:p>
    <w:p w14:paraId="7A888176" w14:textId="77777777" w:rsidR="00D106C9" w:rsidRPr="00D106C9" w:rsidRDefault="00D106C9" w:rsidP="00D106C9">
      <w:pPr>
        <w:widowControl w:val="0"/>
        <w:autoSpaceDE w:val="0"/>
        <w:autoSpaceDN w:val="0"/>
        <w:adjustRightInd w:val="0"/>
        <w:jc w:val="both"/>
        <w:rPr>
          <w:b/>
          <w:bCs/>
        </w:rPr>
      </w:pPr>
    </w:p>
    <w:p w14:paraId="61DB7930" w14:textId="77777777" w:rsidR="00D106C9" w:rsidRPr="00D106C9" w:rsidRDefault="00D106C9" w:rsidP="00D106C9">
      <w:pPr>
        <w:widowControl w:val="0"/>
        <w:autoSpaceDE w:val="0"/>
        <w:autoSpaceDN w:val="0"/>
        <w:adjustRightInd w:val="0"/>
        <w:ind w:firstLine="8"/>
        <w:jc w:val="both"/>
        <w:rPr>
          <w:bCs/>
          <w:lang w:eastAsia="es-ES"/>
        </w:rPr>
      </w:pPr>
      <w:r w:rsidRPr="00D106C9">
        <w:rPr>
          <w:b/>
          <w:bCs/>
        </w:rPr>
        <w:t>Anexo 6: Correo recordatorio de los estados de las metas operativas no avalados por la Dirección de Planificación al cierre del Plan Anual Operativo 2021.</w:t>
      </w:r>
    </w:p>
    <w:p w14:paraId="3BC500E0" w14:textId="77777777" w:rsidR="00D106C9" w:rsidRPr="00D106C9" w:rsidRDefault="00D106C9" w:rsidP="00D106C9">
      <w:pPr>
        <w:jc w:val="center"/>
        <w:rPr>
          <w:b/>
        </w:rPr>
      </w:pPr>
    </w:p>
    <w:p w14:paraId="0FBF746F" w14:textId="77777777" w:rsidR="00D106C9" w:rsidRPr="00D106C9" w:rsidRDefault="00D106C9" w:rsidP="00D106C9">
      <w:pPr>
        <w:rPr>
          <w:b/>
        </w:rPr>
      </w:pPr>
    </w:p>
    <w:p w14:paraId="3EE27EBF" w14:textId="77777777" w:rsidR="00D106C9" w:rsidRPr="00D106C9" w:rsidRDefault="00D106C9" w:rsidP="00D106C9">
      <w:pPr>
        <w:jc w:val="center"/>
        <w:rPr>
          <w:b/>
        </w:rPr>
      </w:pPr>
      <w:r w:rsidRPr="00D106C9">
        <w:rPr>
          <w:b/>
        </w:rPr>
        <w:object w:dxaOrig="1376" w:dyaOrig="893" w14:anchorId="425D8FC6">
          <v:shape id="_x0000_i1030" type="#_x0000_t75" style="width:69pt;height:45pt" o:ole="">
            <v:imagedata r:id="rId43" o:title=""/>
          </v:shape>
          <o:OLEObject Type="Embed" ProgID="Package" ShapeID="_x0000_i1030" DrawAspect="Icon" ObjectID="_1716381961" r:id="rId44"/>
        </w:object>
      </w:r>
    </w:p>
    <w:p w14:paraId="1225369D" w14:textId="77777777" w:rsidR="00D106C9" w:rsidRPr="00D106C9" w:rsidRDefault="00D106C9" w:rsidP="00D106C9">
      <w:pPr>
        <w:jc w:val="center"/>
        <w:rPr>
          <w:b/>
        </w:rPr>
      </w:pPr>
    </w:p>
    <w:p w14:paraId="38ACD49E" w14:textId="77777777" w:rsidR="00D106C9" w:rsidRPr="00D106C9" w:rsidRDefault="00D106C9" w:rsidP="00D106C9">
      <w:pPr>
        <w:jc w:val="center"/>
        <w:rPr>
          <w:b/>
        </w:rPr>
      </w:pPr>
    </w:p>
    <w:p w14:paraId="596571FC" w14:textId="77777777" w:rsidR="00D106C9" w:rsidRPr="00D106C9" w:rsidRDefault="00D106C9" w:rsidP="00D106C9">
      <w:pPr>
        <w:jc w:val="center"/>
        <w:rPr>
          <w:rFonts w:eastAsiaTheme="minorEastAsia"/>
          <w:b/>
          <w:lang w:eastAsia="zh-CN"/>
        </w:rPr>
      </w:pPr>
      <w:r w:rsidRPr="00D106C9">
        <w:rPr>
          <w:b/>
        </w:rPr>
        <w:t xml:space="preserve">Anexo 7: </w:t>
      </w:r>
      <w:r w:rsidRPr="00D106C9">
        <w:rPr>
          <w:rFonts w:eastAsiaTheme="minorEastAsia"/>
          <w:b/>
          <w:lang w:eastAsia="zh-CN"/>
        </w:rPr>
        <w:t>Correo a los Centros de Responsabilidad con fecha del 10 de junio del 2021.</w:t>
      </w:r>
    </w:p>
    <w:p w14:paraId="23D2C06B" w14:textId="77777777" w:rsidR="00D106C9" w:rsidRPr="00D106C9" w:rsidRDefault="00D106C9" w:rsidP="00D106C9">
      <w:pPr>
        <w:jc w:val="center"/>
        <w:rPr>
          <w:b/>
        </w:rPr>
      </w:pPr>
    </w:p>
    <w:p w14:paraId="672C839D" w14:textId="77777777" w:rsidR="00D106C9" w:rsidRPr="00D106C9" w:rsidRDefault="00D106C9" w:rsidP="00D106C9">
      <w:pPr>
        <w:jc w:val="center"/>
        <w:rPr>
          <w:b/>
        </w:rPr>
      </w:pPr>
      <w:r w:rsidRPr="00D106C9">
        <w:rPr>
          <w:b/>
        </w:rPr>
        <w:object w:dxaOrig="1376" w:dyaOrig="893" w14:anchorId="1A617C71">
          <v:shape id="_x0000_i1031" type="#_x0000_t75" style="width:69.75pt;height:45pt" o:ole="">
            <v:imagedata r:id="rId45" o:title=""/>
          </v:shape>
          <o:OLEObject Type="Embed" ProgID="Package" ShapeID="_x0000_i1031" DrawAspect="Icon" ObjectID="_1716381962" r:id="rId46"/>
        </w:object>
      </w:r>
    </w:p>
    <w:p w14:paraId="31C20776" w14:textId="77777777" w:rsidR="00D106C9" w:rsidRPr="00D106C9" w:rsidRDefault="00D106C9" w:rsidP="00D106C9">
      <w:pPr>
        <w:jc w:val="center"/>
        <w:rPr>
          <w:b/>
        </w:rPr>
      </w:pPr>
    </w:p>
    <w:p w14:paraId="7BA50325" w14:textId="77777777" w:rsidR="00D106C9" w:rsidRPr="00D106C9" w:rsidRDefault="00D106C9" w:rsidP="00D106C9">
      <w:pPr>
        <w:jc w:val="center"/>
        <w:rPr>
          <w:b/>
        </w:rPr>
      </w:pPr>
    </w:p>
    <w:p w14:paraId="04769503" w14:textId="77777777" w:rsidR="00D106C9" w:rsidRPr="00D106C9" w:rsidRDefault="00D106C9" w:rsidP="00D106C9">
      <w:pPr>
        <w:jc w:val="center"/>
        <w:rPr>
          <w:b/>
        </w:rPr>
      </w:pPr>
      <w:r w:rsidRPr="00D106C9">
        <w:rPr>
          <w:b/>
        </w:rPr>
        <w:t>Anexo 8. Correo electrónico “Notificación automática Sistema PAO”</w:t>
      </w:r>
    </w:p>
    <w:p w14:paraId="543F3D39" w14:textId="77777777" w:rsidR="00D106C9" w:rsidRPr="00D106C9" w:rsidRDefault="00D106C9" w:rsidP="00D106C9">
      <w:pPr>
        <w:jc w:val="center"/>
        <w:rPr>
          <w:b/>
        </w:rPr>
      </w:pPr>
    </w:p>
    <w:p w14:paraId="191CA933" w14:textId="77777777" w:rsidR="00D106C9" w:rsidRPr="00D106C9" w:rsidRDefault="00D106C9" w:rsidP="00D106C9">
      <w:pPr>
        <w:jc w:val="center"/>
        <w:rPr>
          <w:b/>
        </w:rPr>
      </w:pPr>
    </w:p>
    <w:p w14:paraId="7B93B5CF" w14:textId="77777777" w:rsidR="00D106C9" w:rsidRPr="00D106C9" w:rsidRDefault="00D106C9" w:rsidP="00D106C9">
      <w:pPr>
        <w:jc w:val="center"/>
        <w:rPr>
          <w:b/>
        </w:rPr>
      </w:pPr>
      <w:r w:rsidRPr="00D106C9">
        <w:rPr>
          <w:b/>
        </w:rPr>
        <w:object w:dxaOrig="1376" w:dyaOrig="893" w14:anchorId="28EFC8E7">
          <v:shape id="_x0000_i1032" type="#_x0000_t75" style="width:69.75pt;height:45pt" o:ole="">
            <v:imagedata r:id="rId47" o:title=""/>
          </v:shape>
          <o:OLEObject Type="Embed" ProgID="Package" ShapeID="_x0000_i1032" DrawAspect="Icon" ObjectID="_1716381963" r:id="rId48"/>
        </w:object>
      </w:r>
    </w:p>
    <w:p w14:paraId="6CB2AD73" w14:textId="77777777" w:rsidR="00D106C9" w:rsidRPr="00D106C9" w:rsidRDefault="00D106C9" w:rsidP="00D106C9">
      <w:pPr>
        <w:jc w:val="center"/>
        <w:rPr>
          <w:b/>
        </w:rPr>
      </w:pPr>
    </w:p>
    <w:p w14:paraId="1DB4FA4F" w14:textId="77777777" w:rsidR="00D106C9" w:rsidRPr="00D106C9" w:rsidRDefault="00D106C9" w:rsidP="00D106C9">
      <w:pPr>
        <w:jc w:val="center"/>
        <w:rPr>
          <w:b/>
        </w:rPr>
      </w:pPr>
    </w:p>
    <w:p w14:paraId="42F360F8" w14:textId="77777777" w:rsidR="00D106C9" w:rsidRPr="00D106C9" w:rsidRDefault="00D106C9" w:rsidP="00D106C9">
      <w:pPr>
        <w:jc w:val="center"/>
        <w:rPr>
          <w:b/>
          <w:bCs/>
        </w:rPr>
      </w:pPr>
      <w:r w:rsidRPr="00D106C9">
        <w:rPr>
          <w:b/>
        </w:rPr>
        <w:t xml:space="preserve">Anexo 9. </w:t>
      </w:r>
      <w:r w:rsidRPr="00D106C9">
        <w:rPr>
          <w:b/>
          <w:bCs/>
        </w:rPr>
        <w:t>Cantidad de metas operativas vinculadas al PEI con un porcentaje de cumplimiento menor al 90%.</w:t>
      </w:r>
    </w:p>
    <w:p w14:paraId="0DDBF3BF" w14:textId="77777777" w:rsidR="00D106C9" w:rsidRPr="00D106C9" w:rsidRDefault="00D106C9" w:rsidP="00D106C9">
      <w:pPr>
        <w:jc w:val="center"/>
        <w:rPr>
          <w:b/>
          <w:bCs/>
        </w:rPr>
      </w:pPr>
    </w:p>
    <w:bookmarkStart w:id="65" w:name="_MON_1709014273"/>
    <w:bookmarkEnd w:id="65"/>
    <w:p w14:paraId="4A229E35" w14:textId="77777777" w:rsidR="00D106C9" w:rsidRPr="00D106C9" w:rsidRDefault="00D106C9" w:rsidP="00D106C9">
      <w:pPr>
        <w:jc w:val="center"/>
        <w:rPr>
          <w:b/>
        </w:rPr>
      </w:pPr>
      <w:r w:rsidRPr="00D106C9">
        <w:rPr>
          <w:b/>
        </w:rPr>
        <w:object w:dxaOrig="1376" w:dyaOrig="893" w14:anchorId="11FB1532">
          <v:shape id="_x0000_i1033" type="#_x0000_t75" style="width:69pt;height:45pt" o:ole="">
            <v:imagedata r:id="rId49" o:title=""/>
          </v:shape>
          <o:OLEObject Type="Embed" ProgID="Excel.Sheet.12" ShapeID="_x0000_i1033" DrawAspect="Icon" ObjectID="_1716381964" r:id="rId50"/>
        </w:object>
      </w:r>
    </w:p>
    <w:p w14:paraId="2D1C3D75" w14:textId="77777777" w:rsidR="00D106C9" w:rsidRPr="00D106C9" w:rsidRDefault="00D106C9" w:rsidP="00D106C9">
      <w:pPr>
        <w:jc w:val="center"/>
        <w:rPr>
          <w:b/>
        </w:rPr>
      </w:pPr>
    </w:p>
    <w:p w14:paraId="2F6E820E" w14:textId="77777777" w:rsidR="00D106C9" w:rsidRPr="00D106C9" w:rsidRDefault="00D106C9" w:rsidP="00D106C9">
      <w:pPr>
        <w:jc w:val="center"/>
        <w:rPr>
          <w:b/>
          <w:bCs/>
        </w:rPr>
      </w:pPr>
      <w:r w:rsidRPr="00D106C9">
        <w:rPr>
          <w:b/>
          <w:bCs/>
        </w:rPr>
        <w:t>Anexo 10. Plan de acción Covid-19. Estrategia 1. Reprogramación de Objetivos y Metas del PEI y PAO 2021.</w:t>
      </w:r>
    </w:p>
    <w:p w14:paraId="3D8010AD" w14:textId="77777777" w:rsidR="00D106C9" w:rsidRPr="00D106C9" w:rsidRDefault="00D106C9" w:rsidP="00D106C9">
      <w:pPr>
        <w:jc w:val="center"/>
        <w:rPr>
          <w:b/>
          <w:bCs/>
        </w:rPr>
      </w:pPr>
    </w:p>
    <w:p w14:paraId="750CA286" w14:textId="77777777" w:rsidR="00D106C9" w:rsidRPr="00D106C9" w:rsidRDefault="00D106C9" w:rsidP="00D106C9">
      <w:pPr>
        <w:jc w:val="center"/>
        <w:rPr>
          <w:b/>
        </w:rPr>
      </w:pPr>
      <w:r w:rsidRPr="00D106C9">
        <w:rPr>
          <w:b/>
        </w:rPr>
        <w:object w:dxaOrig="1376" w:dyaOrig="893" w14:anchorId="6868D962">
          <v:shape id="_x0000_i1034" type="#_x0000_t75" style="width:69pt;height:45pt" o:ole="">
            <v:imagedata r:id="rId51" o:title=""/>
          </v:shape>
          <o:OLEObject Type="Embed" ProgID="Excel.Sheet.12" ShapeID="_x0000_i1034" DrawAspect="Icon" ObjectID="_1716381965" r:id="rId52"/>
        </w:object>
      </w:r>
    </w:p>
    <w:p w14:paraId="00C3DB2E" w14:textId="77777777" w:rsidR="00D106C9" w:rsidRPr="00D106C9" w:rsidRDefault="00D106C9" w:rsidP="00D106C9">
      <w:pPr>
        <w:jc w:val="center"/>
        <w:rPr>
          <w:b/>
        </w:rPr>
      </w:pPr>
    </w:p>
    <w:p w14:paraId="74BC27C9" w14:textId="77777777" w:rsidR="00D106C9" w:rsidRPr="00D106C9" w:rsidRDefault="00D106C9" w:rsidP="00D106C9">
      <w:pPr>
        <w:jc w:val="center"/>
        <w:rPr>
          <w:b/>
        </w:rPr>
      </w:pPr>
    </w:p>
    <w:p w14:paraId="714F2D13" w14:textId="77777777" w:rsidR="00D106C9" w:rsidRPr="00D106C9" w:rsidRDefault="00D106C9" w:rsidP="00D106C9">
      <w:pPr>
        <w:jc w:val="center"/>
        <w:rPr>
          <w:b/>
          <w:bCs/>
        </w:rPr>
      </w:pPr>
      <w:r w:rsidRPr="00D106C9">
        <w:rPr>
          <w:b/>
          <w:bCs/>
        </w:rPr>
        <w:t>Anexo 11. Plan de acción Covid-19. Estrategia 2. Alimentación del Portafolio de Proyectos Estratégicos.</w:t>
      </w:r>
    </w:p>
    <w:p w14:paraId="05811C3B" w14:textId="77777777" w:rsidR="00D106C9" w:rsidRPr="00D106C9" w:rsidRDefault="00D106C9" w:rsidP="00D106C9">
      <w:pPr>
        <w:jc w:val="center"/>
        <w:rPr>
          <w:b/>
          <w:bCs/>
        </w:rPr>
      </w:pPr>
      <w:r w:rsidRPr="00D106C9">
        <w:rPr>
          <w:b/>
          <w:bCs/>
        </w:rPr>
        <w:object w:dxaOrig="1376" w:dyaOrig="893" w14:anchorId="1968639D">
          <v:shape id="_x0000_i1035" type="#_x0000_t75" style="width:69pt;height:45pt" o:ole="">
            <v:imagedata r:id="rId53" o:title=""/>
          </v:shape>
          <o:OLEObject Type="Embed" ProgID="Excel.Sheet.12" ShapeID="_x0000_i1035" DrawAspect="Icon" ObjectID="_1716381966" r:id="rId54"/>
        </w:object>
      </w:r>
    </w:p>
    <w:p w14:paraId="4524AD52" w14:textId="77777777" w:rsidR="00D106C9" w:rsidRPr="00D106C9" w:rsidRDefault="00D106C9" w:rsidP="00D106C9">
      <w:pPr>
        <w:rPr>
          <w:b/>
        </w:rPr>
      </w:pPr>
    </w:p>
    <w:p w14:paraId="2B19EADF" w14:textId="77777777" w:rsidR="00D106C9" w:rsidRPr="00D106C9" w:rsidRDefault="00D106C9" w:rsidP="00D106C9">
      <w:pPr>
        <w:jc w:val="center"/>
        <w:rPr>
          <w:b/>
          <w:bCs/>
        </w:rPr>
      </w:pPr>
      <w:r w:rsidRPr="00D106C9">
        <w:rPr>
          <w:b/>
          <w:bCs/>
        </w:rPr>
        <w:t>Anexo 12. Plan de acción Covid-19. Estrategia 3. Adecuación de modelos de trabajo en modalidad virtual en todas las oficinas y despachos judiciales.</w:t>
      </w:r>
    </w:p>
    <w:p w14:paraId="1C543CD0" w14:textId="77777777" w:rsidR="00D106C9" w:rsidRPr="00D106C9" w:rsidRDefault="00D106C9" w:rsidP="00D106C9">
      <w:pPr>
        <w:jc w:val="center"/>
        <w:rPr>
          <w:b/>
        </w:rPr>
      </w:pPr>
    </w:p>
    <w:p w14:paraId="66ADBC32" w14:textId="77777777" w:rsidR="00D106C9" w:rsidRPr="00D106C9" w:rsidRDefault="00D106C9" w:rsidP="00D106C9">
      <w:pPr>
        <w:jc w:val="center"/>
        <w:rPr>
          <w:b/>
        </w:rPr>
      </w:pPr>
      <w:r w:rsidRPr="00D106C9">
        <w:rPr>
          <w:b/>
        </w:rPr>
        <w:object w:dxaOrig="1376" w:dyaOrig="893" w14:anchorId="54C23DCC">
          <v:shape id="_x0000_i1036" type="#_x0000_t75" style="width:69pt;height:45pt" o:ole="">
            <v:imagedata r:id="rId55" o:title=""/>
          </v:shape>
          <o:OLEObject Type="Embed" ProgID="Excel.Sheet.12" ShapeID="_x0000_i1036" DrawAspect="Icon" ObjectID="_1716381967" r:id="rId56"/>
        </w:object>
      </w:r>
    </w:p>
    <w:p w14:paraId="3219B2B1" w14:textId="77777777" w:rsidR="00D106C9" w:rsidRPr="00D106C9" w:rsidRDefault="00D106C9" w:rsidP="00D106C9">
      <w:pPr>
        <w:rPr>
          <w:b/>
        </w:rPr>
      </w:pPr>
    </w:p>
    <w:p w14:paraId="1EE8F2B1" w14:textId="77777777" w:rsidR="00D106C9" w:rsidRPr="00D106C9" w:rsidRDefault="00D106C9" w:rsidP="00D106C9">
      <w:pPr>
        <w:rPr>
          <w:b/>
        </w:rPr>
      </w:pPr>
    </w:p>
    <w:p w14:paraId="69B3213A" w14:textId="77777777" w:rsidR="00D106C9" w:rsidRPr="00D106C9" w:rsidRDefault="00D106C9" w:rsidP="00D106C9">
      <w:pPr>
        <w:jc w:val="center"/>
        <w:rPr>
          <w:b/>
          <w:bCs/>
        </w:rPr>
      </w:pPr>
      <w:r w:rsidRPr="00D106C9">
        <w:rPr>
          <w:b/>
          <w:bCs/>
        </w:rPr>
        <w:t>Anexo 13. Plan de acción Covid-19. Estrategia 4. Estrategias para mantener y extender el teletrabajo.</w:t>
      </w:r>
    </w:p>
    <w:p w14:paraId="180E9F5D" w14:textId="77777777" w:rsidR="00D106C9" w:rsidRPr="00D106C9" w:rsidRDefault="00D106C9" w:rsidP="00D106C9">
      <w:pPr>
        <w:jc w:val="center"/>
        <w:rPr>
          <w:b/>
          <w:bCs/>
        </w:rPr>
      </w:pPr>
      <w:r w:rsidRPr="00D106C9">
        <w:rPr>
          <w:b/>
          <w:bCs/>
        </w:rPr>
        <w:object w:dxaOrig="1376" w:dyaOrig="893" w14:anchorId="3AC9AB0E">
          <v:shape id="_x0000_i1037" type="#_x0000_t75" style="width:69pt;height:45pt" o:ole="">
            <v:imagedata r:id="rId57" o:title=""/>
          </v:shape>
          <o:OLEObject Type="Embed" ProgID="Excel.Sheet.12" ShapeID="_x0000_i1037" DrawAspect="Icon" ObjectID="_1716381968" r:id="rId58"/>
        </w:object>
      </w:r>
    </w:p>
    <w:p w14:paraId="04047ED7" w14:textId="77777777" w:rsidR="00D106C9" w:rsidRPr="00D106C9" w:rsidRDefault="00D106C9" w:rsidP="00D106C9">
      <w:pPr>
        <w:jc w:val="center"/>
        <w:rPr>
          <w:b/>
          <w:bCs/>
        </w:rPr>
      </w:pPr>
      <w:r w:rsidRPr="00D106C9">
        <w:rPr>
          <w:b/>
          <w:bCs/>
        </w:rPr>
        <w:t>Anexo 14. Plan de acción Covid-19. Estrategia 5. Apoyo de las Comisiones Institucionales en promover los servicios virtuales.</w:t>
      </w:r>
    </w:p>
    <w:p w14:paraId="3B82BF98" w14:textId="77777777" w:rsidR="00D106C9" w:rsidRPr="00D106C9" w:rsidRDefault="00D106C9" w:rsidP="00D106C9">
      <w:pPr>
        <w:jc w:val="center"/>
        <w:rPr>
          <w:b/>
          <w:bCs/>
        </w:rPr>
      </w:pPr>
      <w:r w:rsidRPr="00D106C9">
        <w:rPr>
          <w:b/>
          <w:bCs/>
        </w:rPr>
        <w:object w:dxaOrig="1376" w:dyaOrig="893" w14:anchorId="65B3F9CC">
          <v:shape id="_x0000_i1038" type="#_x0000_t75" style="width:69pt;height:45pt" o:ole="">
            <v:imagedata r:id="rId59" o:title=""/>
          </v:shape>
          <o:OLEObject Type="Embed" ProgID="Excel.Sheet.12" ShapeID="_x0000_i1038" DrawAspect="Icon" ObjectID="_1716381969" r:id="rId60"/>
        </w:object>
      </w:r>
    </w:p>
    <w:p w14:paraId="21FCFA9E" w14:textId="77777777" w:rsidR="00D106C9" w:rsidRPr="00D106C9" w:rsidRDefault="00D106C9" w:rsidP="00D106C9">
      <w:pPr>
        <w:rPr>
          <w:b/>
        </w:rPr>
      </w:pPr>
    </w:p>
    <w:p w14:paraId="0127556C" w14:textId="77777777" w:rsidR="00D106C9" w:rsidRPr="00D106C9" w:rsidRDefault="00D106C9" w:rsidP="00D106C9">
      <w:pPr>
        <w:rPr>
          <w:b/>
        </w:rPr>
      </w:pPr>
    </w:p>
    <w:p w14:paraId="5D04B16D" w14:textId="77777777" w:rsidR="00D106C9" w:rsidRPr="00D106C9" w:rsidRDefault="00D106C9" w:rsidP="00D106C9">
      <w:pPr>
        <w:jc w:val="center"/>
        <w:rPr>
          <w:b/>
          <w:bCs/>
        </w:rPr>
      </w:pPr>
      <w:r w:rsidRPr="00D106C9">
        <w:rPr>
          <w:b/>
          <w:bCs/>
        </w:rPr>
        <w:t>Anexo 15. Plan de acción Covid-19. Estrategia 6. Promover reuniones, capacitaciones, congresos, sesiones de trabajo y talleres en modalidad virtual.</w:t>
      </w:r>
    </w:p>
    <w:p w14:paraId="18178E59" w14:textId="77777777" w:rsidR="00D106C9" w:rsidRPr="00D106C9" w:rsidRDefault="00D106C9" w:rsidP="00D106C9">
      <w:pPr>
        <w:jc w:val="center"/>
        <w:rPr>
          <w:b/>
        </w:rPr>
      </w:pPr>
    </w:p>
    <w:p w14:paraId="5ABCB2EA" w14:textId="77777777" w:rsidR="00D106C9" w:rsidRPr="00D106C9" w:rsidRDefault="00D106C9" w:rsidP="00D106C9">
      <w:pPr>
        <w:jc w:val="center"/>
        <w:rPr>
          <w:b/>
        </w:rPr>
      </w:pPr>
      <w:r w:rsidRPr="00D106C9">
        <w:rPr>
          <w:b/>
        </w:rPr>
        <w:object w:dxaOrig="1376" w:dyaOrig="893" w14:anchorId="4482EC6A">
          <v:shape id="_x0000_i1039" type="#_x0000_t75" style="width:69pt;height:45pt" o:ole="">
            <v:imagedata r:id="rId61" o:title=""/>
          </v:shape>
          <o:OLEObject Type="Embed" ProgID="Excel.Sheet.12" ShapeID="_x0000_i1039" DrawAspect="Icon" ObjectID="_1716381970" r:id="rId62"/>
        </w:object>
      </w:r>
    </w:p>
    <w:p w14:paraId="142898E5" w14:textId="77777777" w:rsidR="00D106C9" w:rsidRPr="00D106C9" w:rsidRDefault="00D106C9" w:rsidP="00D106C9">
      <w:pPr>
        <w:jc w:val="center"/>
        <w:rPr>
          <w:b/>
        </w:rPr>
      </w:pPr>
    </w:p>
    <w:p w14:paraId="747E5384" w14:textId="77777777" w:rsidR="00D106C9" w:rsidRPr="00D106C9" w:rsidRDefault="00D106C9" w:rsidP="00D106C9">
      <w:pPr>
        <w:rPr>
          <w:b/>
        </w:rPr>
      </w:pPr>
    </w:p>
    <w:p w14:paraId="2D56F65A" w14:textId="77777777" w:rsidR="00D106C9" w:rsidRPr="00D106C9" w:rsidRDefault="00D106C9" w:rsidP="00D106C9">
      <w:pPr>
        <w:jc w:val="center"/>
        <w:rPr>
          <w:b/>
          <w:bCs/>
        </w:rPr>
      </w:pPr>
      <w:r w:rsidRPr="00D106C9">
        <w:rPr>
          <w:b/>
          <w:bCs/>
        </w:rPr>
        <w:t>Anexo 16. Plan de acción Covid-19. Estrategia 7. Adecuación de protocolos de salud en relación con la prevención del contagio COVID-19.</w:t>
      </w:r>
    </w:p>
    <w:p w14:paraId="7C3596DC" w14:textId="77777777" w:rsidR="00D106C9" w:rsidRPr="00D106C9" w:rsidRDefault="00D106C9" w:rsidP="00D106C9">
      <w:pPr>
        <w:rPr>
          <w:b/>
        </w:rPr>
      </w:pPr>
    </w:p>
    <w:p w14:paraId="2EE970A8" w14:textId="77777777" w:rsidR="00D106C9" w:rsidRPr="00D106C9" w:rsidRDefault="00D106C9" w:rsidP="00D106C9">
      <w:pPr>
        <w:jc w:val="center"/>
        <w:rPr>
          <w:b/>
        </w:rPr>
      </w:pPr>
      <w:r w:rsidRPr="00D106C9">
        <w:rPr>
          <w:b/>
        </w:rPr>
        <w:object w:dxaOrig="1376" w:dyaOrig="893" w14:anchorId="6DB46829">
          <v:shape id="_x0000_i1040" type="#_x0000_t75" style="width:69pt;height:45pt" o:ole="">
            <v:imagedata r:id="rId63" o:title=""/>
          </v:shape>
          <o:OLEObject Type="Embed" ProgID="Excel.Sheet.12" ShapeID="_x0000_i1040" DrawAspect="Icon" ObjectID="_1716381971" r:id="rId64"/>
        </w:object>
      </w:r>
    </w:p>
    <w:p w14:paraId="4C93A4E3" w14:textId="77777777" w:rsidR="00D106C9" w:rsidRPr="00D106C9" w:rsidRDefault="00D106C9" w:rsidP="00D106C9">
      <w:pPr>
        <w:rPr>
          <w:b/>
        </w:rPr>
      </w:pPr>
    </w:p>
    <w:p w14:paraId="572979B8" w14:textId="77777777" w:rsidR="00D106C9" w:rsidRPr="00D106C9" w:rsidRDefault="00D106C9" w:rsidP="00D106C9">
      <w:pPr>
        <w:jc w:val="center"/>
        <w:rPr>
          <w:b/>
          <w:bCs/>
        </w:rPr>
      </w:pPr>
      <w:r w:rsidRPr="00D106C9">
        <w:rPr>
          <w:b/>
          <w:bCs/>
        </w:rPr>
        <w:t>Anexo 17. Plan de acción Covid-19. Estrategia 8. Revisión del presupuesto 2020 para su ejecución, la formulación del presupuesto 2021 y programación del presupuesto 2022.</w:t>
      </w:r>
    </w:p>
    <w:p w14:paraId="6D2F7F34" w14:textId="77777777" w:rsidR="00D106C9" w:rsidRPr="00D106C9" w:rsidRDefault="00D106C9" w:rsidP="00D106C9">
      <w:pPr>
        <w:jc w:val="center"/>
        <w:rPr>
          <w:b/>
        </w:rPr>
      </w:pPr>
      <w:r w:rsidRPr="00D106C9">
        <w:rPr>
          <w:b/>
        </w:rPr>
        <w:object w:dxaOrig="1376" w:dyaOrig="893" w14:anchorId="3D0CDBF0">
          <v:shape id="_x0000_i1041" type="#_x0000_t75" style="width:69pt;height:45pt" o:ole="">
            <v:imagedata r:id="rId65" o:title=""/>
          </v:shape>
          <o:OLEObject Type="Embed" ProgID="Excel.Sheet.12" ShapeID="_x0000_i1041" DrawAspect="Icon" ObjectID="_1716381972" r:id="rId66"/>
        </w:object>
      </w:r>
    </w:p>
    <w:p w14:paraId="522FD54A" w14:textId="77777777" w:rsidR="00D106C9" w:rsidRPr="00D106C9" w:rsidRDefault="00D106C9" w:rsidP="00D106C9">
      <w:pPr>
        <w:jc w:val="center"/>
        <w:rPr>
          <w:b/>
        </w:rPr>
      </w:pPr>
    </w:p>
    <w:p w14:paraId="10166B33" w14:textId="77777777" w:rsidR="00D106C9" w:rsidRPr="00D106C9" w:rsidRDefault="00D106C9" w:rsidP="00D106C9">
      <w:pPr>
        <w:jc w:val="center"/>
        <w:rPr>
          <w:b/>
        </w:rPr>
      </w:pPr>
    </w:p>
    <w:p w14:paraId="471B4BE8" w14:textId="77777777" w:rsidR="00D106C9" w:rsidRPr="00D106C9" w:rsidRDefault="00D106C9" w:rsidP="00D106C9">
      <w:pPr>
        <w:jc w:val="center"/>
        <w:rPr>
          <w:b/>
          <w:bCs/>
        </w:rPr>
      </w:pPr>
      <w:r w:rsidRPr="00D106C9">
        <w:rPr>
          <w:b/>
          <w:bCs/>
        </w:rPr>
        <w:t>Anexo 18. Plan de acción Covid-19. Estrategia 9. Ampliación de los servicios de la Línea 800.</w:t>
      </w:r>
    </w:p>
    <w:p w14:paraId="7D3BEEF3" w14:textId="77777777" w:rsidR="00D106C9" w:rsidRPr="00D106C9" w:rsidRDefault="00D106C9" w:rsidP="00D106C9">
      <w:pPr>
        <w:jc w:val="center"/>
        <w:rPr>
          <w:b/>
        </w:rPr>
      </w:pPr>
      <w:r w:rsidRPr="00D106C9">
        <w:rPr>
          <w:b/>
        </w:rPr>
        <w:object w:dxaOrig="1376" w:dyaOrig="893" w14:anchorId="315E6785">
          <v:shape id="_x0000_i1042" type="#_x0000_t75" style="width:69pt;height:45pt" o:ole="">
            <v:imagedata r:id="rId67" o:title=""/>
          </v:shape>
          <o:OLEObject Type="Embed" ProgID="Excel.Sheet.12" ShapeID="_x0000_i1042" DrawAspect="Icon" ObjectID="_1716381973" r:id="rId68"/>
        </w:object>
      </w:r>
    </w:p>
    <w:p w14:paraId="7F4AE127" w14:textId="77777777" w:rsidR="00D106C9" w:rsidRPr="00D106C9" w:rsidRDefault="00D106C9" w:rsidP="00D106C9">
      <w:pPr>
        <w:rPr>
          <w:b/>
        </w:rPr>
      </w:pPr>
    </w:p>
    <w:p w14:paraId="76AC7F30" w14:textId="77777777" w:rsidR="00D106C9" w:rsidRPr="00D106C9" w:rsidRDefault="00D106C9" w:rsidP="00D106C9">
      <w:pPr>
        <w:jc w:val="center"/>
        <w:rPr>
          <w:b/>
          <w:bCs/>
        </w:rPr>
      </w:pPr>
      <w:r w:rsidRPr="00D106C9">
        <w:rPr>
          <w:b/>
          <w:bCs/>
        </w:rPr>
        <w:t>Anexo 19. Plan de acción Covid-19. Estrategia 11. Potenciar la comunicación de los servicios virtuales disponibles a la ciudadanía.</w:t>
      </w:r>
    </w:p>
    <w:p w14:paraId="5298558A" w14:textId="77777777" w:rsidR="00D106C9" w:rsidRPr="00D106C9" w:rsidRDefault="00D106C9" w:rsidP="00D106C9">
      <w:pPr>
        <w:jc w:val="center"/>
        <w:rPr>
          <w:b/>
        </w:rPr>
      </w:pPr>
      <w:r w:rsidRPr="00D106C9">
        <w:rPr>
          <w:b/>
        </w:rPr>
        <w:object w:dxaOrig="1376" w:dyaOrig="893" w14:anchorId="0DB63149">
          <v:shape id="_x0000_i1043" type="#_x0000_t75" style="width:69pt;height:45pt" o:ole="">
            <v:imagedata r:id="rId69" o:title=""/>
          </v:shape>
          <o:OLEObject Type="Embed" ProgID="Excel.Sheet.12" ShapeID="_x0000_i1043" DrawAspect="Icon" ObjectID="_1716381974" r:id="rId70"/>
        </w:object>
      </w:r>
    </w:p>
    <w:p w14:paraId="391667C6" w14:textId="77777777" w:rsidR="00D106C9" w:rsidRPr="00D106C9" w:rsidRDefault="00D106C9" w:rsidP="00D106C9">
      <w:pPr>
        <w:rPr>
          <w:b/>
        </w:rPr>
      </w:pPr>
    </w:p>
    <w:p w14:paraId="2B97EC33" w14:textId="77777777" w:rsidR="00D106C9" w:rsidRPr="00D106C9" w:rsidRDefault="00D106C9" w:rsidP="00D106C9">
      <w:pPr>
        <w:jc w:val="center"/>
        <w:rPr>
          <w:b/>
          <w:bCs/>
        </w:rPr>
      </w:pPr>
      <w:r w:rsidRPr="00D106C9">
        <w:rPr>
          <w:b/>
          <w:bCs/>
        </w:rPr>
        <w:lastRenderedPageBreak/>
        <w:t>Anexo 20. Plan de acción Covid-19. Estrategia 12. Propuesta reincorporación progresiva de personal vulnerable.</w:t>
      </w:r>
    </w:p>
    <w:p w14:paraId="7E4D2F20" w14:textId="77777777" w:rsidR="00D106C9" w:rsidRPr="00D106C9" w:rsidRDefault="00D106C9" w:rsidP="00D106C9">
      <w:pPr>
        <w:rPr>
          <w:b/>
        </w:rPr>
      </w:pPr>
    </w:p>
    <w:p w14:paraId="7215CD37" w14:textId="77777777" w:rsidR="00D106C9" w:rsidRPr="00D106C9" w:rsidRDefault="00D106C9" w:rsidP="00D106C9">
      <w:pPr>
        <w:jc w:val="center"/>
        <w:rPr>
          <w:b/>
        </w:rPr>
      </w:pPr>
      <w:r w:rsidRPr="00D106C9">
        <w:rPr>
          <w:b/>
        </w:rPr>
        <w:object w:dxaOrig="1376" w:dyaOrig="893" w14:anchorId="218D7A70">
          <v:shape id="_x0000_i1044" type="#_x0000_t75" style="width:69pt;height:45pt" o:ole="">
            <v:imagedata r:id="rId71" o:title=""/>
          </v:shape>
          <o:OLEObject Type="Embed" ProgID="Excel.Sheet.12" ShapeID="_x0000_i1044" DrawAspect="Icon" ObjectID="_1716381975" r:id="rId72"/>
        </w:object>
      </w:r>
    </w:p>
    <w:p w14:paraId="496EBB14" w14:textId="77777777" w:rsidR="00D106C9" w:rsidRPr="00D106C9" w:rsidRDefault="00D106C9" w:rsidP="00D106C9">
      <w:pPr>
        <w:rPr>
          <w:b/>
        </w:rPr>
      </w:pPr>
    </w:p>
    <w:p w14:paraId="380BD119" w14:textId="77777777" w:rsidR="00D106C9" w:rsidRPr="00D106C9" w:rsidRDefault="00D106C9" w:rsidP="00D106C9">
      <w:pPr>
        <w:rPr>
          <w:b/>
        </w:rPr>
      </w:pPr>
    </w:p>
    <w:p w14:paraId="386175F6" w14:textId="77777777" w:rsidR="00D106C9" w:rsidRPr="00D106C9" w:rsidRDefault="00D106C9" w:rsidP="00D106C9">
      <w:pPr>
        <w:jc w:val="center"/>
        <w:rPr>
          <w:b/>
          <w:bCs/>
        </w:rPr>
      </w:pPr>
      <w:r w:rsidRPr="00D106C9">
        <w:rPr>
          <w:b/>
          <w:bCs/>
        </w:rPr>
        <w:t>Anexo 21. Plan de acción Covid-19. Estrategia 13. Evaluación del Riesgo de Exposición del Personal al COVID-19.</w:t>
      </w:r>
    </w:p>
    <w:p w14:paraId="0DF73BF5" w14:textId="77777777" w:rsidR="00D106C9" w:rsidRPr="00D106C9" w:rsidRDefault="00D106C9" w:rsidP="00D106C9">
      <w:pPr>
        <w:rPr>
          <w:b/>
        </w:rPr>
      </w:pPr>
    </w:p>
    <w:p w14:paraId="60C3D475" w14:textId="77777777" w:rsidR="00D106C9" w:rsidRPr="00D106C9" w:rsidRDefault="00D106C9" w:rsidP="00D106C9">
      <w:pPr>
        <w:jc w:val="center"/>
        <w:rPr>
          <w:b/>
        </w:rPr>
      </w:pPr>
      <w:r w:rsidRPr="00D106C9">
        <w:rPr>
          <w:b/>
        </w:rPr>
        <w:object w:dxaOrig="1376" w:dyaOrig="893" w14:anchorId="4B9EE803">
          <v:shape id="_x0000_i1045" type="#_x0000_t75" style="width:69pt;height:45pt" o:ole="">
            <v:imagedata r:id="rId73" o:title=""/>
          </v:shape>
          <o:OLEObject Type="Embed" ProgID="Excel.Sheet.12" ShapeID="_x0000_i1045" DrawAspect="Icon" ObjectID="_1716381976" r:id="rId74"/>
        </w:object>
      </w:r>
    </w:p>
    <w:p w14:paraId="53BA7E05" w14:textId="77777777" w:rsidR="00D106C9" w:rsidRPr="00D106C9" w:rsidRDefault="00D106C9" w:rsidP="00D106C9">
      <w:pPr>
        <w:rPr>
          <w:b/>
        </w:rPr>
      </w:pPr>
    </w:p>
    <w:p w14:paraId="348166C6" w14:textId="77777777" w:rsidR="00D106C9" w:rsidRPr="00D106C9" w:rsidRDefault="00D106C9" w:rsidP="00D106C9">
      <w:pPr>
        <w:rPr>
          <w:b/>
        </w:rPr>
      </w:pPr>
    </w:p>
    <w:p w14:paraId="6350956A" w14:textId="77777777" w:rsidR="00D106C9" w:rsidRPr="00D106C9" w:rsidRDefault="00D106C9" w:rsidP="00D106C9">
      <w:pPr>
        <w:jc w:val="center"/>
        <w:rPr>
          <w:b/>
          <w:bCs/>
        </w:rPr>
      </w:pPr>
      <w:r w:rsidRPr="00D106C9">
        <w:rPr>
          <w:b/>
          <w:bCs/>
        </w:rPr>
        <w:t>Anexo 22. Plan de acción Covid-19. Estrategia 14. Gestión de riesgos institucionales.</w:t>
      </w:r>
    </w:p>
    <w:p w14:paraId="2580FB65" w14:textId="77777777" w:rsidR="00D106C9" w:rsidRPr="00D106C9" w:rsidRDefault="00D106C9" w:rsidP="00D106C9">
      <w:pPr>
        <w:jc w:val="center"/>
        <w:rPr>
          <w:b/>
          <w:bCs/>
        </w:rPr>
      </w:pPr>
      <w:r w:rsidRPr="00D106C9">
        <w:rPr>
          <w:b/>
          <w:bCs/>
        </w:rPr>
        <w:object w:dxaOrig="1376" w:dyaOrig="893" w14:anchorId="2A37A650">
          <v:shape id="_x0000_i1046" type="#_x0000_t75" style="width:69pt;height:45pt" o:ole="">
            <v:imagedata r:id="rId75" o:title=""/>
          </v:shape>
          <o:OLEObject Type="Embed" ProgID="Excel.Sheet.12" ShapeID="_x0000_i1046" DrawAspect="Icon" ObjectID="_1716381977" r:id="rId76"/>
        </w:object>
      </w:r>
    </w:p>
    <w:p w14:paraId="60391D24" w14:textId="77777777" w:rsidR="00D106C9" w:rsidRPr="00D106C9" w:rsidRDefault="00D106C9" w:rsidP="00D106C9">
      <w:pPr>
        <w:rPr>
          <w:b/>
        </w:rPr>
      </w:pPr>
    </w:p>
    <w:p w14:paraId="0A1FEAEA" w14:textId="77777777" w:rsidR="00D106C9" w:rsidRPr="00D106C9" w:rsidRDefault="00D106C9" w:rsidP="00D106C9">
      <w:pPr>
        <w:jc w:val="center"/>
        <w:rPr>
          <w:b/>
          <w:bCs/>
        </w:rPr>
      </w:pPr>
      <w:r w:rsidRPr="00D106C9">
        <w:rPr>
          <w:b/>
          <w:bCs/>
        </w:rPr>
        <w:t>Anexo 23. Plan de acción Covid-19. Estrategia 15. Modificación de horarios.</w:t>
      </w:r>
    </w:p>
    <w:p w14:paraId="0583B7A7" w14:textId="77777777" w:rsidR="00D106C9" w:rsidRPr="00D106C9" w:rsidRDefault="00D106C9" w:rsidP="00D106C9">
      <w:pPr>
        <w:rPr>
          <w:b/>
        </w:rPr>
      </w:pPr>
    </w:p>
    <w:p w14:paraId="29292E54" w14:textId="77777777" w:rsidR="00D106C9" w:rsidRPr="00D106C9" w:rsidRDefault="00D106C9" w:rsidP="00D106C9">
      <w:pPr>
        <w:jc w:val="center"/>
        <w:rPr>
          <w:b/>
        </w:rPr>
      </w:pPr>
      <w:r w:rsidRPr="00D106C9">
        <w:rPr>
          <w:b/>
        </w:rPr>
        <w:object w:dxaOrig="1376" w:dyaOrig="893" w14:anchorId="33F42221">
          <v:shape id="_x0000_i1047" type="#_x0000_t75" style="width:69pt;height:45pt" o:ole="">
            <v:imagedata r:id="rId77" o:title=""/>
          </v:shape>
          <o:OLEObject Type="Embed" ProgID="Excel.Sheet.12" ShapeID="_x0000_i1047" DrawAspect="Icon" ObjectID="_1716381978" r:id="rId78"/>
        </w:object>
      </w:r>
    </w:p>
    <w:p w14:paraId="2BE309E2" w14:textId="77777777" w:rsidR="00D106C9" w:rsidRPr="00D106C9" w:rsidRDefault="00D106C9" w:rsidP="00D106C9">
      <w:pPr>
        <w:rPr>
          <w:b/>
        </w:rPr>
      </w:pPr>
    </w:p>
    <w:p w14:paraId="3FFEF3E0" w14:textId="77777777" w:rsidR="00D106C9" w:rsidRPr="00D106C9" w:rsidRDefault="00D106C9" w:rsidP="00D106C9">
      <w:pPr>
        <w:jc w:val="center"/>
        <w:rPr>
          <w:b/>
          <w:bCs/>
        </w:rPr>
      </w:pPr>
      <w:r w:rsidRPr="00D106C9">
        <w:rPr>
          <w:b/>
          <w:bCs/>
        </w:rPr>
        <w:t>Anexo 24. Plan de acción Covid-19. Estrategia 16. Ampliación de convenios interinstitucionales.</w:t>
      </w:r>
    </w:p>
    <w:p w14:paraId="32DEAADF" w14:textId="77777777" w:rsidR="00D106C9" w:rsidRPr="00D106C9" w:rsidRDefault="00D106C9" w:rsidP="00D106C9">
      <w:pPr>
        <w:jc w:val="center"/>
        <w:rPr>
          <w:b/>
        </w:rPr>
      </w:pPr>
      <w:r w:rsidRPr="00D106C9">
        <w:rPr>
          <w:b/>
        </w:rPr>
        <w:object w:dxaOrig="1376" w:dyaOrig="893" w14:anchorId="37CE2860">
          <v:shape id="_x0000_i1048" type="#_x0000_t75" style="width:69pt;height:45pt" o:ole="">
            <v:imagedata r:id="rId79" o:title=""/>
          </v:shape>
          <o:OLEObject Type="Embed" ProgID="Excel.Sheet.12" ShapeID="_x0000_i1048" DrawAspect="Icon" ObjectID="_1716381979" r:id="rId80"/>
        </w:object>
      </w:r>
    </w:p>
    <w:p w14:paraId="234E0654" w14:textId="77777777" w:rsidR="00D106C9" w:rsidRPr="00D106C9" w:rsidRDefault="00D106C9" w:rsidP="00D106C9">
      <w:pPr>
        <w:jc w:val="center"/>
        <w:rPr>
          <w:b/>
          <w:bCs/>
        </w:rPr>
      </w:pPr>
      <w:bookmarkStart w:id="66" w:name="_Hlk98489218"/>
      <w:r w:rsidRPr="00D106C9">
        <w:rPr>
          <w:b/>
          <w:bCs/>
        </w:rPr>
        <w:t>Anexo 25. Plan de acción Covid-19. Estrategia 17. Actualización de los mecanismos de recolección de información y monitoreo de las acciones implementadas mediante indicadores específicos.</w:t>
      </w:r>
    </w:p>
    <w:bookmarkEnd w:id="66"/>
    <w:p w14:paraId="03558BC7" w14:textId="77777777" w:rsidR="00D106C9" w:rsidRPr="00D106C9" w:rsidRDefault="00D106C9" w:rsidP="00D106C9">
      <w:pPr>
        <w:jc w:val="center"/>
        <w:rPr>
          <w:b/>
          <w:bCs/>
        </w:rPr>
      </w:pPr>
      <w:r w:rsidRPr="00D106C9">
        <w:rPr>
          <w:b/>
          <w:bCs/>
        </w:rPr>
        <w:object w:dxaOrig="1376" w:dyaOrig="893" w14:anchorId="7AEFC34A">
          <v:shape id="_x0000_i1049" type="#_x0000_t75" style="width:69pt;height:45pt" o:ole="">
            <v:imagedata r:id="rId81" o:title=""/>
          </v:shape>
          <o:OLEObject Type="Embed" ProgID="Excel.Sheet.12" ShapeID="_x0000_i1049" DrawAspect="Icon" ObjectID="_1716381980" r:id="rId82"/>
        </w:object>
      </w:r>
    </w:p>
    <w:p w14:paraId="03DFFACF" w14:textId="77777777" w:rsidR="00D106C9" w:rsidRPr="00D106C9" w:rsidRDefault="00D106C9" w:rsidP="00D106C9">
      <w:pPr>
        <w:rPr>
          <w:b/>
        </w:rPr>
      </w:pPr>
    </w:p>
    <w:p w14:paraId="42A57C70" w14:textId="77777777" w:rsidR="00D106C9" w:rsidRPr="00D106C9" w:rsidRDefault="00D106C9" w:rsidP="00D106C9">
      <w:pPr>
        <w:rPr>
          <w:b/>
        </w:rPr>
      </w:pPr>
    </w:p>
    <w:p w14:paraId="61A3B917" w14:textId="77777777" w:rsidR="00D106C9" w:rsidRPr="00D106C9" w:rsidRDefault="00D106C9" w:rsidP="00D106C9">
      <w:pPr>
        <w:jc w:val="center"/>
        <w:rPr>
          <w:b/>
          <w:bCs/>
        </w:rPr>
      </w:pPr>
      <w:r w:rsidRPr="00D106C9">
        <w:rPr>
          <w:b/>
          <w:bCs/>
        </w:rPr>
        <w:t>Anexo 26. Plan de acción Covid-19. Estrategia 18. Gestión de Servicios Críticos.</w:t>
      </w:r>
    </w:p>
    <w:p w14:paraId="6100907A" w14:textId="77777777" w:rsidR="00D106C9" w:rsidRPr="00D106C9" w:rsidRDefault="00D106C9" w:rsidP="00D106C9">
      <w:pPr>
        <w:rPr>
          <w:b/>
        </w:rPr>
      </w:pPr>
    </w:p>
    <w:p w14:paraId="6DB39273" w14:textId="77777777" w:rsidR="00D106C9" w:rsidRPr="00D106C9" w:rsidRDefault="00D106C9" w:rsidP="00D106C9">
      <w:pPr>
        <w:jc w:val="center"/>
        <w:rPr>
          <w:b/>
        </w:rPr>
      </w:pPr>
      <w:r w:rsidRPr="00D106C9">
        <w:rPr>
          <w:b/>
        </w:rPr>
        <w:object w:dxaOrig="1376" w:dyaOrig="893" w14:anchorId="5B23D49C">
          <v:shape id="_x0000_i1050" type="#_x0000_t75" style="width:69pt;height:45pt" o:ole="">
            <v:imagedata r:id="rId83" o:title=""/>
          </v:shape>
          <o:OLEObject Type="Embed" ProgID="Excel.Sheet.12" ShapeID="_x0000_i1050" DrawAspect="Icon" ObjectID="_1716381981" r:id="rId84"/>
        </w:object>
      </w:r>
    </w:p>
    <w:p w14:paraId="1D0648D4" w14:textId="77777777" w:rsidR="00D106C9" w:rsidRPr="00D106C9" w:rsidRDefault="00D106C9" w:rsidP="00D106C9">
      <w:pPr>
        <w:rPr>
          <w:b/>
        </w:rPr>
      </w:pPr>
    </w:p>
    <w:p w14:paraId="1524BB05" w14:textId="77777777" w:rsidR="00D106C9" w:rsidRPr="00D106C9" w:rsidRDefault="00D106C9" w:rsidP="00D106C9">
      <w:pPr>
        <w:rPr>
          <w:b/>
        </w:rPr>
      </w:pPr>
    </w:p>
    <w:p w14:paraId="3D2765AA" w14:textId="77777777" w:rsidR="00D106C9" w:rsidRPr="00D106C9" w:rsidRDefault="00D106C9" w:rsidP="00D106C9">
      <w:pPr>
        <w:jc w:val="center"/>
        <w:rPr>
          <w:b/>
          <w:bCs/>
        </w:rPr>
      </w:pPr>
      <w:r w:rsidRPr="00D106C9">
        <w:rPr>
          <w:b/>
          <w:bCs/>
        </w:rPr>
        <w:t>Anexo 27. Plan de acción Covid-19. Estrategia 19. Lineamientos de Corte Plena y Consejo Superior, en atención a la declaratoria de emergencia nacional, debido a la situación de emergencia sanitaria provocada por la enfermedad COVID-19.</w:t>
      </w:r>
    </w:p>
    <w:p w14:paraId="2B74031A" w14:textId="77777777" w:rsidR="00D106C9" w:rsidRPr="00D106C9" w:rsidRDefault="00D106C9" w:rsidP="00D106C9">
      <w:pPr>
        <w:rPr>
          <w:b/>
        </w:rPr>
      </w:pPr>
    </w:p>
    <w:p w14:paraId="1CA7B5D8" w14:textId="77777777" w:rsidR="00D106C9" w:rsidRPr="00D106C9" w:rsidRDefault="00D106C9" w:rsidP="00D106C9">
      <w:pPr>
        <w:jc w:val="center"/>
        <w:rPr>
          <w:b/>
        </w:rPr>
      </w:pPr>
      <w:r w:rsidRPr="00D106C9">
        <w:rPr>
          <w:b/>
        </w:rPr>
        <w:object w:dxaOrig="1376" w:dyaOrig="893" w14:anchorId="08A03FB7">
          <v:shape id="_x0000_i1051" type="#_x0000_t75" style="width:69pt;height:45pt" o:ole="">
            <v:imagedata r:id="rId85" o:title=""/>
          </v:shape>
          <o:OLEObject Type="Embed" ProgID="Excel.Sheet.12" ShapeID="_x0000_i1051" DrawAspect="Icon" ObjectID="_1716381982" r:id="rId86"/>
        </w:object>
      </w:r>
    </w:p>
    <w:p w14:paraId="68F7D830" w14:textId="77777777" w:rsidR="00D106C9" w:rsidRPr="00D106C9" w:rsidRDefault="00D106C9" w:rsidP="00D106C9">
      <w:pPr>
        <w:rPr>
          <w:b/>
        </w:rPr>
      </w:pPr>
    </w:p>
    <w:p w14:paraId="072D9689" w14:textId="77777777" w:rsidR="00D106C9" w:rsidRPr="00D106C9" w:rsidRDefault="00D106C9" w:rsidP="00D106C9">
      <w:pPr>
        <w:jc w:val="center"/>
        <w:rPr>
          <w:b/>
          <w:bCs/>
        </w:rPr>
      </w:pPr>
      <w:r w:rsidRPr="00D106C9">
        <w:rPr>
          <w:b/>
          <w:bCs/>
        </w:rPr>
        <w:t>Anexo 28. Plan de acción Covid-19. Estrategia 21. Seguimiento de los alcances de las acciones realizadas.</w:t>
      </w:r>
    </w:p>
    <w:p w14:paraId="7AF4CB3A" w14:textId="77777777" w:rsidR="00D106C9" w:rsidRPr="00D106C9" w:rsidRDefault="00D106C9" w:rsidP="00D106C9">
      <w:pPr>
        <w:jc w:val="center"/>
        <w:rPr>
          <w:b/>
          <w:bCs/>
        </w:rPr>
      </w:pPr>
      <w:r w:rsidRPr="00D106C9">
        <w:rPr>
          <w:b/>
          <w:bCs/>
        </w:rPr>
        <w:object w:dxaOrig="1376" w:dyaOrig="893" w14:anchorId="06B8F732">
          <v:shape id="_x0000_i1052" type="#_x0000_t75" style="width:69pt;height:45pt" o:ole="">
            <v:imagedata r:id="rId87" o:title=""/>
          </v:shape>
          <o:OLEObject Type="Embed" ProgID="Excel.Sheet.12" ShapeID="_x0000_i1052" DrawAspect="Icon" ObjectID="_1716381983" r:id="rId88"/>
        </w:object>
      </w:r>
    </w:p>
    <w:p w14:paraId="1C255886" w14:textId="77777777" w:rsidR="00D106C9" w:rsidRPr="00D106C9" w:rsidRDefault="00D106C9" w:rsidP="00D106C9">
      <w:pPr>
        <w:jc w:val="center"/>
        <w:rPr>
          <w:b/>
          <w:bCs/>
        </w:rPr>
      </w:pPr>
    </w:p>
    <w:p w14:paraId="5FC1C83F" w14:textId="77777777" w:rsidR="00D106C9" w:rsidRPr="00D106C9" w:rsidRDefault="00D106C9" w:rsidP="00D106C9">
      <w:pPr>
        <w:jc w:val="center"/>
        <w:rPr>
          <w:b/>
          <w:bCs/>
        </w:rPr>
      </w:pPr>
      <w:r w:rsidRPr="00D106C9">
        <w:rPr>
          <w:b/>
          <w:bCs/>
        </w:rPr>
        <w:t xml:space="preserve">Anexo 29. </w:t>
      </w:r>
      <w:r w:rsidRPr="00D106C9">
        <w:rPr>
          <w:b/>
        </w:rPr>
        <w:t>Acuerdo del Consejo Superior, sesión 03-2022, celebrada el 11 de enero del 2022, artículo XLVIII.</w:t>
      </w:r>
    </w:p>
    <w:bookmarkStart w:id="67" w:name="_MON_1713350407"/>
    <w:bookmarkEnd w:id="67"/>
    <w:p w14:paraId="282C023D" w14:textId="77777777" w:rsidR="00D106C9" w:rsidRPr="00D106C9" w:rsidRDefault="00D106C9" w:rsidP="00D106C9">
      <w:pPr>
        <w:jc w:val="center"/>
        <w:rPr>
          <w:b/>
        </w:rPr>
      </w:pPr>
      <w:r w:rsidRPr="00D106C9">
        <w:object w:dxaOrig="1508" w:dyaOrig="983" w14:anchorId="00EFF6FC">
          <v:shape id="_x0000_i1053" type="#_x0000_t75" style="width:75pt;height:49.5pt" o:ole="">
            <v:imagedata r:id="rId89" o:title=""/>
          </v:shape>
          <o:OLEObject Type="Embed" ProgID="Word.Document.12" ShapeID="_x0000_i1053" DrawAspect="Icon" ObjectID="_1716381984" r:id="rId90">
            <o:FieldCodes>\s</o:FieldCodes>
          </o:OLEObject>
        </w:object>
      </w:r>
    </w:p>
    <w:p w14:paraId="3B5EA079" w14:textId="77777777" w:rsidR="00D106C9" w:rsidRPr="00D106C9" w:rsidRDefault="00D106C9" w:rsidP="00D106C9">
      <w:pPr>
        <w:rPr>
          <w:b/>
        </w:rPr>
      </w:pPr>
    </w:p>
    <w:p w14:paraId="383F1248" w14:textId="77777777" w:rsidR="00D106C9" w:rsidRPr="00D106C9" w:rsidRDefault="00D106C9" w:rsidP="00D106C9">
      <w:pPr>
        <w:jc w:val="center"/>
        <w:rPr>
          <w:b/>
          <w:bCs/>
        </w:rPr>
      </w:pPr>
      <w:r w:rsidRPr="00D106C9">
        <w:rPr>
          <w:b/>
          <w:bCs/>
        </w:rPr>
        <w:t xml:space="preserve">Anexo 30. </w:t>
      </w:r>
      <w:hyperlink r:id="rId91" w:tooltip="Circular externa 5-2021 Recordatorio de reprogramación de objetivos y metas de los Planes Anuales Operativos PAO 2021" w:history="1">
        <w:r w:rsidRPr="00D106C9">
          <w:rPr>
            <w:b/>
            <w:snapToGrid w:val="0"/>
          </w:rPr>
          <w:t>Circular externa 01-2022 Recordatorio de reprogramación de objetivos y metas de los Planes Anuales Operativos PAO 202</w:t>
        </w:r>
      </w:hyperlink>
      <w:r w:rsidRPr="00D106C9">
        <w:rPr>
          <w:b/>
          <w:snapToGrid w:val="0"/>
        </w:rPr>
        <w:t>2.</w:t>
      </w:r>
    </w:p>
    <w:p w14:paraId="66AD2334" w14:textId="77777777" w:rsidR="00D106C9" w:rsidRPr="00D106C9" w:rsidRDefault="00D106C9" w:rsidP="00D106C9">
      <w:pPr>
        <w:rPr>
          <w:b/>
        </w:rPr>
      </w:pPr>
    </w:p>
    <w:bookmarkStart w:id="68" w:name="_MON_1709104508"/>
    <w:bookmarkEnd w:id="68"/>
    <w:p w14:paraId="1B2C73EF" w14:textId="77777777" w:rsidR="00D106C9" w:rsidRPr="00D106C9" w:rsidRDefault="00D106C9" w:rsidP="00D106C9">
      <w:pPr>
        <w:jc w:val="center"/>
        <w:rPr>
          <w:b/>
        </w:rPr>
      </w:pPr>
      <w:r w:rsidRPr="00D106C9">
        <w:rPr>
          <w:b/>
        </w:rPr>
        <w:object w:dxaOrig="1508" w:dyaOrig="983" w14:anchorId="10E2CF68">
          <v:shape id="_x0000_i1054" type="#_x0000_t75" style="width:75pt;height:49.5pt" o:ole="">
            <v:imagedata r:id="rId92" o:title=""/>
          </v:shape>
          <o:OLEObject Type="Embed" ProgID="Word.Document.12" ShapeID="_x0000_i1054" DrawAspect="Icon" ObjectID="_1716381985" r:id="rId93">
            <o:FieldCodes>\s</o:FieldCodes>
          </o:OLEObject>
        </w:object>
      </w:r>
    </w:p>
    <w:p w14:paraId="13685CD6" w14:textId="77777777" w:rsidR="00D106C9" w:rsidRPr="00D106C9" w:rsidRDefault="00D106C9" w:rsidP="00D106C9">
      <w:pPr>
        <w:rPr>
          <w:b/>
        </w:rPr>
      </w:pPr>
    </w:p>
    <w:p w14:paraId="25BE3C62" w14:textId="77777777" w:rsidR="00D106C9" w:rsidRPr="00D106C9" w:rsidRDefault="00D106C9" w:rsidP="00D106C9">
      <w:pPr>
        <w:jc w:val="center"/>
        <w:rPr>
          <w:b/>
          <w:bCs/>
          <w:lang w:eastAsia="es-ES"/>
        </w:rPr>
      </w:pPr>
      <w:r w:rsidRPr="00D106C9">
        <w:rPr>
          <w:b/>
          <w:bCs/>
        </w:rPr>
        <w:t xml:space="preserve">Anexo 31. </w:t>
      </w:r>
      <w:hyperlink r:id="rId94" w:tooltip="Circular externa 5-2021 Recordatorio de reprogramación de objetivos y metas de los Planes Anuales Operativos PAO 2021" w:history="1">
        <w:r w:rsidRPr="00D106C9">
          <w:rPr>
            <w:b/>
            <w:snapToGrid w:val="0"/>
          </w:rPr>
          <w:t xml:space="preserve">Circular externa 02-2021 </w:t>
        </w:r>
      </w:hyperlink>
      <w:bookmarkStart w:id="69" w:name="_Hlk26450484"/>
      <w:r w:rsidRPr="00D106C9">
        <w:rPr>
          <w:lang w:eastAsia="es-ES"/>
        </w:rPr>
        <w:t xml:space="preserve"> </w:t>
      </w:r>
      <w:r w:rsidRPr="00D106C9">
        <w:rPr>
          <w:b/>
          <w:bCs/>
          <w:lang w:eastAsia="es-ES"/>
        </w:rPr>
        <w:t>Elaboración y entrega de los Planes Anuales Operativos para el período 2022 en el Sistema PAO.</w:t>
      </w:r>
      <w:bookmarkEnd w:id="69"/>
    </w:p>
    <w:bookmarkStart w:id="70" w:name="_MON_1709104950"/>
    <w:bookmarkEnd w:id="70"/>
    <w:p w14:paraId="0E1F4FC0" w14:textId="77777777" w:rsidR="00D106C9" w:rsidRPr="00D106C9" w:rsidRDefault="00D106C9" w:rsidP="00D106C9">
      <w:pPr>
        <w:jc w:val="center"/>
        <w:rPr>
          <w:b/>
          <w:bCs/>
          <w:lang w:eastAsia="es-ES"/>
        </w:rPr>
      </w:pPr>
      <w:r w:rsidRPr="00D106C9">
        <w:rPr>
          <w:b/>
          <w:bCs/>
          <w:lang w:eastAsia="es-ES"/>
        </w:rPr>
        <w:object w:dxaOrig="1508" w:dyaOrig="983" w14:anchorId="683B828D">
          <v:shape id="_x0000_i1055" type="#_x0000_t75" style="width:75pt;height:49.5pt" o:ole="">
            <v:imagedata r:id="rId95" o:title=""/>
          </v:shape>
          <o:OLEObject Type="Embed" ProgID="Word.Document.12" ShapeID="_x0000_i1055" DrawAspect="Icon" ObjectID="_1716381986" r:id="rId96">
            <o:FieldCodes>\s</o:FieldCodes>
          </o:OLEObject>
        </w:object>
      </w:r>
    </w:p>
    <w:p w14:paraId="62432B8D" w14:textId="77777777" w:rsidR="00D106C9" w:rsidRPr="00D106C9" w:rsidRDefault="00D106C9" w:rsidP="00D106C9">
      <w:pPr>
        <w:jc w:val="center"/>
        <w:rPr>
          <w:b/>
        </w:rPr>
      </w:pPr>
      <w:bookmarkStart w:id="71" w:name="_Hlk79589335"/>
    </w:p>
    <w:p w14:paraId="45EA9FE8" w14:textId="77777777" w:rsidR="00D106C9" w:rsidRPr="00D106C9" w:rsidRDefault="00D106C9" w:rsidP="00D106C9">
      <w:pPr>
        <w:jc w:val="center"/>
        <w:rPr>
          <w:b/>
          <w:bCs/>
        </w:rPr>
      </w:pPr>
      <w:r w:rsidRPr="00D106C9">
        <w:rPr>
          <w:b/>
          <w:bCs/>
        </w:rPr>
        <w:t>Anexo 32. Cápsulas informativas.</w:t>
      </w:r>
    </w:p>
    <w:p w14:paraId="55055F65" w14:textId="77777777" w:rsidR="00D106C9" w:rsidRPr="00D106C9" w:rsidRDefault="00D106C9" w:rsidP="00D106C9">
      <w:pPr>
        <w:jc w:val="center"/>
        <w:rPr>
          <w:b/>
          <w:bCs/>
          <w:lang w:eastAsia="es-ES"/>
        </w:rPr>
      </w:pPr>
      <w:r w:rsidRPr="00D106C9">
        <w:rPr>
          <w:b/>
          <w:bCs/>
        </w:rPr>
        <w:object w:dxaOrig="1508" w:dyaOrig="983" w14:anchorId="4E0C4249">
          <v:shape id="_x0000_i1056" type="#_x0000_t75" style="width:75pt;height:49.5pt" o:ole="">
            <v:imagedata r:id="rId97" o:title=""/>
          </v:shape>
          <o:OLEObject Type="Embed" ProgID="PowerPoint.Show.12" ShapeID="_x0000_i1056" DrawAspect="Icon" ObjectID="_1716381987" r:id="rId98"/>
        </w:object>
      </w:r>
      <w:r w:rsidRPr="00D106C9">
        <w:rPr>
          <w:b/>
          <w:bCs/>
        </w:rPr>
        <w:object w:dxaOrig="1508" w:dyaOrig="983" w14:anchorId="4757D19F">
          <v:shape id="_x0000_i1057" type="#_x0000_t75" style="width:75pt;height:49.5pt" o:ole="">
            <v:imagedata r:id="rId99" o:title=""/>
          </v:shape>
          <o:OLEObject Type="Embed" ProgID="PowerPoint.Show.12" ShapeID="_x0000_i1057" DrawAspect="Icon" ObjectID="_1716381988" r:id="rId100"/>
        </w:object>
      </w:r>
      <w:r w:rsidRPr="00D106C9">
        <w:rPr>
          <w:b/>
          <w:bCs/>
        </w:rPr>
        <w:object w:dxaOrig="1508" w:dyaOrig="983" w14:anchorId="0F119835">
          <v:shape id="_x0000_i1058" type="#_x0000_t75" style="width:75pt;height:49.5pt" o:ole="">
            <v:imagedata r:id="rId101" o:title=""/>
          </v:shape>
          <o:OLEObject Type="Embed" ProgID="PowerPoint.Show.12" ShapeID="_x0000_i1058" DrawAspect="Icon" ObjectID="_1716381989" r:id="rId102"/>
        </w:object>
      </w:r>
      <w:r w:rsidRPr="00D106C9">
        <w:rPr>
          <w:b/>
          <w:bCs/>
        </w:rPr>
        <w:t xml:space="preserve"> </w:t>
      </w:r>
    </w:p>
    <w:p w14:paraId="4A2996E8" w14:textId="77777777" w:rsidR="00D106C9" w:rsidRPr="00D106C9" w:rsidRDefault="00D106C9" w:rsidP="00D106C9">
      <w:pPr>
        <w:jc w:val="center"/>
        <w:rPr>
          <w:b/>
        </w:rPr>
      </w:pPr>
    </w:p>
    <w:p w14:paraId="388F2DBB" w14:textId="77777777" w:rsidR="00D106C9" w:rsidRPr="00D106C9" w:rsidRDefault="00D106C9" w:rsidP="00D106C9">
      <w:pPr>
        <w:jc w:val="center"/>
        <w:rPr>
          <w:b/>
        </w:rPr>
      </w:pPr>
    </w:p>
    <w:p w14:paraId="67DA248A" w14:textId="77777777" w:rsidR="00D106C9" w:rsidRPr="00D106C9" w:rsidRDefault="00D106C9" w:rsidP="00D106C9">
      <w:pPr>
        <w:jc w:val="center"/>
        <w:rPr>
          <w:b/>
        </w:rPr>
      </w:pPr>
      <w:r w:rsidRPr="00D106C9">
        <w:rPr>
          <w:b/>
        </w:rPr>
        <w:t>Anexo 33: Correo Información para los Centros de Responsabilidad de la mejora realizada para la revisión de evidencia que adjunta los despachos y oficinas.</w:t>
      </w:r>
    </w:p>
    <w:bookmarkEnd w:id="71"/>
    <w:p w14:paraId="36B8B885" w14:textId="77777777" w:rsidR="00D106C9" w:rsidRPr="00D106C9" w:rsidRDefault="00D106C9" w:rsidP="00D106C9">
      <w:pPr>
        <w:jc w:val="center"/>
        <w:rPr>
          <w:b/>
        </w:rPr>
      </w:pPr>
    </w:p>
    <w:p w14:paraId="678B9FDB" w14:textId="77777777" w:rsidR="00D106C9" w:rsidRPr="00D106C9" w:rsidRDefault="00D106C9" w:rsidP="00D106C9">
      <w:pPr>
        <w:jc w:val="center"/>
        <w:rPr>
          <w:b/>
        </w:rPr>
      </w:pPr>
    </w:p>
    <w:p w14:paraId="728070B8" w14:textId="77777777" w:rsidR="00D106C9" w:rsidRPr="00D106C9" w:rsidRDefault="00D106C9" w:rsidP="00D106C9">
      <w:pPr>
        <w:jc w:val="center"/>
        <w:rPr>
          <w:b/>
        </w:rPr>
      </w:pPr>
      <w:r w:rsidRPr="00D106C9">
        <w:rPr>
          <w:b/>
        </w:rPr>
        <w:object w:dxaOrig="1376" w:dyaOrig="893" w14:anchorId="3108DBC2">
          <v:shape id="_x0000_i1059" type="#_x0000_t75" style="width:69.75pt;height:45pt" o:ole="">
            <v:imagedata r:id="rId103" o:title=""/>
          </v:shape>
          <o:OLEObject Type="Embed" ProgID="Package" ShapeID="_x0000_i1059" DrawAspect="Icon" ObjectID="_1716381990" r:id="rId104"/>
        </w:object>
      </w:r>
    </w:p>
    <w:p w14:paraId="44712CB8" w14:textId="77777777" w:rsidR="00D106C9" w:rsidRPr="00D106C9" w:rsidRDefault="00D106C9" w:rsidP="00D106C9">
      <w:pPr>
        <w:jc w:val="center"/>
        <w:rPr>
          <w:b/>
        </w:rPr>
      </w:pPr>
    </w:p>
    <w:p w14:paraId="44CD5BA5" w14:textId="77777777" w:rsidR="00D106C9" w:rsidRPr="00D106C9" w:rsidRDefault="00D106C9" w:rsidP="00D106C9">
      <w:pPr>
        <w:jc w:val="center"/>
        <w:rPr>
          <w:b/>
        </w:rPr>
      </w:pPr>
    </w:p>
    <w:p w14:paraId="1541A9C0" w14:textId="77777777" w:rsidR="00D106C9" w:rsidRPr="00D106C9" w:rsidRDefault="00D106C9" w:rsidP="00D106C9">
      <w:pPr>
        <w:jc w:val="center"/>
        <w:rPr>
          <w:b/>
        </w:rPr>
      </w:pPr>
      <w:r w:rsidRPr="00D106C9">
        <w:rPr>
          <w:b/>
        </w:rPr>
        <w:t>Anexo 34: Mejoras en el Sistema para formular el PAO 2022.</w:t>
      </w:r>
    </w:p>
    <w:p w14:paraId="1319F84E" w14:textId="77777777" w:rsidR="00D106C9" w:rsidRPr="00D106C9" w:rsidRDefault="00D106C9" w:rsidP="00D106C9">
      <w:pPr>
        <w:jc w:val="center"/>
        <w:rPr>
          <w:b/>
        </w:rPr>
      </w:pPr>
    </w:p>
    <w:p w14:paraId="66577BBC" w14:textId="77777777" w:rsidR="00D106C9" w:rsidRPr="00D106C9" w:rsidRDefault="00D106C9" w:rsidP="00D106C9">
      <w:pPr>
        <w:jc w:val="center"/>
        <w:rPr>
          <w:b/>
        </w:rPr>
      </w:pPr>
      <w:r w:rsidRPr="00D106C9">
        <w:rPr>
          <w:b/>
        </w:rPr>
        <w:object w:dxaOrig="1376" w:dyaOrig="893" w14:anchorId="3BE3654A">
          <v:shape id="_x0000_i1060" type="#_x0000_t75" style="width:69.75pt;height:45pt" o:ole="">
            <v:imagedata r:id="rId105" o:title=""/>
          </v:shape>
          <o:OLEObject Type="Embed" ProgID="Package" ShapeID="_x0000_i1060" DrawAspect="Icon" ObjectID="_1716381991" r:id="rId106"/>
        </w:object>
      </w:r>
    </w:p>
    <w:p w14:paraId="4532CC5D" w14:textId="77777777" w:rsidR="00D106C9" w:rsidRPr="00D106C9" w:rsidRDefault="00D106C9" w:rsidP="00D106C9">
      <w:pPr>
        <w:jc w:val="center"/>
        <w:rPr>
          <w:b/>
        </w:rPr>
      </w:pPr>
    </w:p>
    <w:p w14:paraId="48D6E94C" w14:textId="77777777" w:rsidR="00D106C9" w:rsidRPr="00D106C9" w:rsidRDefault="00D106C9" w:rsidP="00D106C9">
      <w:pPr>
        <w:jc w:val="center"/>
        <w:rPr>
          <w:b/>
        </w:rPr>
      </w:pPr>
    </w:p>
    <w:p w14:paraId="77C0D675" w14:textId="77777777" w:rsidR="00D106C9" w:rsidRPr="00D106C9" w:rsidRDefault="00D106C9" w:rsidP="00D106C9">
      <w:pPr>
        <w:jc w:val="center"/>
        <w:rPr>
          <w:b/>
        </w:rPr>
      </w:pPr>
      <w:r w:rsidRPr="00D106C9">
        <w:rPr>
          <w:b/>
        </w:rPr>
        <w:t>Anexo 35: Vinculación PEI y PAO.</w:t>
      </w:r>
    </w:p>
    <w:p w14:paraId="3BF03C24" w14:textId="77777777" w:rsidR="00D106C9" w:rsidRPr="00D106C9" w:rsidRDefault="00D106C9" w:rsidP="00D106C9">
      <w:pPr>
        <w:rPr>
          <w:b/>
        </w:rPr>
      </w:pPr>
    </w:p>
    <w:p w14:paraId="0A4011D0" w14:textId="77777777" w:rsidR="00D106C9" w:rsidRPr="00D106C9" w:rsidRDefault="00D106C9" w:rsidP="00D106C9">
      <w:pPr>
        <w:jc w:val="center"/>
        <w:rPr>
          <w:b/>
        </w:rPr>
      </w:pPr>
      <w:r w:rsidRPr="00D106C9">
        <w:rPr>
          <w:b/>
        </w:rPr>
        <w:object w:dxaOrig="1376" w:dyaOrig="893" w14:anchorId="1DB18A1F">
          <v:shape id="_x0000_i1061" type="#_x0000_t75" style="width:69.75pt;height:45pt" o:ole="">
            <v:imagedata r:id="rId107" o:title=""/>
          </v:shape>
          <o:OLEObject Type="Embed" ProgID="Package" ShapeID="_x0000_i1061" DrawAspect="Icon" ObjectID="_1716381992" r:id="rId108"/>
        </w:object>
      </w:r>
    </w:p>
    <w:p w14:paraId="56F81F25" w14:textId="77777777" w:rsidR="00D106C9" w:rsidRPr="00D106C9" w:rsidRDefault="00D106C9" w:rsidP="00D106C9">
      <w:pPr>
        <w:jc w:val="center"/>
        <w:rPr>
          <w:b/>
        </w:rPr>
      </w:pPr>
    </w:p>
    <w:p w14:paraId="07CFAC55" w14:textId="77777777" w:rsidR="00D106C9" w:rsidRPr="00D106C9" w:rsidRDefault="00D106C9" w:rsidP="00D106C9">
      <w:pPr>
        <w:jc w:val="center"/>
        <w:rPr>
          <w:b/>
        </w:rPr>
      </w:pPr>
      <w:r w:rsidRPr="00D106C9">
        <w:rPr>
          <w:b/>
        </w:rPr>
        <w:t xml:space="preserve">Anexo 36: ¿Qué hacer si se registra un avance incorrecto en el </w:t>
      </w:r>
      <w:proofErr w:type="gramStart"/>
      <w:r w:rsidRPr="00D106C9">
        <w:rPr>
          <w:b/>
        </w:rPr>
        <w:t>PAO?.</w:t>
      </w:r>
      <w:proofErr w:type="gramEnd"/>
    </w:p>
    <w:p w14:paraId="4512DCD8" w14:textId="77777777" w:rsidR="00D106C9" w:rsidRPr="00D106C9" w:rsidRDefault="00D106C9" w:rsidP="00D106C9">
      <w:pPr>
        <w:jc w:val="center"/>
        <w:rPr>
          <w:b/>
        </w:rPr>
      </w:pPr>
    </w:p>
    <w:p w14:paraId="7FAF2B7F" w14:textId="77777777" w:rsidR="00D106C9" w:rsidRPr="00D106C9" w:rsidRDefault="00D106C9" w:rsidP="00D106C9">
      <w:pPr>
        <w:jc w:val="center"/>
        <w:rPr>
          <w:b/>
        </w:rPr>
      </w:pPr>
      <w:r w:rsidRPr="00D106C9">
        <w:rPr>
          <w:b/>
        </w:rPr>
        <w:object w:dxaOrig="1376" w:dyaOrig="893" w14:anchorId="3F0C909E">
          <v:shape id="_x0000_i1062" type="#_x0000_t75" style="width:69.75pt;height:45pt" o:ole="">
            <v:imagedata r:id="rId109" o:title=""/>
          </v:shape>
          <o:OLEObject Type="Embed" ProgID="Package" ShapeID="_x0000_i1062" DrawAspect="Icon" ObjectID="_1716381993" r:id="rId110"/>
        </w:object>
      </w:r>
    </w:p>
    <w:p w14:paraId="7E24AFF4" w14:textId="77777777" w:rsidR="00D106C9" w:rsidRPr="00D106C9" w:rsidRDefault="00D106C9" w:rsidP="00D106C9">
      <w:pPr>
        <w:jc w:val="center"/>
        <w:rPr>
          <w:b/>
        </w:rPr>
      </w:pPr>
    </w:p>
    <w:p w14:paraId="607F178E" w14:textId="77777777" w:rsidR="00D106C9" w:rsidRPr="00D106C9" w:rsidRDefault="00D106C9" w:rsidP="00D106C9">
      <w:pPr>
        <w:jc w:val="center"/>
        <w:rPr>
          <w:b/>
        </w:rPr>
      </w:pPr>
      <w:r w:rsidRPr="00D106C9">
        <w:rPr>
          <w:b/>
        </w:rPr>
        <w:lastRenderedPageBreak/>
        <w:t>Anexo 37: El Centro de Responsabilidad puede</w:t>
      </w:r>
      <w:r w:rsidRPr="00D106C9">
        <w:t xml:space="preserve"> </w:t>
      </w:r>
      <w:r w:rsidRPr="00D106C9">
        <w:rPr>
          <w:b/>
        </w:rPr>
        <w:t>revisar los avances del PAO de las oficinas a su cargo.</w:t>
      </w:r>
    </w:p>
    <w:p w14:paraId="06B77C6E" w14:textId="77777777" w:rsidR="00D106C9" w:rsidRPr="00D106C9" w:rsidRDefault="00D106C9" w:rsidP="00D106C9">
      <w:pPr>
        <w:jc w:val="center"/>
        <w:rPr>
          <w:b/>
        </w:rPr>
      </w:pPr>
    </w:p>
    <w:p w14:paraId="482D3345" w14:textId="77777777" w:rsidR="00D106C9" w:rsidRPr="00D106C9" w:rsidRDefault="00D106C9" w:rsidP="00D106C9">
      <w:pPr>
        <w:jc w:val="center"/>
        <w:rPr>
          <w:b/>
        </w:rPr>
      </w:pPr>
      <w:r w:rsidRPr="00D106C9">
        <w:rPr>
          <w:b/>
        </w:rPr>
        <w:object w:dxaOrig="1376" w:dyaOrig="893" w14:anchorId="6014D091">
          <v:shape id="_x0000_i1063" type="#_x0000_t75" style="width:69.75pt;height:45pt" o:ole="">
            <v:imagedata r:id="rId111" o:title=""/>
          </v:shape>
          <o:OLEObject Type="Embed" ProgID="Package" ShapeID="_x0000_i1063" DrawAspect="Icon" ObjectID="_1716381994" r:id="rId112"/>
        </w:object>
      </w:r>
    </w:p>
    <w:p w14:paraId="0914B776" w14:textId="77777777" w:rsidR="00D106C9" w:rsidRPr="00D106C9" w:rsidRDefault="00D106C9" w:rsidP="00D106C9">
      <w:pPr>
        <w:jc w:val="center"/>
        <w:rPr>
          <w:b/>
        </w:rPr>
      </w:pPr>
    </w:p>
    <w:p w14:paraId="7ACED1BA" w14:textId="77777777" w:rsidR="00D106C9" w:rsidRPr="00D106C9" w:rsidRDefault="00D106C9" w:rsidP="00D106C9">
      <w:pPr>
        <w:jc w:val="center"/>
        <w:rPr>
          <w:b/>
        </w:rPr>
      </w:pPr>
    </w:p>
    <w:p w14:paraId="6B50BEAF" w14:textId="77777777" w:rsidR="00D106C9" w:rsidRPr="00D106C9" w:rsidRDefault="00D106C9" w:rsidP="00D106C9">
      <w:pPr>
        <w:jc w:val="center"/>
        <w:rPr>
          <w:b/>
        </w:rPr>
      </w:pPr>
      <w:r w:rsidRPr="00D106C9">
        <w:rPr>
          <w:b/>
        </w:rPr>
        <w:t>Anexo 38: Mejoras en el sistema para formular el PAO 2022</w:t>
      </w:r>
    </w:p>
    <w:p w14:paraId="13B031FE" w14:textId="77777777" w:rsidR="00D106C9" w:rsidRPr="00D106C9" w:rsidRDefault="00D106C9" w:rsidP="00D106C9">
      <w:pPr>
        <w:jc w:val="center"/>
        <w:rPr>
          <w:b/>
        </w:rPr>
      </w:pPr>
    </w:p>
    <w:p w14:paraId="697A9ED5" w14:textId="77777777" w:rsidR="00D106C9" w:rsidRPr="00D106C9" w:rsidRDefault="00D106C9" w:rsidP="00D106C9">
      <w:pPr>
        <w:jc w:val="center"/>
        <w:rPr>
          <w:b/>
        </w:rPr>
      </w:pPr>
      <w:r w:rsidRPr="00D106C9">
        <w:rPr>
          <w:b/>
        </w:rPr>
        <w:object w:dxaOrig="1376" w:dyaOrig="893" w14:anchorId="19923C58">
          <v:shape id="_x0000_i1064" type="#_x0000_t75" style="width:69.75pt;height:45pt" o:ole="">
            <v:imagedata r:id="rId113" o:title=""/>
          </v:shape>
          <o:OLEObject Type="Embed" ProgID="Package" ShapeID="_x0000_i1064" DrawAspect="Icon" ObjectID="_1716381995" r:id="rId114"/>
        </w:object>
      </w:r>
    </w:p>
    <w:p w14:paraId="202C4F1C" w14:textId="77777777" w:rsidR="00D106C9" w:rsidRPr="00D106C9" w:rsidRDefault="00D106C9" w:rsidP="00D106C9">
      <w:pPr>
        <w:rPr>
          <w:b/>
        </w:rPr>
      </w:pPr>
    </w:p>
    <w:p w14:paraId="5EE3B711" w14:textId="77777777" w:rsidR="00D106C9" w:rsidRPr="00D106C9" w:rsidRDefault="00D106C9" w:rsidP="00D106C9">
      <w:pPr>
        <w:rPr>
          <w:b/>
        </w:rPr>
      </w:pPr>
    </w:p>
    <w:p w14:paraId="60F2F578" w14:textId="77777777" w:rsidR="00D106C9" w:rsidRPr="00D106C9" w:rsidRDefault="00D106C9" w:rsidP="00D106C9">
      <w:pPr>
        <w:jc w:val="center"/>
        <w:rPr>
          <w:b/>
        </w:rPr>
      </w:pPr>
      <w:r w:rsidRPr="00D106C9">
        <w:rPr>
          <w:b/>
        </w:rPr>
        <w:t>Anexo 39: Registro automático de avance de metas operativas sobre casos terminados</w:t>
      </w:r>
    </w:p>
    <w:p w14:paraId="63BFE4D1" w14:textId="77777777" w:rsidR="00D106C9" w:rsidRPr="00D106C9" w:rsidRDefault="00D106C9" w:rsidP="00D106C9">
      <w:pPr>
        <w:rPr>
          <w:b/>
        </w:rPr>
      </w:pPr>
    </w:p>
    <w:p w14:paraId="53BA192A" w14:textId="77777777" w:rsidR="00D106C9" w:rsidRPr="00D106C9" w:rsidRDefault="00D106C9" w:rsidP="00D106C9">
      <w:pPr>
        <w:jc w:val="center"/>
        <w:rPr>
          <w:b/>
        </w:rPr>
      </w:pPr>
      <w:r w:rsidRPr="00D106C9">
        <w:rPr>
          <w:b/>
        </w:rPr>
        <w:object w:dxaOrig="1376" w:dyaOrig="893" w14:anchorId="1A21C481">
          <v:shape id="_x0000_i1065" type="#_x0000_t75" style="width:69pt;height:45pt" o:ole="">
            <v:imagedata r:id="rId115" o:title=""/>
          </v:shape>
          <o:OLEObject Type="Embed" ProgID="Package" ShapeID="_x0000_i1065" DrawAspect="Icon" ObjectID="_1716381996" r:id="rId116"/>
        </w:object>
      </w:r>
    </w:p>
    <w:p w14:paraId="25644809" w14:textId="77777777" w:rsidR="00D106C9" w:rsidRPr="00D106C9" w:rsidRDefault="00D106C9" w:rsidP="00D106C9">
      <w:pPr>
        <w:rPr>
          <w:b/>
        </w:rPr>
      </w:pPr>
    </w:p>
    <w:p w14:paraId="132C4AB4" w14:textId="77777777" w:rsidR="00D106C9" w:rsidRPr="00D106C9" w:rsidRDefault="00D106C9" w:rsidP="00D106C9">
      <w:pPr>
        <w:jc w:val="center"/>
        <w:rPr>
          <w:b/>
        </w:rPr>
      </w:pPr>
      <w:r w:rsidRPr="00D106C9">
        <w:rPr>
          <w:b/>
        </w:rPr>
        <w:t xml:space="preserve">Anexo 40: </w:t>
      </w:r>
      <w:r w:rsidRPr="00D106C9">
        <w:rPr>
          <w:b/>
          <w:bCs/>
        </w:rPr>
        <w:t>Metas sobre casos terminados se actualizan automáticamente en el Sistema PAO</w:t>
      </w:r>
    </w:p>
    <w:p w14:paraId="253A8F2B" w14:textId="77777777" w:rsidR="00D106C9" w:rsidRPr="00D106C9" w:rsidRDefault="00D106C9" w:rsidP="00D106C9">
      <w:pPr>
        <w:jc w:val="center"/>
        <w:rPr>
          <w:b/>
        </w:rPr>
      </w:pPr>
    </w:p>
    <w:p w14:paraId="52932BCD" w14:textId="77777777" w:rsidR="00D106C9" w:rsidRPr="00D106C9" w:rsidRDefault="00D106C9" w:rsidP="00D106C9">
      <w:pPr>
        <w:jc w:val="center"/>
        <w:rPr>
          <w:b/>
        </w:rPr>
      </w:pPr>
      <w:r w:rsidRPr="00D106C9">
        <w:rPr>
          <w:b/>
        </w:rPr>
        <w:object w:dxaOrig="1376" w:dyaOrig="893" w14:anchorId="1C7C35BF">
          <v:shape id="_x0000_i1066" type="#_x0000_t75" style="width:69pt;height:45pt" o:ole="">
            <v:imagedata r:id="rId117" o:title=""/>
          </v:shape>
          <o:OLEObject Type="Embed" ProgID="Package" ShapeID="_x0000_i1066" DrawAspect="Icon" ObjectID="_1716381997" r:id="rId118"/>
        </w:object>
      </w:r>
    </w:p>
    <w:p w14:paraId="730446BD" w14:textId="77777777" w:rsidR="00D106C9" w:rsidRPr="00D106C9" w:rsidRDefault="00D106C9" w:rsidP="00D106C9">
      <w:pPr>
        <w:widowControl w:val="0"/>
        <w:suppressAutoHyphens w:val="0"/>
        <w:autoSpaceDE w:val="0"/>
        <w:autoSpaceDN w:val="0"/>
        <w:adjustRightInd w:val="0"/>
        <w:jc w:val="center"/>
        <w:rPr>
          <w:b/>
          <w:bCs/>
          <w:lang w:eastAsia="es-ES"/>
        </w:rPr>
      </w:pPr>
      <w:r w:rsidRPr="00D106C9">
        <w:rPr>
          <w:b/>
          <w:bCs/>
          <w:lang w:eastAsia="es-ES"/>
        </w:rPr>
        <w:t>-0-</w:t>
      </w:r>
    </w:p>
    <w:p w14:paraId="061AB6C0" w14:textId="77777777" w:rsidR="00D106C9" w:rsidRPr="00D106C9" w:rsidRDefault="00D106C9" w:rsidP="00D106C9">
      <w:pPr>
        <w:widowControl w:val="0"/>
        <w:suppressAutoHyphens w:val="0"/>
        <w:autoSpaceDE w:val="0"/>
        <w:autoSpaceDN w:val="0"/>
        <w:adjustRightInd w:val="0"/>
        <w:ind w:firstLine="709"/>
        <w:jc w:val="both"/>
        <w:rPr>
          <w:lang w:eastAsia="es-ES"/>
        </w:rPr>
      </w:pPr>
      <w:r w:rsidRPr="00D106C9">
        <w:rPr>
          <w:lang w:eastAsia="es-ES"/>
        </w:rPr>
        <w:t xml:space="preserve">Mediante Oficio </w:t>
      </w:r>
      <w:proofErr w:type="spellStart"/>
      <w:r w:rsidRPr="00D106C9">
        <w:rPr>
          <w:lang w:eastAsia="es-ES"/>
        </w:rPr>
        <w:t>N°</w:t>
      </w:r>
      <w:proofErr w:type="spellEnd"/>
      <w:r w:rsidRPr="00D106C9">
        <w:rPr>
          <w:lang w:eastAsia="es-ES"/>
        </w:rPr>
        <w:t xml:space="preserve"> 1662-DE-2022 de fecha 10 de mayo de 2022, la MBA. Ana Eugenia Romero Jenkins, </w:t>
      </w:r>
      <w:proofErr w:type="gramStart"/>
      <w:r w:rsidRPr="00D106C9">
        <w:rPr>
          <w:lang w:eastAsia="es-ES"/>
        </w:rPr>
        <w:t>Directora Ejecutiva</w:t>
      </w:r>
      <w:proofErr w:type="gramEnd"/>
      <w:r w:rsidRPr="00D106C9">
        <w:rPr>
          <w:lang w:eastAsia="es-ES"/>
        </w:rPr>
        <w:t>, señala literalmente lo siguiente:</w:t>
      </w:r>
    </w:p>
    <w:p w14:paraId="49E1A16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“Esta Dirección Ejecutiva recibió copia del oficio </w:t>
      </w:r>
      <w:proofErr w:type="spellStart"/>
      <w:r w:rsidRPr="00D106C9">
        <w:rPr>
          <w:lang w:eastAsia="es-ES"/>
        </w:rPr>
        <w:t>N°</w:t>
      </w:r>
      <w:proofErr w:type="spellEnd"/>
      <w:r w:rsidRPr="00D106C9">
        <w:rPr>
          <w:lang w:eastAsia="es-ES"/>
        </w:rPr>
        <w:t xml:space="preserve"> 389-PLA-EV-2022 del 6 de mayo del año en curso, por medio del cual la Dirección de Planificación remite para conocimiento del honorable Consejo Superior informe anual a los Planes Anuales Operativos al corte del 19 de enero del 2022, a cargo del Andrey Rojas Monge, Profesional del Subproceso de Evaluación.</w:t>
      </w:r>
    </w:p>
    <w:p w14:paraId="6FFA4C27"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70485C8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Producto del referido informe, se emiten una serie de recomendaciones dentro de las cuales, en lo que concierne a dependencias adscritas a esta Dirección Ejecutiva, se destacan las siguientes:</w:t>
      </w:r>
    </w:p>
    <w:p w14:paraId="23131B6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2F0E652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“A las Administraciones Regionales y Consejos de Administración y </w:t>
      </w:r>
      <w:r w:rsidRPr="00D106C9">
        <w:rPr>
          <w:lang w:eastAsia="es-ES"/>
        </w:rPr>
        <w:lastRenderedPageBreak/>
        <w:t>Centros de Responsabilidad:</w:t>
      </w:r>
    </w:p>
    <w:p w14:paraId="564C62BC" w14:textId="77777777" w:rsidR="00D106C9" w:rsidRPr="00D106C9" w:rsidRDefault="00D106C9" w:rsidP="00D106C9">
      <w:pPr>
        <w:widowControl w:val="0"/>
        <w:tabs>
          <w:tab w:val="left" w:pos="851"/>
          <w:tab w:val="left" w:pos="993"/>
          <w:tab w:val="left" w:pos="1134"/>
        </w:tabs>
        <w:suppressAutoHyphens w:val="0"/>
        <w:autoSpaceDE w:val="0"/>
        <w:autoSpaceDN w:val="0"/>
        <w:adjustRightInd w:val="0"/>
        <w:ind w:left="851" w:right="851" w:firstLine="709"/>
        <w:jc w:val="both"/>
        <w:rPr>
          <w:b/>
          <w:i/>
          <w:iCs/>
          <w:lang w:eastAsia="es-ES"/>
        </w:rPr>
      </w:pPr>
    </w:p>
    <w:p w14:paraId="4B74BC02"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709"/>
        <w:contextualSpacing/>
        <w:jc w:val="both"/>
        <w:rPr>
          <w:bCs/>
          <w:i/>
          <w:iCs/>
          <w:lang w:eastAsia="es-ES"/>
        </w:rPr>
      </w:pPr>
      <w:r w:rsidRPr="00D106C9">
        <w:rPr>
          <w:bCs/>
          <w:i/>
          <w:iCs/>
          <w:lang w:eastAsia="es-ES"/>
        </w:rPr>
        <w:t xml:space="preserve">La utilización de datos históricos de variables que produce la oficina como patrón de comportamiento, para que la formulación de las metas sea acorde a la realidad y se puedan alcanzar efectivamente. </w:t>
      </w:r>
    </w:p>
    <w:p w14:paraId="585D8047"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709"/>
        <w:jc w:val="both"/>
        <w:rPr>
          <w:bCs/>
          <w:i/>
          <w:iCs/>
          <w:lang w:eastAsia="es-ES"/>
        </w:rPr>
      </w:pPr>
    </w:p>
    <w:p w14:paraId="160EFEAF"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709"/>
        <w:contextualSpacing/>
        <w:jc w:val="both"/>
        <w:rPr>
          <w:bCs/>
          <w:i/>
          <w:iCs/>
          <w:lang w:eastAsia="es-ES"/>
        </w:rPr>
      </w:pPr>
      <w:r w:rsidRPr="00D106C9">
        <w:rPr>
          <w:bCs/>
          <w:i/>
          <w:iCs/>
          <w:lang w:eastAsia="es-ES"/>
        </w:rPr>
        <w:t xml:space="preserve">La importancia de tomar en cuenta la capacidad instalada de la oficina, así como los riesgos asociados a cada objetivo, para valorar la posibilidad de cumplimiento de las metas que se proponen.  </w:t>
      </w:r>
    </w:p>
    <w:p w14:paraId="584D3FB6"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709"/>
        <w:jc w:val="both"/>
        <w:rPr>
          <w:bCs/>
          <w:i/>
          <w:iCs/>
          <w:lang w:eastAsia="es-ES"/>
        </w:rPr>
      </w:pPr>
    </w:p>
    <w:p w14:paraId="2692158A"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709"/>
        <w:contextualSpacing/>
        <w:jc w:val="both"/>
        <w:rPr>
          <w:bCs/>
          <w:i/>
          <w:iCs/>
          <w:lang w:eastAsia="es-ES"/>
        </w:rPr>
      </w:pPr>
      <w:r w:rsidRPr="00D106C9">
        <w:rPr>
          <w:bCs/>
          <w:i/>
          <w:iCs/>
          <w:u w:val="single"/>
          <w:lang w:eastAsia="es-ES"/>
        </w:rPr>
        <w:t>El seguimiento efectivo de la ejecución de las actividades programadas en la forma y plazo establecido</w:t>
      </w:r>
      <w:r w:rsidRPr="00D106C9">
        <w:rPr>
          <w:bCs/>
          <w:i/>
          <w:iCs/>
          <w:lang w:eastAsia="es-ES"/>
        </w:rPr>
        <w:t>, garantizando el avance de las metas al finalizar el segundo semestre del 2022.</w:t>
      </w:r>
    </w:p>
    <w:p w14:paraId="4D51229A"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709"/>
        <w:jc w:val="both"/>
        <w:rPr>
          <w:bCs/>
          <w:i/>
          <w:iCs/>
          <w:lang w:eastAsia="es-ES"/>
        </w:rPr>
      </w:pPr>
    </w:p>
    <w:p w14:paraId="3CA9551F"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709"/>
        <w:contextualSpacing/>
        <w:jc w:val="both"/>
        <w:rPr>
          <w:bCs/>
          <w:i/>
          <w:iCs/>
          <w:lang w:eastAsia="es-ES"/>
        </w:rPr>
      </w:pPr>
      <w:r w:rsidRPr="00D106C9">
        <w:rPr>
          <w:bCs/>
          <w:i/>
          <w:iCs/>
          <w:lang w:eastAsia="es-ES"/>
        </w:rPr>
        <w:t xml:space="preserve">La importancia de </w:t>
      </w:r>
      <w:r w:rsidRPr="00D106C9">
        <w:rPr>
          <w:bCs/>
          <w:i/>
          <w:iCs/>
          <w:u w:val="single"/>
          <w:lang w:eastAsia="es-ES"/>
        </w:rPr>
        <w:t>realizar de manera anticipada la coordinación con instancias relacionadas a la ejecución de las metas propuestas</w:t>
      </w:r>
      <w:r w:rsidRPr="00D106C9">
        <w:rPr>
          <w:bCs/>
          <w:i/>
          <w:iCs/>
          <w:lang w:eastAsia="es-ES"/>
        </w:rPr>
        <w:t>, que asegure el cumplimiento de los planes de trabajo.</w:t>
      </w:r>
    </w:p>
    <w:p w14:paraId="473364AC" w14:textId="77777777" w:rsidR="00D106C9" w:rsidRPr="00D106C9" w:rsidRDefault="00D106C9" w:rsidP="00D106C9">
      <w:pPr>
        <w:widowControl w:val="0"/>
        <w:tabs>
          <w:tab w:val="left" w:pos="851"/>
          <w:tab w:val="left" w:pos="993"/>
        </w:tabs>
        <w:suppressAutoHyphens w:val="0"/>
        <w:autoSpaceDE w:val="0"/>
        <w:autoSpaceDN w:val="0"/>
        <w:adjustRightInd w:val="0"/>
        <w:ind w:left="851" w:right="851" w:firstLine="709"/>
        <w:jc w:val="both"/>
        <w:rPr>
          <w:bCs/>
          <w:i/>
          <w:iCs/>
          <w:lang w:eastAsia="es-ES"/>
        </w:rPr>
      </w:pPr>
    </w:p>
    <w:p w14:paraId="19A9EF3B"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709"/>
        <w:contextualSpacing/>
        <w:jc w:val="both"/>
        <w:rPr>
          <w:bCs/>
          <w:i/>
          <w:iCs/>
          <w:lang w:eastAsia="es-ES"/>
        </w:rPr>
      </w:pPr>
      <w:r w:rsidRPr="00D106C9">
        <w:rPr>
          <w:bCs/>
          <w:i/>
          <w:iCs/>
          <w:lang w:eastAsia="es-ES"/>
        </w:rPr>
        <w:t xml:space="preserve">En el caso de los Centros de Responsabilidad, se requiere que brinden un apoyo y acompañamiento a las oficinas que los integran. </w:t>
      </w:r>
      <w:r w:rsidRPr="00D106C9">
        <w:rPr>
          <w:bCs/>
          <w:i/>
          <w:iCs/>
          <w:u w:val="single"/>
          <w:lang w:eastAsia="es-ES"/>
        </w:rPr>
        <w:t>El seguimiento efectivo de la ejecución de las actividades programadas en la forma y plazo establecido, garantizando el avance de las metas y la efectiva distribución a lo largo del año</w:t>
      </w:r>
      <w:r w:rsidRPr="00D106C9">
        <w:rPr>
          <w:bCs/>
          <w:i/>
          <w:iCs/>
          <w:lang w:eastAsia="es-ES"/>
        </w:rPr>
        <w:t>. Esta actividad será complementada por medio de notificaciones automáticas que generará el Sistema PAO en el caso de las oficinas y despachos que tengan metas pendientes de actualizar. Las notificaciones provenientes del Sistema PAO le llegarán tanto a las personas encargadas de los Centros de Responsabilidad, como a las oficinas, despachos y coordinadores de Comisiones Institucionales respectivas.</w:t>
      </w:r>
    </w:p>
    <w:p w14:paraId="274B6E9F" w14:textId="77777777" w:rsidR="00D106C9" w:rsidRPr="00D106C9" w:rsidRDefault="00D106C9" w:rsidP="00D106C9">
      <w:pPr>
        <w:suppressAutoHyphens w:val="0"/>
        <w:ind w:left="851" w:right="851" w:firstLine="709"/>
        <w:rPr>
          <w:bCs/>
          <w:i/>
          <w:iCs/>
          <w:lang w:eastAsia="es-ES"/>
        </w:rPr>
      </w:pPr>
    </w:p>
    <w:p w14:paraId="13DF887B"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709"/>
        <w:contextualSpacing/>
        <w:jc w:val="both"/>
        <w:rPr>
          <w:bCs/>
          <w:i/>
          <w:iCs/>
          <w:lang w:eastAsia="es-ES"/>
        </w:rPr>
      </w:pPr>
      <w:r w:rsidRPr="00D106C9">
        <w:rPr>
          <w:bCs/>
          <w:i/>
          <w:iCs/>
          <w:u w:val="single"/>
          <w:lang w:eastAsia="es-ES"/>
        </w:rPr>
        <w:t>Los Centros de Responsabilidad revisarán los documentos y la evidencias que las oficinas suben como justificación del avance de las metas PAO</w:t>
      </w:r>
      <w:r w:rsidRPr="00D106C9">
        <w:rPr>
          <w:bCs/>
          <w:i/>
          <w:iCs/>
          <w:lang w:eastAsia="es-ES"/>
        </w:rPr>
        <w:t xml:space="preserve">. </w:t>
      </w:r>
      <w:r w:rsidRPr="00D106C9">
        <w:rPr>
          <w:bCs/>
          <w:i/>
          <w:iCs/>
          <w:u w:val="single"/>
          <w:lang w:eastAsia="es-ES"/>
        </w:rPr>
        <w:t>Este seguimiento debería estar documentado en las reuniones de los Consejos de Administración para que se visualice su seguimiento y dejarlo consignado en las minutas de las sesiones de estos Consejos.</w:t>
      </w:r>
    </w:p>
    <w:p w14:paraId="01838B70" w14:textId="77777777" w:rsidR="00D106C9" w:rsidRPr="00D106C9" w:rsidRDefault="00D106C9" w:rsidP="00D106C9">
      <w:pPr>
        <w:suppressAutoHyphens w:val="0"/>
        <w:ind w:left="851" w:right="851" w:firstLine="709"/>
        <w:rPr>
          <w:bCs/>
          <w:i/>
          <w:iCs/>
          <w:lang w:eastAsia="es-ES"/>
        </w:rPr>
      </w:pPr>
    </w:p>
    <w:p w14:paraId="2E88F65F" w14:textId="77777777" w:rsidR="00D106C9" w:rsidRPr="00D106C9" w:rsidRDefault="00D106C9" w:rsidP="003B2E9B">
      <w:pPr>
        <w:widowControl w:val="0"/>
        <w:numPr>
          <w:ilvl w:val="0"/>
          <w:numId w:val="82"/>
        </w:numPr>
        <w:tabs>
          <w:tab w:val="left" w:pos="851"/>
          <w:tab w:val="left" w:pos="993"/>
        </w:tabs>
        <w:suppressAutoHyphens w:val="0"/>
        <w:autoSpaceDE w:val="0"/>
        <w:autoSpaceDN w:val="0"/>
        <w:adjustRightInd w:val="0"/>
        <w:ind w:left="851" w:right="851" w:firstLine="709"/>
        <w:contextualSpacing/>
        <w:jc w:val="both"/>
        <w:rPr>
          <w:i/>
          <w:iCs/>
          <w:lang w:eastAsia="es-ES"/>
        </w:rPr>
      </w:pPr>
      <w:r w:rsidRPr="00D106C9">
        <w:rPr>
          <w:i/>
          <w:iCs/>
          <w:shd w:val="clear" w:color="auto" w:fill="FFFFFF"/>
          <w:lang w:eastAsia="es-ES"/>
        </w:rPr>
        <w:t xml:space="preserve">Todos los Centros de Responsabilidad a nivel nacional deberán replicar la capacitación que imparte el Subproceso de Evaluación denominada "Capacitación de Seguimiento PAO", dirigida al personal de las oficinas administrativas y jurisdiccionales; así como, atender las distintas consultas relacionadas con la formulación y seguimiento del PAO, en caso de requerir estos Centros la capacitación por parte de la Dirección de </w:t>
      </w:r>
      <w:r w:rsidRPr="00D106C9">
        <w:rPr>
          <w:i/>
          <w:iCs/>
          <w:shd w:val="clear" w:color="auto" w:fill="FFFFFF"/>
          <w:lang w:eastAsia="es-ES"/>
        </w:rPr>
        <w:lastRenderedPageBreak/>
        <w:t>Planificación, solicitarla para realizar la respectiva programación.</w:t>
      </w:r>
      <w:r w:rsidRPr="00D106C9">
        <w:rPr>
          <w:i/>
          <w:iCs/>
          <w:lang w:eastAsia="es-ES"/>
        </w:rPr>
        <w:t>” (Lo subrayado no corresponde al original)</w:t>
      </w:r>
    </w:p>
    <w:p w14:paraId="57605435" w14:textId="77777777" w:rsidR="00D106C9" w:rsidRPr="00D106C9" w:rsidRDefault="00D106C9" w:rsidP="00D106C9">
      <w:pPr>
        <w:widowControl w:val="0"/>
        <w:suppressAutoHyphens w:val="0"/>
        <w:autoSpaceDE w:val="0"/>
        <w:autoSpaceDN w:val="0"/>
        <w:adjustRightInd w:val="0"/>
        <w:ind w:left="851" w:right="851" w:firstLine="709"/>
        <w:rPr>
          <w:lang w:eastAsia="es-ES"/>
        </w:rPr>
      </w:pPr>
    </w:p>
    <w:p w14:paraId="258B555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Preocupa a esta Dirección Ejecutiva el traslado de funciones que se establecen en este oficio, tanto a las Administraciones Regionales, como a los mismos Consejos de Administración, cuya estructura administrativa es la misma Administración Regional y que se pretenda trasladar funciones de evaluación y seguimiento de ejecución de las actividades programadas (en forma y plazo), así como la revisión de los documentos y evidencias que las oficinas de los circuitos suban como justificación del avance de sus Planes Anuales Operativos.</w:t>
      </w:r>
    </w:p>
    <w:p w14:paraId="6D5622A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C7B5887"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Sobre este mismo tema y con motivo de la publicación de la Circulares 141-2020 y 255-2020 de la Secretaría General de la Corte, esta Dirección Ejecutiva remitió a la licenciada Nacira Valverde Bermúdez, </w:t>
      </w:r>
      <w:proofErr w:type="gramStart"/>
      <w:r w:rsidRPr="00D106C9">
        <w:rPr>
          <w:lang w:eastAsia="es-ES"/>
        </w:rPr>
        <w:t>Directora</w:t>
      </w:r>
      <w:proofErr w:type="gramEnd"/>
      <w:r w:rsidRPr="00D106C9">
        <w:rPr>
          <w:lang w:eastAsia="es-ES"/>
        </w:rPr>
        <w:t xml:space="preserve"> de la Dirección de Planificación, oficio </w:t>
      </w:r>
      <w:proofErr w:type="spellStart"/>
      <w:r w:rsidRPr="00D106C9">
        <w:rPr>
          <w:lang w:eastAsia="es-ES"/>
        </w:rPr>
        <w:t>N°</w:t>
      </w:r>
      <w:proofErr w:type="spellEnd"/>
      <w:r w:rsidRPr="00D106C9">
        <w:rPr>
          <w:lang w:eastAsia="es-ES"/>
        </w:rPr>
        <w:t xml:space="preserve"> 2183-DE-2021 del 7 de julio de 2021, en los siguientes términos: </w:t>
      </w:r>
    </w:p>
    <w:p w14:paraId="42FFE505"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6E01D093" w14:textId="77777777" w:rsidR="00D106C9" w:rsidRPr="00D106C9" w:rsidRDefault="00D106C9" w:rsidP="00D106C9">
      <w:pPr>
        <w:suppressAutoHyphens w:val="0"/>
        <w:ind w:left="851" w:right="851" w:firstLine="709"/>
        <w:jc w:val="both"/>
        <w:rPr>
          <w:i/>
          <w:iCs/>
          <w:lang w:eastAsia="es-ES"/>
        </w:rPr>
      </w:pPr>
      <w:r w:rsidRPr="00D106C9">
        <w:rPr>
          <w:i/>
          <w:iCs/>
          <w:lang w:eastAsia="es-ES"/>
        </w:rPr>
        <w:t xml:space="preserve">“Mediante correo electrónico de fecha 2 de julio, remitido por el Administrador Regional del II Circuito Judicial de la Zona Atlántica, se externa la preocupación sobre la responsabilidad que se pretende trasladar a las Administraciones Regionales y otros Centros de Responsabilidad, para evaluar el Plan Anual Operativo de las oficinas y despachos del circuito u oficinas a cargo. </w:t>
      </w:r>
    </w:p>
    <w:p w14:paraId="56AB767C" w14:textId="77777777" w:rsidR="00D106C9" w:rsidRPr="00D106C9" w:rsidRDefault="00D106C9" w:rsidP="00D106C9">
      <w:pPr>
        <w:suppressAutoHyphens w:val="0"/>
        <w:ind w:left="851" w:right="851" w:firstLine="709"/>
        <w:jc w:val="both"/>
        <w:rPr>
          <w:i/>
          <w:iCs/>
          <w:lang w:eastAsia="es-ES"/>
        </w:rPr>
      </w:pPr>
    </w:p>
    <w:p w14:paraId="0AED6039" w14:textId="77777777" w:rsidR="00D106C9" w:rsidRPr="00D106C9" w:rsidRDefault="00D106C9" w:rsidP="00D106C9">
      <w:pPr>
        <w:suppressAutoHyphens w:val="0"/>
        <w:ind w:left="851" w:right="851" w:firstLine="709"/>
        <w:jc w:val="both"/>
        <w:rPr>
          <w:i/>
          <w:iCs/>
          <w:lang w:eastAsia="es-ES"/>
        </w:rPr>
      </w:pPr>
      <w:r w:rsidRPr="00D106C9">
        <w:rPr>
          <w:i/>
          <w:iCs/>
          <w:lang w:eastAsia="es-ES"/>
        </w:rPr>
        <w:t xml:space="preserve">Dicha situación surge a partir del comunicado realizado en correo electrónico del 11 de junio del presente año por el Lic. Andrey Rojas Monge, Profesional 2 del Subproceso de Evaluación de la Dirección a su cargo (se anexa correo), en el cual se indica que con base en la Circular 141-2020 y 255-2020, ambas de la Secretaría de la Corte; se traslada a los diferentes Centros de Responsabilidad la obligación de realizar evaluaciones semestrales y anuales a los Planes Anuales Operativos de las instancias que pertenecen a su control. </w:t>
      </w:r>
    </w:p>
    <w:p w14:paraId="4F9110C5" w14:textId="77777777" w:rsidR="00D106C9" w:rsidRPr="00D106C9" w:rsidRDefault="00D106C9" w:rsidP="00D106C9">
      <w:pPr>
        <w:widowControl w:val="0"/>
        <w:suppressAutoHyphens w:val="0"/>
        <w:autoSpaceDE w:val="0"/>
        <w:autoSpaceDN w:val="0"/>
        <w:adjustRightInd w:val="0"/>
        <w:ind w:left="851" w:right="851" w:firstLine="709"/>
        <w:jc w:val="both"/>
        <w:rPr>
          <w:i/>
          <w:iCs/>
          <w:lang w:eastAsia="es-ES"/>
        </w:rPr>
      </w:pPr>
    </w:p>
    <w:p w14:paraId="0B3D39E6" w14:textId="77777777" w:rsidR="00D106C9" w:rsidRPr="00D106C9" w:rsidRDefault="00D106C9" w:rsidP="00D106C9">
      <w:pPr>
        <w:widowControl w:val="0"/>
        <w:suppressAutoHyphens w:val="0"/>
        <w:autoSpaceDE w:val="0"/>
        <w:autoSpaceDN w:val="0"/>
        <w:adjustRightInd w:val="0"/>
        <w:ind w:left="851" w:right="851" w:firstLine="709"/>
        <w:jc w:val="both"/>
        <w:rPr>
          <w:i/>
          <w:iCs/>
          <w:lang w:eastAsia="es-ES"/>
        </w:rPr>
      </w:pPr>
      <w:r w:rsidRPr="00D106C9">
        <w:rPr>
          <w:i/>
          <w:iCs/>
          <w:lang w:eastAsia="es-ES"/>
        </w:rPr>
        <w:t>Al respecto, me permito indicar lo siguiente:</w:t>
      </w:r>
    </w:p>
    <w:p w14:paraId="46E2E859" w14:textId="77777777" w:rsidR="00D106C9" w:rsidRPr="00D106C9" w:rsidRDefault="00D106C9" w:rsidP="00D106C9">
      <w:pPr>
        <w:widowControl w:val="0"/>
        <w:suppressAutoHyphens w:val="0"/>
        <w:autoSpaceDE w:val="0"/>
        <w:autoSpaceDN w:val="0"/>
        <w:adjustRightInd w:val="0"/>
        <w:ind w:left="851" w:right="851" w:firstLine="709"/>
        <w:jc w:val="both"/>
        <w:rPr>
          <w:i/>
          <w:iCs/>
          <w:lang w:eastAsia="es-ES"/>
        </w:rPr>
      </w:pPr>
    </w:p>
    <w:p w14:paraId="09F8763A" w14:textId="77777777" w:rsidR="00D106C9" w:rsidRPr="00D106C9" w:rsidRDefault="00D106C9" w:rsidP="003B2E9B">
      <w:pPr>
        <w:widowControl w:val="0"/>
        <w:numPr>
          <w:ilvl w:val="0"/>
          <w:numId w:val="83"/>
        </w:numPr>
        <w:suppressAutoHyphens w:val="0"/>
        <w:autoSpaceDE w:val="0"/>
        <w:autoSpaceDN w:val="0"/>
        <w:adjustRightInd w:val="0"/>
        <w:ind w:left="851" w:right="851" w:firstLine="709"/>
        <w:contextualSpacing/>
        <w:jc w:val="both"/>
        <w:rPr>
          <w:i/>
          <w:iCs/>
          <w:lang w:eastAsia="es-ES"/>
        </w:rPr>
      </w:pPr>
      <w:r w:rsidRPr="00D106C9">
        <w:rPr>
          <w:i/>
          <w:iCs/>
          <w:lang w:eastAsia="es-ES"/>
        </w:rPr>
        <w:t xml:space="preserve">En la Circular 141-2020 de la Secretaría General de la Corte no se establece una obligación a los Centros de Responsabilidad de realizar evaluaciones al Plan Anual Operativo de los despachos y oficinas bajo su control. Por el contrario, según se consigna en el párrafo cuarto de dicha circular, la realización de estas evaluaciones corresponde a la Dirección de Planificación. De manera literal dicho párrafo indica: </w:t>
      </w:r>
    </w:p>
    <w:p w14:paraId="1BDC4505" w14:textId="77777777" w:rsidR="00D106C9" w:rsidRPr="00D106C9" w:rsidRDefault="00D106C9" w:rsidP="00D106C9">
      <w:pPr>
        <w:suppressAutoHyphens w:val="0"/>
        <w:ind w:left="851" w:right="851" w:firstLine="709"/>
        <w:jc w:val="both"/>
        <w:rPr>
          <w:i/>
          <w:iCs/>
          <w:lang w:eastAsia="es-ES"/>
        </w:rPr>
      </w:pPr>
    </w:p>
    <w:p w14:paraId="6C50A243" w14:textId="77777777" w:rsidR="00D106C9" w:rsidRPr="00D106C9" w:rsidRDefault="00D106C9" w:rsidP="00D106C9">
      <w:pPr>
        <w:suppressAutoHyphens w:val="0"/>
        <w:ind w:left="851" w:right="851" w:firstLine="709"/>
        <w:jc w:val="both"/>
        <w:rPr>
          <w:i/>
          <w:iCs/>
          <w:lang w:eastAsia="es-ES"/>
        </w:rPr>
      </w:pPr>
      <w:r w:rsidRPr="00D106C9">
        <w:rPr>
          <w:i/>
          <w:iCs/>
          <w:lang w:eastAsia="es-ES"/>
        </w:rPr>
        <w:lastRenderedPageBreak/>
        <w:t xml:space="preserve">“[…] </w:t>
      </w:r>
      <w:r w:rsidRPr="00D106C9">
        <w:rPr>
          <w:i/>
          <w:iCs/>
          <w:u w:val="single"/>
          <w:lang w:eastAsia="es-ES"/>
        </w:rPr>
        <w:t>se solicita a todas las oficinas y despachos judiciales del país realizar seguimientos periódicos a sus Planes Anuales Operativos</w:t>
      </w:r>
      <w:r w:rsidRPr="00D106C9">
        <w:rPr>
          <w:i/>
          <w:iCs/>
          <w:lang w:eastAsia="es-ES"/>
        </w:rPr>
        <w:t xml:space="preserve">, se sugiere de forma bimensual o trimestral, para tener un mayor control y seguimiento por medio del Sistema PAO de sus planes y su ejecución, y así evitar incumplimientos </w:t>
      </w:r>
      <w:r w:rsidRPr="00D106C9">
        <w:rPr>
          <w:i/>
          <w:iCs/>
          <w:u w:val="single"/>
          <w:lang w:eastAsia="es-ES"/>
        </w:rPr>
        <w:t>al momento de realizarse las evaluaciones por parte de la Dirección de Planificación</w:t>
      </w:r>
      <w:r w:rsidRPr="00D106C9">
        <w:rPr>
          <w:i/>
          <w:iCs/>
          <w:lang w:eastAsia="es-ES"/>
        </w:rPr>
        <w:t>”. (El subrayado ha sido agregado).</w:t>
      </w:r>
    </w:p>
    <w:p w14:paraId="6C6DCF2F" w14:textId="77777777" w:rsidR="00D106C9" w:rsidRPr="00D106C9" w:rsidRDefault="00D106C9" w:rsidP="00D106C9">
      <w:pPr>
        <w:suppressAutoHyphens w:val="0"/>
        <w:ind w:left="851" w:right="851" w:firstLine="709"/>
        <w:jc w:val="both"/>
        <w:rPr>
          <w:i/>
          <w:iCs/>
          <w:lang w:eastAsia="es-ES"/>
        </w:rPr>
      </w:pPr>
    </w:p>
    <w:p w14:paraId="4BB23F2D" w14:textId="77777777" w:rsidR="00D106C9" w:rsidRPr="00D106C9" w:rsidRDefault="00D106C9" w:rsidP="003B2E9B">
      <w:pPr>
        <w:widowControl w:val="0"/>
        <w:numPr>
          <w:ilvl w:val="0"/>
          <w:numId w:val="83"/>
        </w:numPr>
        <w:suppressAutoHyphens w:val="0"/>
        <w:autoSpaceDE w:val="0"/>
        <w:autoSpaceDN w:val="0"/>
        <w:adjustRightInd w:val="0"/>
        <w:ind w:left="851" w:right="851" w:firstLine="709"/>
        <w:contextualSpacing/>
        <w:jc w:val="both"/>
        <w:rPr>
          <w:i/>
          <w:iCs/>
          <w:lang w:eastAsia="es-ES"/>
        </w:rPr>
      </w:pPr>
      <w:r w:rsidRPr="00D106C9">
        <w:rPr>
          <w:i/>
          <w:iCs/>
          <w:lang w:eastAsia="es-ES"/>
        </w:rPr>
        <w:t>En la Circular 255-2020 de la Secretaría General de la Corte se reitera la obligación de las oficinas y despachos de acatar la Circular 141-220, sobre el seguimiento de estos planes operativos y en el punto “h” de dicha circular se traslada a los Centros de Responsabilidad la necesidad de revisión en la etapa de formulación y seguimiento de los Planes Anuales Operativos, no así su evaluación. Específicamente, se indica:</w:t>
      </w:r>
    </w:p>
    <w:p w14:paraId="102E79FE" w14:textId="77777777" w:rsidR="00D106C9" w:rsidRPr="00D106C9" w:rsidRDefault="00D106C9" w:rsidP="00D106C9">
      <w:pPr>
        <w:suppressAutoHyphens w:val="0"/>
        <w:ind w:left="851" w:right="851" w:firstLine="709"/>
        <w:jc w:val="both"/>
        <w:rPr>
          <w:i/>
          <w:iCs/>
          <w:lang w:eastAsia="es-ES"/>
        </w:rPr>
      </w:pPr>
    </w:p>
    <w:p w14:paraId="620AB42D" w14:textId="77777777" w:rsidR="00D106C9" w:rsidRPr="00D106C9" w:rsidRDefault="00D106C9" w:rsidP="00D106C9">
      <w:pPr>
        <w:suppressAutoHyphens w:val="0"/>
        <w:ind w:left="851" w:right="851" w:firstLine="709"/>
        <w:jc w:val="both"/>
        <w:rPr>
          <w:i/>
          <w:iCs/>
          <w:lang w:eastAsia="es-ES"/>
        </w:rPr>
      </w:pPr>
      <w:r w:rsidRPr="00D106C9">
        <w:rPr>
          <w:i/>
          <w:iCs/>
          <w:lang w:eastAsia="es-ES"/>
        </w:rPr>
        <w:t xml:space="preserve">“h) Las Administraciones Regionales, Consejos de Administración y Centros de Responsabilidad </w:t>
      </w:r>
      <w:r w:rsidRPr="00D106C9">
        <w:rPr>
          <w:i/>
          <w:iCs/>
          <w:u w:val="single"/>
          <w:lang w:eastAsia="es-ES"/>
        </w:rPr>
        <w:t>deberán mejorar el apoyo y revisión del proceso de Formulación y Seguimiento de Planes Anuales Operativos</w:t>
      </w:r>
      <w:r w:rsidRPr="00D106C9">
        <w:rPr>
          <w:i/>
          <w:iCs/>
          <w:lang w:eastAsia="es-ES"/>
        </w:rPr>
        <w:t>. Algunos aspectos que deben fortalecer son los siguientes: h.1) La utilización de datos históricos de variables que produce la oficina como patrón de comportamiento, para que la formulación de las metas sea acorde a la realidad y se pueda alcanzar efectivamente. h.2) La importancia de tomar en cuenta la capacidad instalada de la oficina, así como los riesgos asociados a cada objetivo, para valorar la posibilidad de cumplimiento de las metas que se proponen. h.3) El seguimiento efectivo de la ejecución de las actividades programadas en la forma y plazo establecido, garantizando el avance de las metas al finalizar el segundo semestre del 2020. h.4) La importancia de realizar de manera anticipada la coordinación con instancias relacionadas a la ejecución de las metas propuestas, que asegure el cumplimiento de los planes de trabajo. h.5) La inclusión en el PAO de indicadores en la gestión de las oficinas que cuentan con este tipo de herramienta, derivados de los informes técnicos que ha emitido la Dirección de Planificación”. (El subrayado ha sido agregado).</w:t>
      </w:r>
    </w:p>
    <w:p w14:paraId="4FAF174F" w14:textId="77777777" w:rsidR="00D106C9" w:rsidRPr="00D106C9" w:rsidRDefault="00D106C9" w:rsidP="00D106C9">
      <w:pPr>
        <w:suppressAutoHyphens w:val="0"/>
        <w:ind w:left="851" w:right="851" w:firstLine="709"/>
        <w:rPr>
          <w:i/>
          <w:iCs/>
          <w:lang w:eastAsia="es-ES"/>
        </w:rPr>
      </w:pPr>
    </w:p>
    <w:p w14:paraId="0B1E204C" w14:textId="77777777" w:rsidR="00D106C9" w:rsidRPr="00D106C9" w:rsidRDefault="00D106C9" w:rsidP="003B2E9B">
      <w:pPr>
        <w:widowControl w:val="0"/>
        <w:numPr>
          <w:ilvl w:val="0"/>
          <w:numId w:val="83"/>
        </w:numPr>
        <w:suppressAutoHyphens w:val="0"/>
        <w:autoSpaceDE w:val="0"/>
        <w:autoSpaceDN w:val="0"/>
        <w:adjustRightInd w:val="0"/>
        <w:ind w:left="851" w:right="851" w:firstLine="709"/>
        <w:contextualSpacing/>
        <w:jc w:val="both"/>
        <w:rPr>
          <w:i/>
          <w:iCs/>
          <w:lang w:eastAsia="es-ES"/>
        </w:rPr>
      </w:pPr>
      <w:r w:rsidRPr="00D106C9">
        <w:rPr>
          <w:i/>
          <w:iCs/>
          <w:lang w:eastAsia="es-ES"/>
        </w:rPr>
        <w:t xml:space="preserve">De acuerdo con lo anterior, si bien se entiende que las Administraciones Regionales, como Centros de Responsabilidad, deben coadyuvar en el apoyo y revisión del seguimiento de los Planes Anuales Operativos, no existe disposición superior que les traslade la responsabilidad de evaluación, lo cual es competencia de la Dirección de Planificación. </w:t>
      </w:r>
    </w:p>
    <w:p w14:paraId="1DC9BAFC" w14:textId="77777777" w:rsidR="00D106C9" w:rsidRPr="00D106C9" w:rsidRDefault="00D106C9" w:rsidP="00D106C9">
      <w:pPr>
        <w:suppressAutoHyphens w:val="0"/>
        <w:ind w:left="851" w:right="851" w:firstLine="709"/>
        <w:jc w:val="both"/>
        <w:rPr>
          <w:i/>
          <w:iCs/>
          <w:lang w:eastAsia="es-ES"/>
        </w:rPr>
      </w:pPr>
    </w:p>
    <w:p w14:paraId="5F1711F0" w14:textId="77777777" w:rsidR="00D106C9" w:rsidRPr="00D106C9" w:rsidRDefault="00D106C9" w:rsidP="003B2E9B">
      <w:pPr>
        <w:widowControl w:val="0"/>
        <w:numPr>
          <w:ilvl w:val="0"/>
          <w:numId w:val="83"/>
        </w:numPr>
        <w:suppressAutoHyphens w:val="0"/>
        <w:autoSpaceDE w:val="0"/>
        <w:autoSpaceDN w:val="0"/>
        <w:adjustRightInd w:val="0"/>
        <w:ind w:left="851" w:right="851" w:firstLine="709"/>
        <w:contextualSpacing/>
        <w:jc w:val="both"/>
        <w:rPr>
          <w:i/>
          <w:iCs/>
          <w:lang w:eastAsia="es-ES"/>
        </w:rPr>
      </w:pPr>
      <w:r w:rsidRPr="00D106C9">
        <w:rPr>
          <w:i/>
          <w:iCs/>
          <w:lang w:eastAsia="es-ES"/>
        </w:rPr>
        <w:t xml:space="preserve">En un análisis realizado por la Administración de Pococí, se expone de manera preocupante las implicaciones a nivel operativo en la inversión de tiempo y recursos para realizar la evaluación de las oficinas y </w:t>
      </w:r>
      <w:r w:rsidRPr="00D106C9">
        <w:rPr>
          <w:i/>
          <w:iCs/>
          <w:lang w:eastAsia="es-ES"/>
        </w:rPr>
        <w:lastRenderedPageBreak/>
        <w:t xml:space="preserve">despachos bajo su responsabilidad. En el anexo se transcribe correo del Mae. Miguel Gutiérrez Fernández, Administrador del II Circuito de la Zona Atlántica, de fecha 2 de julio en curso, para que mejor comprensión de la Dirección de Planificación en cuanto al esfuerzo que esta labor conlleva, conforme el alcance que señala el Lic. Rojas Monge en su correo. </w:t>
      </w:r>
    </w:p>
    <w:p w14:paraId="13180D77" w14:textId="77777777" w:rsidR="00D106C9" w:rsidRPr="00D106C9" w:rsidRDefault="00D106C9" w:rsidP="00D106C9">
      <w:pPr>
        <w:suppressAutoHyphens w:val="0"/>
        <w:ind w:left="851" w:right="851" w:firstLine="709"/>
        <w:jc w:val="both"/>
        <w:rPr>
          <w:i/>
          <w:iCs/>
          <w:lang w:eastAsia="es-ES"/>
        </w:rPr>
      </w:pPr>
    </w:p>
    <w:p w14:paraId="1CC94993" w14:textId="77777777" w:rsidR="00D106C9" w:rsidRPr="00D106C9" w:rsidRDefault="00D106C9" w:rsidP="003B2E9B">
      <w:pPr>
        <w:widowControl w:val="0"/>
        <w:numPr>
          <w:ilvl w:val="0"/>
          <w:numId w:val="83"/>
        </w:numPr>
        <w:suppressAutoHyphens w:val="0"/>
        <w:autoSpaceDE w:val="0"/>
        <w:autoSpaceDN w:val="0"/>
        <w:adjustRightInd w:val="0"/>
        <w:ind w:left="851" w:right="851" w:firstLine="709"/>
        <w:contextualSpacing/>
        <w:jc w:val="both"/>
        <w:rPr>
          <w:i/>
          <w:iCs/>
          <w:lang w:eastAsia="es-ES"/>
        </w:rPr>
      </w:pPr>
      <w:r w:rsidRPr="00D106C9">
        <w:rPr>
          <w:i/>
          <w:iCs/>
          <w:lang w:eastAsia="es-ES"/>
        </w:rPr>
        <w:t>Esa inquietud es compartida por esta Dirección Ejecutiva dado que, en virtud de las diferentes obligaciones que ocupan a las Administraciones, estas no cuentan con la capacidad para asumir esa responsabilidad, la cual va más allá del “apoyo y revisión del proceso de Formulación y Seguimiento de Planes Anuales Operativos”; tarea que sí han venido ejecutando.</w:t>
      </w:r>
    </w:p>
    <w:p w14:paraId="711860D8" w14:textId="77777777" w:rsidR="00D106C9" w:rsidRPr="00D106C9" w:rsidRDefault="00D106C9" w:rsidP="00D106C9">
      <w:pPr>
        <w:widowControl w:val="0"/>
        <w:suppressAutoHyphens w:val="0"/>
        <w:autoSpaceDE w:val="0"/>
        <w:autoSpaceDN w:val="0"/>
        <w:adjustRightInd w:val="0"/>
        <w:ind w:left="851" w:right="851" w:firstLine="709"/>
        <w:jc w:val="both"/>
        <w:rPr>
          <w:i/>
          <w:iCs/>
          <w:lang w:eastAsia="es-ES"/>
        </w:rPr>
      </w:pPr>
    </w:p>
    <w:p w14:paraId="4F483382" w14:textId="77777777" w:rsidR="00D106C9" w:rsidRPr="00D106C9" w:rsidRDefault="00D106C9" w:rsidP="00D106C9">
      <w:pPr>
        <w:widowControl w:val="0"/>
        <w:suppressAutoHyphens w:val="0"/>
        <w:autoSpaceDE w:val="0"/>
        <w:autoSpaceDN w:val="0"/>
        <w:adjustRightInd w:val="0"/>
        <w:ind w:left="851" w:right="851" w:firstLine="709"/>
        <w:jc w:val="both"/>
        <w:rPr>
          <w:i/>
          <w:iCs/>
          <w:lang w:eastAsia="es-ES"/>
        </w:rPr>
      </w:pPr>
      <w:r w:rsidRPr="00D106C9">
        <w:rPr>
          <w:i/>
          <w:iCs/>
          <w:lang w:eastAsia="es-ES"/>
        </w:rPr>
        <w:t xml:space="preserve">En vista de lo anterior, se reitera que la Dirección Ejecutiva está clara del “apoyo y revisión” que debe brindar durante el proceso de Formulación y Seguimiento de Planes Anuales Operativos, sin embargo, no comparte la responsabilidad y el alcance de las tareas que ahora se nos pretende asignar a las Administraciones Regionales y a esta Dirección. </w:t>
      </w:r>
    </w:p>
    <w:p w14:paraId="1FECD194" w14:textId="77777777" w:rsidR="00D106C9" w:rsidRPr="00D106C9" w:rsidRDefault="00D106C9" w:rsidP="00D106C9">
      <w:pPr>
        <w:widowControl w:val="0"/>
        <w:suppressAutoHyphens w:val="0"/>
        <w:autoSpaceDE w:val="0"/>
        <w:autoSpaceDN w:val="0"/>
        <w:adjustRightInd w:val="0"/>
        <w:ind w:left="851" w:right="851" w:firstLine="709"/>
        <w:jc w:val="both"/>
        <w:rPr>
          <w:i/>
          <w:iCs/>
          <w:lang w:eastAsia="es-ES"/>
        </w:rPr>
      </w:pPr>
    </w:p>
    <w:p w14:paraId="5B30DBF4" w14:textId="77777777" w:rsidR="00D106C9" w:rsidRPr="00D106C9" w:rsidRDefault="00D106C9" w:rsidP="00D106C9">
      <w:pPr>
        <w:suppressAutoHyphens w:val="0"/>
        <w:ind w:left="851" w:right="851" w:firstLine="709"/>
        <w:jc w:val="both"/>
        <w:rPr>
          <w:i/>
          <w:iCs/>
          <w:lang w:eastAsia="es-ES"/>
        </w:rPr>
      </w:pPr>
      <w:r w:rsidRPr="00D106C9">
        <w:rPr>
          <w:i/>
          <w:iCs/>
          <w:lang w:eastAsia="es-ES"/>
        </w:rPr>
        <w:t>De igual forma, le solicito de manera respetuosa, que en situaciones similares que atañen a obligaciones o responsabilidades que se pretendan trasladar a las Administraciones Regionales o Departamentos y oficinas administrativas adscritas a esta Dirección, dichas situaciones sean valoradas de previo con esta Dirección Ejecutiva para lo cual los canales de comunicación y diálogo siempre han permanecido abiertos. En este sentido quedamos en la mejor disposición de sostener una reunión para analizar en detalle el tema.”</w:t>
      </w:r>
    </w:p>
    <w:p w14:paraId="7C72FA86" w14:textId="77777777" w:rsidR="00D106C9" w:rsidRPr="00D106C9" w:rsidRDefault="00D106C9" w:rsidP="00D106C9">
      <w:pPr>
        <w:suppressAutoHyphens w:val="0"/>
        <w:ind w:left="851" w:right="851" w:firstLine="709"/>
        <w:jc w:val="both"/>
        <w:rPr>
          <w:i/>
          <w:iCs/>
          <w:lang w:eastAsia="es-ES"/>
        </w:rPr>
      </w:pPr>
    </w:p>
    <w:p w14:paraId="6201F38B"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Según se observa en las recomendaciones del oficio </w:t>
      </w:r>
      <w:proofErr w:type="spellStart"/>
      <w:r w:rsidRPr="00D106C9">
        <w:rPr>
          <w:lang w:eastAsia="es-ES"/>
        </w:rPr>
        <w:t>N°</w:t>
      </w:r>
      <w:proofErr w:type="spellEnd"/>
      <w:r w:rsidRPr="00D106C9">
        <w:rPr>
          <w:lang w:eastAsia="es-ES"/>
        </w:rPr>
        <w:t xml:space="preserve"> 389-PLA-EV-2022 del 6 de mayo del año en curso, nuevamente se pretende trasladar la responsabilidad que, a criterio de la suscrita, son funciones del personal calificado de la Dirección de Planificación que tiene la rectoría en esta área. </w:t>
      </w:r>
    </w:p>
    <w:p w14:paraId="7FE907EA"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29E195D8"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Por parte de las Administraciones Regionales no se cuenta con el personal suficiente ni calificado para estas labores, las cuales sin duda alguna vendrían a afectar de manera considerable su operativa habitual y por ende la función de apoyo administrativo para la cual fueron creadas, así mismo, recargar estas funciones en los Consejos de Administración, tampoco evitaría el recargo de las Administraciones Regionales, pues constituyen el soporte de estos Consejos de Administración, por lo que al final la labor se concentraría en estas. </w:t>
      </w:r>
    </w:p>
    <w:p w14:paraId="4E3E406E"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453AA84F"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Pese a lo solicitado por esta Dirección Ejecutiva en el oficio </w:t>
      </w:r>
      <w:proofErr w:type="spellStart"/>
      <w:r w:rsidRPr="00D106C9">
        <w:rPr>
          <w:lang w:eastAsia="es-ES"/>
        </w:rPr>
        <w:t>Nº</w:t>
      </w:r>
      <w:proofErr w:type="spellEnd"/>
      <w:r w:rsidRPr="00D106C9">
        <w:rPr>
          <w:lang w:eastAsia="es-ES"/>
        </w:rPr>
        <w:t xml:space="preserve"> 2183-DE-2021 del 7 de julio de 2021, estas nuevas recomendaciones son remitidas al </w:t>
      </w:r>
      <w:r w:rsidRPr="00D106C9">
        <w:rPr>
          <w:lang w:eastAsia="es-ES"/>
        </w:rPr>
        <w:lastRenderedPageBreak/>
        <w:t xml:space="preserve">Consejo Superior sin la valoración previa, por lo que se solicita al honorable Consejo Superior, no sean aprobadas las recomendaciones incluidas en el oficio </w:t>
      </w:r>
      <w:proofErr w:type="spellStart"/>
      <w:r w:rsidRPr="00D106C9">
        <w:rPr>
          <w:lang w:eastAsia="es-ES"/>
        </w:rPr>
        <w:t>N°</w:t>
      </w:r>
      <w:proofErr w:type="spellEnd"/>
      <w:r w:rsidRPr="00D106C9">
        <w:rPr>
          <w:lang w:eastAsia="es-ES"/>
        </w:rPr>
        <w:t xml:space="preserve"> 389-PLA-EV-2022 de la Dirección de Planificación, dado que las labores que se indican corresponden a esa Dirección.</w:t>
      </w:r>
    </w:p>
    <w:p w14:paraId="7657AB3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1C4FAED4"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Por parte de la suscrita siempre se contará con la anuencia de analizar alternativas de solución que favorezcan la labor institucional, por lo que se reitera la disposición de llevar a cabo sesiones de trabajo para conocer previamente las recomendaciones que propone la Dirección de Planificación y sean valoradas a efecto de evitar que los informes sean remitidos sin la aprobación de las oficinas que se ven involucradas. </w:t>
      </w:r>
    </w:p>
    <w:p w14:paraId="37F2B2B0"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p>
    <w:p w14:paraId="74BDE233" w14:textId="77777777" w:rsidR="00D106C9" w:rsidRPr="00D106C9" w:rsidRDefault="00D106C9" w:rsidP="00D106C9">
      <w:pPr>
        <w:widowControl w:val="0"/>
        <w:suppressAutoHyphens w:val="0"/>
        <w:autoSpaceDE w:val="0"/>
        <w:autoSpaceDN w:val="0"/>
        <w:adjustRightInd w:val="0"/>
        <w:ind w:left="851" w:right="851" w:firstLine="709"/>
        <w:jc w:val="both"/>
        <w:rPr>
          <w:lang w:eastAsia="es-ES"/>
        </w:rPr>
      </w:pPr>
      <w:r w:rsidRPr="00D106C9">
        <w:rPr>
          <w:lang w:eastAsia="es-ES"/>
        </w:rPr>
        <w:t xml:space="preserve">(…)”. </w:t>
      </w:r>
    </w:p>
    <w:p w14:paraId="339BBDAF" w14:textId="77777777" w:rsidR="00D106C9" w:rsidRPr="00D106C9" w:rsidRDefault="00D106C9" w:rsidP="00D106C9">
      <w:pPr>
        <w:widowControl w:val="0"/>
        <w:suppressAutoHyphens w:val="0"/>
        <w:autoSpaceDE w:val="0"/>
        <w:autoSpaceDN w:val="0"/>
        <w:adjustRightInd w:val="0"/>
        <w:ind w:right="851"/>
        <w:jc w:val="both"/>
        <w:rPr>
          <w:lang w:eastAsia="es-ES"/>
        </w:rPr>
      </w:pPr>
    </w:p>
    <w:p w14:paraId="78C89F7D" w14:textId="77777777" w:rsidR="00D106C9" w:rsidRPr="00D106C9" w:rsidRDefault="00D106C9" w:rsidP="00D106C9">
      <w:pPr>
        <w:widowControl w:val="0"/>
        <w:suppressAutoHyphens w:val="0"/>
        <w:autoSpaceDE w:val="0"/>
        <w:autoSpaceDN w:val="0"/>
        <w:adjustRightInd w:val="0"/>
        <w:jc w:val="center"/>
        <w:rPr>
          <w:lang w:eastAsia="es-ES"/>
        </w:rPr>
      </w:pPr>
      <w:r w:rsidRPr="00D106C9">
        <w:rPr>
          <w:lang w:eastAsia="es-ES"/>
        </w:rPr>
        <w:t>-0-</w:t>
      </w:r>
    </w:p>
    <w:p w14:paraId="0E298A90" w14:textId="77777777" w:rsidR="00D106C9" w:rsidRDefault="00D106C9" w:rsidP="00D106C9">
      <w:pPr>
        <w:widowControl w:val="0"/>
        <w:suppressAutoHyphens w:val="0"/>
        <w:autoSpaceDE w:val="0"/>
        <w:autoSpaceDN w:val="0"/>
        <w:adjustRightInd w:val="0"/>
        <w:ind w:firstLine="708"/>
        <w:jc w:val="both"/>
        <w:rPr>
          <w:lang w:eastAsia="es-ES"/>
        </w:rPr>
      </w:pPr>
    </w:p>
    <w:p w14:paraId="439B7219" w14:textId="4C706041" w:rsidR="00D106C9" w:rsidRPr="00D106C9" w:rsidRDefault="00D106C9" w:rsidP="00D106C9">
      <w:pPr>
        <w:widowControl w:val="0"/>
        <w:suppressAutoHyphens w:val="0"/>
        <w:autoSpaceDE w:val="0"/>
        <w:autoSpaceDN w:val="0"/>
        <w:adjustRightInd w:val="0"/>
        <w:ind w:firstLine="708"/>
        <w:jc w:val="both"/>
        <w:rPr>
          <w:lang w:eastAsia="es-ES"/>
        </w:rPr>
      </w:pPr>
      <w:r w:rsidRPr="00D106C9">
        <w:rPr>
          <w:lang w:eastAsia="es-ES"/>
        </w:rPr>
        <w:t xml:space="preserve">Indica el Integrante Bonilla Garro: “La Dirección de Planificación emite un informe de los planes anuales operativos, aquí en resumen es un informe de estilo que ellos siempre presentan durante todos los años de cual ese el comportamiento de la ejecución de las metas operativas, de la evaluaciones que se hacen del PAO y también la relación con las metas institucionales y los objetivos del Plan Estratégico Institucional, se denota así en general un aumento importante en cuanto a la ejecución, aquí también en el informe se hace una relación importante en cuanto a esas metas que le comentaba, además con los antecedentes y se hacen una serie de recomendaciones para procurar y maximizar la ejecución en el cumplimiento de sus objetivos, recordando que  están relacionados con la ejecución presupuestaria; en este caso la propuesta que se les trae es en razón de que la Dirección Ejecutiva, la persona de doña Ana Eugenia Romero nos hace un planteamiento  a este informe, en el cual le preocupan algunas recomendaciones  en relación a algunas funciones que en criterio de doña Ana se están trasladando a las Administraciones Regionales y a los Consejos de Administración y algunos Centros de Responsabilidad, funciones que en principio corresponderían a la Dirección de Planificación, por eso en esta propuesta nosotros estamos aprobando parcialmente, recomendando aprobar parcialmente el informe, aprobando las recomendaciones que tienen que ver con procurar la mejora en la ejecución y todos los análisis que nos hace la Dirección de Planificación, pero también le estamos trasladando a la Dirección de Planificación lo relacionado al oficio que presenta la Dirección Ejecutiva en cuanto a estas consideraciones que hacen y se les da un plazo de ocho días, por si lo tienen a bien.” </w:t>
      </w:r>
    </w:p>
    <w:p w14:paraId="3015B93F" w14:textId="77777777" w:rsidR="00D106C9" w:rsidRDefault="00D106C9" w:rsidP="00D106C9">
      <w:pPr>
        <w:widowControl w:val="0"/>
        <w:suppressAutoHyphens w:val="0"/>
        <w:autoSpaceDE w:val="0"/>
        <w:autoSpaceDN w:val="0"/>
        <w:adjustRightInd w:val="0"/>
        <w:ind w:firstLine="708"/>
        <w:jc w:val="both"/>
        <w:rPr>
          <w:lang w:eastAsia="es-ES"/>
        </w:rPr>
      </w:pPr>
    </w:p>
    <w:p w14:paraId="3D75144E" w14:textId="24CEE436" w:rsidR="00D106C9" w:rsidRPr="00D106C9" w:rsidRDefault="00D106C9" w:rsidP="00D106C9">
      <w:pPr>
        <w:widowControl w:val="0"/>
        <w:suppressAutoHyphens w:val="0"/>
        <w:autoSpaceDE w:val="0"/>
        <w:autoSpaceDN w:val="0"/>
        <w:adjustRightInd w:val="0"/>
        <w:ind w:firstLine="708"/>
        <w:jc w:val="both"/>
        <w:rPr>
          <w:lang w:eastAsia="es-ES"/>
        </w:rPr>
      </w:pPr>
      <w:r w:rsidRPr="00D106C9">
        <w:rPr>
          <w:lang w:eastAsia="es-ES"/>
        </w:rPr>
        <w:t xml:space="preserve">Expresa la máster Romero Jenkins: “Yo quería aclarar, que en este caso, a nosotros como Dirección Ejecutiva  no se nos puso en consulta, no se nos dio audiencia, nos esteramos cuando ya viene rumbo al Consejo, porque ahí se nos copió y en realidad sobre este tema ya nosotros incluso tiempo atrás nos habíamos referido respecto a la imposibilidad del alcance de la revisión que pretende Planificación que hagan los Consejos de Administración y las Administraciones </w:t>
      </w:r>
      <w:r w:rsidRPr="00D106C9">
        <w:rPr>
          <w:lang w:eastAsia="es-ES"/>
        </w:rPr>
        <w:lastRenderedPageBreak/>
        <w:t xml:space="preserve">Regionales que son el brazo ejecutor de esos Consejos.”    </w:t>
      </w:r>
    </w:p>
    <w:p w14:paraId="731278A9" w14:textId="77777777" w:rsidR="00D106C9" w:rsidRDefault="00D106C9" w:rsidP="00D106C9">
      <w:pPr>
        <w:widowControl w:val="0"/>
        <w:suppressAutoHyphens w:val="0"/>
        <w:autoSpaceDE w:val="0"/>
        <w:autoSpaceDN w:val="0"/>
        <w:adjustRightInd w:val="0"/>
        <w:ind w:firstLine="708"/>
        <w:jc w:val="both"/>
        <w:rPr>
          <w:b/>
          <w:bCs/>
          <w:lang w:eastAsia="es-ES"/>
        </w:rPr>
      </w:pPr>
    </w:p>
    <w:p w14:paraId="6E89B0AA" w14:textId="63DEBD56" w:rsidR="0049063E" w:rsidRPr="00D106C9" w:rsidRDefault="00D106C9" w:rsidP="00D106C9">
      <w:pPr>
        <w:widowControl w:val="0"/>
        <w:suppressAutoHyphens w:val="0"/>
        <w:autoSpaceDE w:val="0"/>
        <w:autoSpaceDN w:val="0"/>
        <w:adjustRightInd w:val="0"/>
        <w:ind w:firstLine="708"/>
        <w:jc w:val="both"/>
        <w:rPr>
          <w:b/>
          <w:bCs/>
        </w:rPr>
      </w:pPr>
      <w:r w:rsidRPr="00D106C9">
        <w:rPr>
          <w:b/>
          <w:bCs/>
          <w:lang w:eastAsia="es-ES"/>
        </w:rPr>
        <w:t xml:space="preserve">Se acordó: 1) </w:t>
      </w:r>
      <w:r w:rsidRPr="00D106C9">
        <w:rPr>
          <w:lang w:eastAsia="es-ES"/>
        </w:rPr>
        <w:t xml:space="preserve">Tener por rendido el oficio </w:t>
      </w:r>
      <w:proofErr w:type="spellStart"/>
      <w:r w:rsidRPr="00D106C9">
        <w:rPr>
          <w:lang w:eastAsia="en-US"/>
        </w:rPr>
        <w:t>Nº</w:t>
      </w:r>
      <w:proofErr w:type="spellEnd"/>
      <w:r w:rsidRPr="00D106C9">
        <w:rPr>
          <w:lang w:eastAsia="en-US"/>
        </w:rPr>
        <w:t xml:space="preserve"> </w:t>
      </w:r>
      <w:r w:rsidRPr="00D106C9">
        <w:rPr>
          <w:snapToGrid w:val="0"/>
          <w:lang w:eastAsia="es-ES"/>
        </w:rPr>
        <w:t>389-PLA-EV-2022</w:t>
      </w:r>
      <w:r w:rsidRPr="00D106C9">
        <w:rPr>
          <w:lang w:eastAsia="en-US"/>
        </w:rPr>
        <w:t xml:space="preserve"> </w:t>
      </w:r>
      <w:r w:rsidRPr="00D106C9">
        <w:rPr>
          <w:lang w:eastAsia="es-ES"/>
        </w:rPr>
        <w:t xml:space="preserve">de la Dirección de Planificación, en relación con la evaluación anual a los Planes Anuales Operativos del año 2021. </w:t>
      </w:r>
      <w:r w:rsidRPr="00D106C9">
        <w:rPr>
          <w:b/>
          <w:bCs/>
          <w:lang w:eastAsia="es-ES"/>
        </w:rPr>
        <w:t>2)</w:t>
      </w:r>
      <w:r w:rsidRPr="00D106C9">
        <w:rPr>
          <w:lang w:eastAsia="es-ES"/>
        </w:rPr>
        <w:t xml:space="preserve"> Aprobar </w:t>
      </w:r>
      <w:r w:rsidRPr="00D106C9">
        <w:rPr>
          <w:b/>
          <w:bCs/>
          <w:lang w:eastAsia="es-ES"/>
        </w:rPr>
        <w:t xml:space="preserve">parcialmente </w:t>
      </w:r>
      <w:r w:rsidRPr="00D106C9">
        <w:rPr>
          <w:lang w:eastAsia="es-ES"/>
        </w:rPr>
        <w:t xml:space="preserve">el presente informe y sus recomendaciones, de evaluación a las metas operativas del Plan Anual Operativo 2021. </w:t>
      </w:r>
      <w:r w:rsidRPr="00D106C9">
        <w:rPr>
          <w:b/>
          <w:bCs/>
          <w:lang w:eastAsia="es-ES"/>
        </w:rPr>
        <w:t>3)</w:t>
      </w:r>
      <w:r w:rsidRPr="00D106C9">
        <w:rPr>
          <w:lang w:eastAsia="es-ES"/>
        </w:rPr>
        <w:t xml:space="preserve"> Hacer un llamado de atención a las 122 oficinas </w:t>
      </w:r>
      <w:r w:rsidRPr="00D106C9">
        <w:rPr>
          <w:b/>
          <w:bCs/>
          <w:lang w:eastAsia="es-ES"/>
        </w:rPr>
        <w:t>(detalladas en el cuadro 10)</w:t>
      </w:r>
      <w:r w:rsidRPr="00D106C9">
        <w:rPr>
          <w:lang w:eastAsia="es-ES"/>
        </w:rPr>
        <w:t xml:space="preserve"> con registro de cumplimiento inferior al 90%, para que determinen las razones que propiciaron no alcanzar los resultados esperados, e implementar medidas correctivas que a la brevedad en este 2022 les permitan mejorar los porcentajes de cumplimiento de los PAOS. </w:t>
      </w:r>
      <w:r w:rsidRPr="00D106C9">
        <w:rPr>
          <w:b/>
          <w:bCs/>
          <w:lang w:eastAsia="es-ES"/>
        </w:rPr>
        <w:t>4)</w:t>
      </w:r>
      <w:r w:rsidRPr="00D106C9">
        <w:rPr>
          <w:lang w:eastAsia="es-ES"/>
        </w:rPr>
        <w:t xml:space="preserve"> Hacer un llamado de atención a las 85 oficinas </w:t>
      </w:r>
      <w:r w:rsidRPr="00D106C9">
        <w:rPr>
          <w:b/>
          <w:bCs/>
          <w:lang w:eastAsia="es-ES"/>
        </w:rPr>
        <w:t>(detalladas en el cuadro 11)</w:t>
      </w:r>
      <w:r w:rsidRPr="00D106C9">
        <w:rPr>
          <w:lang w:eastAsia="es-ES"/>
        </w:rPr>
        <w:t xml:space="preserve"> que asignaron metas operativas con estados no avalados (En progreso, No iniciado, Demorado en Progreso, Demorado pendiente) </w:t>
      </w:r>
      <w:r w:rsidRPr="00D106C9">
        <w:rPr>
          <w:u w:val="single"/>
          <w:lang w:eastAsia="es-ES"/>
        </w:rPr>
        <w:t>al finalizar el año</w:t>
      </w:r>
      <w:r w:rsidRPr="00D106C9">
        <w:rPr>
          <w:lang w:eastAsia="es-ES"/>
        </w:rPr>
        <w:t xml:space="preserve">, para que en adelante esta situación no se repita y permita contar con un panorama más claro del estado de las metas a nivel institucional, al momento de elaborarse este informe de evaluación. </w:t>
      </w:r>
      <w:r w:rsidRPr="00D106C9">
        <w:rPr>
          <w:b/>
          <w:lang w:eastAsia="es-ES"/>
        </w:rPr>
        <w:t>5)</w:t>
      </w:r>
      <w:r w:rsidRPr="00D106C9">
        <w:rPr>
          <w:bCs/>
          <w:lang w:eastAsia="es-ES"/>
        </w:rPr>
        <w:t xml:space="preserve"> Aprobar el Plan de Acción expuesto en el apartado 15 de este informe, y comunicarlo a las diferentes instancias judiciales responsables que ahí se indican. Este Plan será revisado por el Subproceso de Evaluación de la Dirección de Planificación en el primer semestre del 2022 con el informe de Seguimiento al Plan Anual Operativo 2022. </w:t>
      </w:r>
      <w:r w:rsidRPr="00D106C9">
        <w:rPr>
          <w:b/>
          <w:bCs/>
          <w:lang w:eastAsia="es-ES"/>
        </w:rPr>
        <w:t>6)</w:t>
      </w:r>
      <w:r w:rsidRPr="00D106C9">
        <w:rPr>
          <w:lang w:eastAsia="es-ES"/>
        </w:rPr>
        <w:t xml:space="preserve"> Aprobar el seguimiento realizado a las recomendaciones del informe 1311-PLA-EV-2021, relacionado con el informe semestral de seguimiento de los Planes Anuales Operativos que se muestra en el apartado 16 de este informe. </w:t>
      </w:r>
      <w:r w:rsidRPr="00D106C9">
        <w:rPr>
          <w:b/>
          <w:bCs/>
          <w:lang w:eastAsia="es-ES"/>
        </w:rPr>
        <w:t>7)</w:t>
      </w:r>
      <w:r w:rsidRPr="00D106C9">
        <w:rPr>
          <w:lang w:eastAsia="es-ES"/>
        </w:rPr>
        <w:t xml:space="preserve"> Las oficinas y despachos judiciales deberán:</w:t>
      </w:r>
      <w:r w:rsidRPr="00D106C9">
        <w:rPr>
          <w:b/>
          <w:bCs/>
          <w:lang w:eastAsia="es-ES"/>
        </w:rPr>
        <w:t xml:space="preserve"> a)</w:t>
      </w:r>
      <w:r w:rsidRPr="00D106C9">
        <w:rPr>
          <w:lang w:eastAsia="es-ES"/>
        </w:rPr>
        <w:t xml:space="preserve"> Acatar lo indicado en la circular 32-2022, de la Secretaría General de la Corte, del 11 de enero del 2022, denominada “Reiteración de la circular 141-2020 sobre la Obligación de realizar evaluaciones semestrales y anuales de Planes anuales y operativos”. A raíz de lo anterior, se solicita a todos los despachos y oficinas judiciales del país que formularon sus Planes Anuales Operativos para el 2022, el deber de mantener actualizado el avance logrado en cada una de las metas formuladas. </w:t>
      </w:r>
      <w:r w:rsidRPr="00D106C9">
        <w:rPr>
          <w:b/>
          <w:lang w:eastAsia="es-ES"/>
        </w:rPr>
        <w:t>b)</w:t>
      </w:r>
      <w:r w:rsidRPr="00D106C9">
        <w:rPr>
          <w:bCs/>
          <w:lang w:eastAsia="es-ES"/>
        </w:rPr>
        <w:t xml:space="preserve"> Registrar avances a las metas operativas de los Planes Anuales Operativos que están vinculadas con el Plan Estratégico Institucional </w:t>
      </w:r>
      <w:r w:rsidRPr="00D106C9">
        <w:rPr>
          <w:b/>
          <w:lang w:eastAsia="es-ES"/>
        </w:rPr>
        <w:t>de manera periódica</w:t>
      </w:r>
      <w:r w:rsidRPr="00D106C9">
        <w:rPr>
          <w:bCs/>
          <w:lang w:eastAsia="es-ES"/>
        </w:rPr>
        <w:t xml:space="preserve">, debido a la importancia que revisten esas metas al contribuir de manera directa con el cumplimiento del PEI. </w:t>
      </w:r>
      <w:r w:rsidRPr="00D106C9">
        <w:rPr>
          <w:b/>
          <w:bCs/>
          <w:lang w:eastAsia="es-ES"/>
        </w:rPr>
        <w:t>c)</w:t>
      </w:r>
      <w:r w:rsidRPr="00D106C9">
        <w:rPr>
          <w:lang w:eastAsia="es-ES"/>
        </w:rPr>
        <w:t xml:space="preserve"> </w:t>
      </w:r>
      <w:r w:rsidRPr="00D106C9">
        <w:rPr>
          <w:color w:val="242424"/>
          <w:shd w:val="clear" w:color="auto" w:fill="FFFFFF"/>
          <w:lang w:eastAsia="es-ES"/>
        </w:rPr>
        <w:t xml:space="preserve">Actualizar adecuadamente los estados de las metas contenidas en el Sistema PAO, para que, al llevar a cabo la evaluación del PAO al finalizar el 2022, las metas queden clasificadas </w:t>
      </w:r>
      <w:r w:rsidRPr="00D106C9">
        <w:rPr>
          <w:b/>
          <w:bCs/>
          <w:color w:val="242424"/>
          <w:shd w:val="clear" w:color="auto" w:fill="FFFFFF"/>
          <w:lang w:eastAsia="es-ES"/>
        </w:rPr>
        <w:t>en los únicos tres estados avalados:</w:t>
      </w:r>
      <w:r w:rsidRPr="00D106C9">
        <w:rPr>
          <w:color w:val="242424"/>
          <w:shd w:val="clear" w:color="auto" w:fill="FFFFFF"/>
          <w:lang w:eastAsia="es-ES"/>
        </w:rPr>
        <w:t> </w:t>
      </w:r>
      <w:r w:rsidRPr="00D106C9">
        <w:rPr>
          <w:b/>
          <w:bCs/>
          <w:color w:val="242424"/>
          <w:shd w:val="clear" w:color="auto" w:fill="FFFFFF"/>
          <w:lang w:eastAsia="es-ES"/>
        </w:rPr>
        <w:t xml:space="preserve">completado, pendiente </w:t>
      </w:r>
      <w:r w:rsidRPr="00D106C9">
        <w:rPr>
          <w:b/>
          <w:bCs/>
          <w:color w:val="000000"/>
          <w:shd w:val="clear" w:color="auto" w:fill="FFFFFF"/>
          <w:lang w:eastAsia="es-ES"/>
        </w:rPr>
        <w:t>o cancelado</w:t>
      </w:r>
      <w:r w:rsidRPr="00D106C9">
        <w:rPr>
          <w:color w:val="000000"/>
          <w:shd w:val="clear" w:color="auto" w:fill="FFFFFF"/>
          <w:lang w:eastAsia="es-ES"/>
        </w:rPr>
        <w:t xml:space="preserve"> (este último debe contar un visto bueno por parte de la Dirección de Planificación), los restantes estados no están avalados para reportar el estado final de una meta. </w:t>
      </w:r>
      <w:r w:rsidRPr="00D106C9">
        <w:rPr>
          <w:b/>
          <w:lang w:eastAsia="es-ES"/>
        </w:rPr>
        <w:t>d)</w:t>
      </w:r>
      <w:r w:rsidRPr="00D106C9">
        <w:rPr>
          <w:bCs/>
          <w:lang w:eastAsia="es-ES"/>
        </w:rPr>
        <w:t xml:space="preserve"> Se reitera que la persona que funge como jefatura de la oficina será la responsable de garantizar el cumplimiento del Plan Anual Operativo, para esto debe procurar la participación activa del personal a cargo; lo cual contribuirá al logro de los objetivos propuestos en el PAO del 2022. </w:t>
      </w:r>
      <w:r w:rsidRPr="00D106C9">
        <w:rPr>
          <w:b/>
          <w:lang w:eastAsia="es-ES"/>
        </w:rPr>
        <w:t>e)</w:t>
      </w:r>
      <w:r w:rsidRPr="00D106C9">
        <w:rPr>
          <w:bCs/>
          <w:lang w:eastAsia="es-ES"/>
        </w:rPr>
        <w:t xml:space="preserve"> Se recomienda a las oficinas y despachos judiciales describir el cumplimiento y adjuntar una evidencia conforme a la meta, al objetivo, al eje transversal, esto con el fin de garantizar un cumplimiento efectivo en las metas operativas. </w:t>
      </w:r>
      <w:r w:rsidRPr="00D106C9">
        <w:rPr>
          <w:b/>
          <w:bCs/>
          <w:lang w:eastAsia="es-ES"/>
        </w:rPr>
        <w:t>8)</w:t>
      </w:r>
      <w:r w:rsidRPr="00D106C9">
        <w:rPr>
          <w:lang w:eastAsia="es-ES"/>
        </w:rPr>
        <w:t xml:space="preserve"> Los </w:t>
      </w:r>
      <w:proofErr w:type="gramStart"/>
      <w:r w:rsidRPr="00D106C9">
        <w:rPr>
          <w:lang w:eastAsia="es-ES"/>
        </w:rPr>
        <w:t>Responsables</w:t>
      </w:r>
      <w:proofErr w:type="gramEnd"/>
      <w:r w:rsidRPr="00D106C9">
        <w:rPr>
          <w:lang w:eastAsia="es-ES"/>
        </w:rPr>
        <w:t xml:space="preserve"> Estratégicos deberán c</w:t>
      </w:r>
      <w:r w:rsidRPr="00D106C9">
        <w:rPr>
          <w:bCs/>
          <w:lang w:eastAsia="es-ES"/>
        </w:rPr>
        <w:t>oordinar y dar seguimiento a los responsables operativos con el fin de registrar los avances de las metas contenidas en los Planes Anuales Operativos</w:t>
      </w:r>
      <w:r w:rsidRPr="00D106C9">
        <w:rPr>
          <w:lang w:eastAsia="es-ES"/>
        </w:rPr>
        <w:t xml:space="preserve"> que están vinculados con el Plan Estratégico Institucional de manera periódica, debido a la importancia que revisten esas </w:t>
      </w:r>
      <w:r w:rsidRPr="00D106C9">
        <w:rPr>
          <w:lang w:eastAsia="es-ES"/>
        </w:rPr>
        <w:lastRenderedPageBreak/>
        <w:t xml:space="preserve">metas al contribuir de manera directa con el cumplimiento del PEI. </w:t>
      </w:r>
      <w:r w:rsidRPr="00D106C9">
        <w:rPr>
          <w:b/>
          <w:bCs/>
          <w:lang w:eastAsia="es-ES"/>
        </w:rPr>
        <w:t>9)</w:t>
      </w:r>
      <w:r w:rsidRPr="00D106C9">
        <w:rPr>
          <w:lang w:eastAsia="es-ES"/>
        </w:rPr>
        <w:t xml:space="preserve"> La Dirección de Tecnología de la Información deberá i</w:t>
      </w:r>
      <w:r w:rsidRPr="00D106C9">
        <w:rPr>
          <w:bCs/>
          <w:lang w:eastAsia="es-ES"/>
        </w:rPr>
        <w:t xml:space="preserve">nformar al Consejo Superior las razones por las cuales las dos estrategias del Plan de Acción asociadas a la materia tecnológica no se le formularon objetivos operativos, lo que imposibilita realizar una evaluación de su cumplimiento. Las estrategias citadas son las siguientes: Estrategia 10 – Ampliación de los servicios de la Mesa de Ayuda (DTI) y Estrategia 20 – Gestión de las Tecnologías de la Información y Transformación Digital. </w:t>
      </w:r>
      <w:r w:rsidRPr="00D106C9">
        <w:rPr>
          <w:b/>
          <w:lang w:eastAsia="es-ES"/>
        </w:rPr>
        <w:t>10)</w:t>
      </w:r>
      <w:r w:rsidRPr="00D106C9">
        <w:rPr>
          <w:bCs/>
          <w:lang w:eastAsia="es-ES"/>
        </w:rPr>
        <w:t xml:space="preserve"> Trasladar a la Dirección de Planificación el Oficio </w:t>
      </w:r>
      <w:proofErr w:type="spellStart"/>
      <w:r w:rsidRPr="00D106C9">
        <w:rPr>
          <w:bCs/>
          <w:lang w:eastAsia="es-ES"/>
        </w:rPr>
        <w:t>N°</w:t>
      </w:r>
      <w:proofErr w:type="spellEnd"/>
      <w:r w:rsidRPr="00D106C9">
        <w:rPr>
          <w:bCs/>
          <w:lang w:eastAsia="es-ES"/>
        </w:rPr>
        <w:t xml:space="preserve"> 1662-DE-2022 de la Dirección Ejecutiva, para que de manera conjunta analicen las recomendaciones de este informe dirigidas a las Administraciones, Consejos de Administración y Centros de Responsabilidad, tomando en consideración las inconformidades que expone la Directora Ejecutiva; por lo que deberá la Dirección de Planificación remitir un informe al respecto, </w:t>
      </w:r>
      <w:r w:rsidRPr="00D106C9">
        <w:rPr>
          <w:b/>
          <w:lang w:eastAsia="es-ES"/>
        </w:rPr>
        <w:t>en el plazo de ocho días hábiles</w:t>
      </w:r>
      <w:r w:rsidRPr="00D106C9">
        <w:rPr>
          <w:bCs/>
          <w:lang w:eastAsia="es-ES"/>
        </w:rPr>
        <w:t xml:space="preserve"> posteriores a la comunicación de este acuerdo. Además, deberá puntualizar si alguna o algunas de las recomendaciones que están siendo aprobadas en este acuerdo resulta modificada. </w:t>
      </w:r>
      <w:r w:rsidRPr="00D106C9">
        <w:rPr>
          <w:b/>
          <w:lang w:eastAsia="es-ES"/>
        </w:rPr>
        <w:t>11)</w:t>
      </w:r>
      <w:r w:rsidRPr="00D106C9">
        <w:rPr>
          <w:bCs/>
          <w:lang w:eastAsia="es-ES"/>
        </w:rPr>
        <w:t xml:space="preserve"> Hacer este acuerdo de conocimiento de la Dirección de Planificación, de la Dirección Ejecutiva, del Despacho de la Presidencia, los Centros de Responsabilidad de los Programas Presupuestarios, los </w:t>
      </w:r>
      <w:proofErr w:type="gramStart"/>
      <w:r w:rsidRPr="00D106C9">
        <w:rPr>
          <w:bCs/>
          <w:lang w:eastAsia="es-ES"/>
        </w:rPr>
        <w:t>Responsables</w:t>
      </w:r>
      <w:proofErr w:type="gramEnd"/>
      <w:r w:rsidRPr="00D106C9">
        <w:rPr>
          <w:bCs/>
          <w:lang w:eastAsia="es-ES"/>
        </w:rPr>
        <w:t xml:space="preserve"> Estratégicos, la Oficina de Control Interno, la Auditoría Judicial, la Inspección Judicial y todas las demás oficinas y despachos judiciales del país.</w:t>
      </w:r>
      <w:r w:rsidR="0049063E" w:rsidRPr="00D106C9">
        <w:rPr>
          <w:b/>
        </w:rPr>
        <w:t>”</w:t>
      </w:r>
    </w:p>
    <w:bookmarkEnd w:id="0"/>
    <w:p w14:paraId="0E838DED" w14:textId="6C4DDF95" w:rsidR="00560B9F" w:rsidRPr="00D106C9" w:rsidRDefault="00560B9F" w:rsidP="00D106C9">
      <w:pPr>
        <w:ind w:left="708" w:hanging="708"/>
        <w:jc w:val="both"/>
        <w:rPr>
          <w:lang w:val="es-ES_tradnl"/>
        </w:rPr>
      </w:pPr>
    </w:p>
    <w:p w14:paraId="3254BD24" w14:textId="77777777" w:rsidR="00BE2804" w:rsidRPr="00D106C9" w:rsidRDefault="00BE2804" w:rsidP="00D106C9">
      <w:pPr>
        <w:tabs>
          <w:tab w:val="left" w:pos="4295"/>
        </w:tabs>
        <w:ind w:left="3969"/>
        <w:jc w:val="both"/>
        <w:rPr>
          <w:b/>
          <w:bCs/>
        </w:rPr>
      </w:pPr>
      <w:r w:rsidRPr="00D106C9">
        <w:rPr>
          <w:b/>
          <w:bCs/>
        </w:rPr>
        <w:t xml:space="preserve">Atentamente, </w:t>
      </w:r>
    </w:p>
    <w:p w14:paraId="77E8E5CF" w14:textId="48BC386F" w:rsidR="00BE2804" w:rsidRPr="00D106C9" w:rsidRDefault="00BE2804" w:rsidP="00D106C9">
      <w:pPr>
        <w:ind w:left="3969"/>
        <w:jc w:val="both"/>
        <w:rPr>
          <w:b/>
          <w:bCs/>
        </w:rPr>
      </w:pPr>
    </w:p>
    <w:p w14:paraId="77CDE16C" w14:textId="74AC5B62" w:rsidR="002E661F" w:rsidRPr="00D106C9" w:rsidRDefault="002E661F" w:rsidP="00D106C9">
      <w:pPr>
        <w:ind w:left="3969"/>
        <w:jc w:val="both"/>
        <w:rPr>
          <w:b/>
          <w:bCs/>
        </w:rPr>
      </w:pPr>
    </w:p>
    <w:p w14:paraId="133AB391" w14:textId="553810B3" w:rsidR="00D0131D" w:rsidRPr="00D106C9" w:rsidRDefault="00D0131D" w:rsidP="00D106C9">
      <w:pPr>
        <w:ind w:left="3969"/>
        <w:jc w:val="both"/>
        <w:rPr>
          <w:b/>
          <w:bCs/>
        </w:rPr>
      </w:pPr>
    </w:p>
    <w:p w14:paraId="62E58675" w14:textId="77777777" w:rsidR="005804D8" w:rsidRPr="00D106C9" w:rsidRDefault="005804D8" w:rsidP="00D106C9">
      <w:pPr>
        <w:ind w:left="3969"/>
        <w:jc w:val="both"/>
        <w:rPr>
          <w:b/>
          <w:bCs/>
        </w:rPr>
      </w:pPr>
    </w:p>
    <w:p w14:paraId="1110B22A" w14:textId="77777777" w:rsidR="00BE2804" w:rsidRPr="00D106C9" w:rsidRDefault="00BE2804" w:rsidP="00D106C9">
      <w:pPr>
        <w:tabs>
          <w:tab w:val="left" w:pos="4295"/>
        </w:tabs>
        <w:ind w:left="3969"/>
        <w:jc w:val="both"/>
        <w:rPr>
          <w:b/>
          <w:bCs/>
        </w:rPr>
      </w:pPr>
      <w:r w:rsidRPr="00D106C9">
        <w:rPr>
          <w:b/>
          <w:bCs/>
        </w:rPr>
        <w:t>Licda. Vanessa Fernández Salas</w:t>
      </w:r>
    </w:p>
    <w:p w14:paraId="488FB70B" w14:textId="77777777" w:rsidR="00BE2804" w:rsidRPr="00D106C9" w:rsidRDefault="00BE2804" w:rsidP="00D106C9">
      <w:pPr>
        <w:tabs>
          <w:tab w:val="left" w:pos="4295"/>
        </w:tabs>
        <w:ind w:left="3969"/>
        <w:jc w:val="both"/>
        <w:rPr>
          <w:b/>
          <w:bCs/>
        </w:rPr>
      </w:pPr>
      <w:r w:rsidRPr="00D106C9">
        <w:rPr>
          <w:b/>
          <w:bCs/>
        </w:rPr>
        <w:t>Prosecretaria General Interina</w:t>
      </w:r>
    </w:p>
    <w:p w14:paraId="4C6E0D44" w14:textId="77777777" w:rsidR="00BE2804" w:rsidRPr="00D106C9" w:rsidRDefault="00BE2804" w:rsidP="00D106C9">
      <w:pPr>
        <w:ind w:left="3969"/>
        <w:jc w:val="both"/>
        <w:rPr>
          <w:b/>
          <w:bCs/>
        </w:rPr>
      </w:pPr>
      <w:r w:rsidRPr="00D106C9">
        <w:rPr>
          <w:b/>
          <w:bCs/>
        </w:rPr>
        <w:t>Secretaría General de la Corte</w:t>
      </w:r>
    </w:p>
    <w:p w14:paraId="101D607C" w14:textId="77777777" w:rsidR="005804D8" w:rsidRPr="00D106C9" w:rsidRDefault="005804D8" w:rsidP="00D106C9">
      <w:pPr>
        <w:rPr>
          <w:lang w:val="es-ES_tradnl"/>
        </w:rPr>
      </w:pPr>
    </w:p>
    <w:p w14:paraId="12E779CB" w14:textId="77777777" w:rsidR="005804D8" w:rsidRPr="00D106C9" w:rsidRDefault="005804D8" w:rsidP="00D106C9">
      <w:pPr>
        <w:rPr>
          <w:lang w:val="es-ES_tradnl"/>
        </w:rPr>
      </w:pPr>
    </w:p>
    <w:p w14:paraId="38B4BDF2" w14:textId="77777777" w:rsidR="0063727B" w:rsidRPr="0063727B" w:rsidRDefault="00C73B8E" w:rsidP="0063727B">
      <w:pPr>
        <w:rPr>
          <w:lang w:val="es-ES_tradnl"/>
        </w:rPr>
      </w:pPr>
      <w:proofErr w:type="spellStart"/>
      <w:r w:rsidRPr="00D106C9">
        <w:rPr>
          <w:lang w:val="es-ES_tradnl"/>
        </w:rPr>
        <w:t>Cc</w:t>
      </w:r>
      <w:proofErr w:type="spellEnd"/>
      <w:r w:rsidR="0049063E" w:rsidRPr="00D106C9">
        <w:rPr>
          <w:lang w:val="es-ES_tradnl"/>
        </w:rPr>
        <w:tab/>
      </w:r>
      <w:r w:rsidR="0063727B" w:rsidRPr="0063727B">
        <w:rPr>
          <w:lang w:val="es-ES_tradnl"/>
        </w:rPr>
        <w:t>Presidencia de la Corte</w:t>
      </w:r>
    </w:p>
    <w:p w14:paraId="08E7B3A7" w14:textId="77777777" w:rsidR="0063727B" w:rsidRPr="0063727B" w:rsidRDefault="0063727B" w:rsidP="0063727B">
      <w:pPr>
        <w:ind w:firstLine="708"/>
        <w:rPr>
          <w:lang w:val="es-ES_tradnl"/>
        </w:rPr>
      </w:pPr>
      <w:r w:rsidRPr="0063727B">
        <w:rPr>
          <w:lang w:val="es-ES_tradnl"/>
        </w:rPr>
        <w:t>Consejo Superior</w:t>
      </w:r>
    </w:p>
    <w:p w14:paraId="3BE3BB26" w14:textId="77777777" w:rsidR="0063727B" w:rsidRPr="0063727B" w:rsidRDefault="0063727B" w:rsidP="0063727B">
      <w:pPr>
        <w:ind w:firstLine="708"/>
        <w:rPr>
          <w:lang w:val="es-ES_tradnl"/>
        </w:rPr>
      </w:pPr>
      <w:r w:rsidRPr="0063727B">
        <w:rPr>
          <w:lang w:val="es-ES_tradnl"/>
        </w:rPr>
        <w:t>Sala Primera</w:t>
      </w:r>
    </w:p>
    <w:p w14:paraId="2A8F8476" w14:textId="77777777" w:rsidR="0063727B" w:rsidRPr="0063727B" w:rsidRDefault="0063727B" w:rsidP="0063727B">
      <w:pPr>
        <w:ind w:firstLine="708"/>
        <w:rPr>
          <w:lang w:val="es-ES_tradnl"/>
        </w:rPr>
      </w:pPr>
      <w:r w:rsidRPr="0063727B">
        <w:rPr>
          <w:lang w:val="es-ES_tradnl"/>
        </w:rPr>
        <w:t>Sala Segunda</w:t>
      </w:r>
    </w:p>
    <w:p w14:paraId="5ED96CAC" w14:textId="77777777" w:rsidR="0063727B" w:rsidRPr="0063727B" w:rsidRDefault="0063727B" w:rsidP="0063727B">
      <w:pPr>
        <w:ind w:firstLine="708"/>
        <w:rPr>
          <w:lang w:val="es-ES_tradnl"/>
        </w:rPr>
      </w:pPr>
      <w:r w:rsidRPr="0063727B">
        <w:rPr>
          <w:lang w:val="es-ES_tradnl"/>
        </w:rPr>
        <w:t>Sala Tercera</w:t>
      </w:r>
    </w:p>
    <w:p w14:paraId="562AD91A" w14:textId="77777777" w:rsidR="0063727B" w:rsidRPr="0063727B" w:rsidRDefault="0063727B" w:rsidP="0063727B">
      <w:pPr>
        <w:ind w:firstLine="708"/>
        <w:rPr>
          <w:lang w:val="es-ES_tradnl"/>
        </w:rPr>
      </w:pPr>
      <w:r w:rsidRPr="0063727B">
        <w:rPr>
          <w:lang w:val="es-ES_tradnl"/>
        </w:rPr>
        <w:t>Sala Constitucional</w:t>
      </w:r>
    </w:p>
    <w:p w14:paraId="44D79363" w14:textId="77777777" w:rsidR="0063727B" w:rsidRPr="0063727B" w:rsidRDefault="0063727B" w:rsidP="0063727B">
      <w:pPr>
        <w:ind w:firstLine="708"/>
        <w:rPr>
          <w:lang w:val="es-ES_tradnl"/>
        </w:rPr>
      </w:pPr>
      <w:r w:rsidRPr="0063727B">
        <w:rPr>
          <w:lang w:val="es-ES_tradnl"/>
        </w:rPr>
        <w:t>Comisión contra el Hostigamiento Sexual</w:t>
      </w:r>
    </w:p>
    <w:p w14:paraId="1D3E07BF" w14:textId="77777777" w:rsidR="0063727B" w:rsidRPr="0063727B" w:rsidRDefault="0063727B" w:rsidP="0063727B">
      <w:pPr>
        <w:ind w:firstLine="708"/>
        <w:rPr>
          <w:lang w:val="es-ES_tradnl"/>
        </w:rPr>
      </w:pPr>
      <w:r w:rsidRPr="0063727B">
        <w:rPr>
          <w:lang w:val="es-ES_tradnl"/>
        </w:rPr>
        <w:t>Comisión de Acceso a la Justicia</w:t>
      </w:r>
    </w:p>
    <w:p w14:paraId="6FBBE880" w14:textId="77777777" w:rsidR="0063727B" w:rsidRPr="0063727B" w:rsidRDefault="0063727B" w:rsidP="0063727B">
      <w:pPr>
        <w:ind w:firstLine="708"/>
        <w:rPr>
          <w:lang w:val="es-ES_tradnl"/>
        </w:rPr>
      </w:pPr>
      <w:r w:rsidRPr="0063727B">
        <w:rPr>
          <w:lang w:val="es-ES_tradnl"/>
        </w:rPr>
        <w:t>Comisión de Asuntos Penales</w:t>
      </w:r>
    </w:p>
    <w:p w14:paraId="16D36698" w14:textId="77777777" w:rsidR="0063727B" w:rsidRPr="0063727B" w:rsidRDefault="0063727B" w:rsidP="0063727B">
      <w:pPr>
        <w:ind w:firstLine="708"/>
        <w:rPr>
          <w:lang w:val="es-ES_tradnl"/>
        </w:rPr>
      </w:pPr>
      <w:r w:rsidRPr="0063727B">
        <w:rPr>
          <w:lang w:val="es-ES_tradnl"/>
        </w:rPr>
        <w:t>Comisión de Construcciones</w:t>
      </w:r>
    </w:p>
    <w:p w14:paraId="4713A4DE" w14:textId="77777777" w:rsidR="0063727B" w:rsidRPr="0063727B" w:rsidRDefault="0063727B" w:rsidP="0063727B">
      <w:pPr>
        <w:ind w:firstLine="708"/>
        <w:rPr>
          <w:lang w:val="es-ES_tradnl"/>
        </w:rPr>
      </w:pPr>
      <w:r w:rsidRPr="0063727B">
        <w:rPr>
          <w:lang w:val="es-ES_tradnl"/>
        </w:rPr>
        <w:t xml:space="preserve">Comisión de Género </w:t>
      </w:r>
    </w:p>
    <w:p w14:paraId="57A8B5B5" w14:textId="77777777" w:rsidR="0063727B" w:rsidRPr="0063727B" w:rsidRDefault="0063727B" w:rsidP="0063727B">
      <w:pPr>
        <w:ind w:firstLine="708"/>
        <w:rPr>
          <w:lang w:val="es-ES_tradnl"/>
        </w:rPr>
      </w:pPr>
      <w:r w:rsidRPr="0063727B">
        <w:rPr>
          <w:lang w:val="es-ES_tradnl"/>
        </w:rPr>
        <w:t>Comisión de Gestión Ambiental Institucional</w:t>
      </w:r>
    </w:p>
    <w:p w14:paraId="7E4FD184" w14:textId="77777777" w:rsidR="0063727B" w:rsidRPr="0063727B" w:rsidRDefault="0063727B" w:rsidP="0063727B">
      <w:pPr>
        <w:ind w:firstLine="708"/>
        <w:rPr>
          <w:lang w:val="es-ES_tradnl"/>
        </w:rPr>
      </w:pPr>
      <w:r w:rsidRPr="0063727B">
        <w:rPr>
          <w:lang w:val="es-ES_tradnl"/>
        </w:rPr>
        <w:t xml:space="preserve">Comisión de la Atención y Prevención de la Violencia Intrafamiliar </w:t>
      </w:r>
    </w:p>
    <w:p w14:paraId="5725C351" w14:textId="77777777" w:rsidR="0063727B" w:rsidRPr="0063727B" w:rsidRDefault="0063727B" w:rsidP="0063727B">
      <w:pPr>
        <w:ind w:firstLine="708"/>
        <w:rPr>
          <w:lang w:val="es-ES_tradnl"/>
        </w:rPr>
      </w:pPr>
      <w:r w:rsidRPr="0063727B">
        <w:rPr>
          <w:lang w:val="es-ES_tradnl"/>
        </w:rPr>
        <w:lastRenderedPageBreak/>
        <w:t>Comisión de la Gestión Integral de la Calidad</w:t>
      </w:r>
    </w:p>
    <w:p w14:paraId="5EC2D8C2" w14:textId="77777777" w:rsidR="0063727B" w:rsidRPr="0063727B" w:rsidRDefault="0063727B" w:rsidP="0063727B">
      <w:pPr>
        <w:ind w:firstLine="708"/>
        <w:rPr>
          <w:lang w:val="es-ES_tradnl"/>
        </w:rPr>
      </w:pPr>
      <w:r w:rsidRPr="0063727B">
        <w:rPr>
          <w:lang w:val="es-ES_tradnl"/>
        </w:rPr>
        <w:t xml:space="preserve">Comisión de la Jurisdicción Agrario y Agroambiental </w:t>
      </w:r>
    </w:p>
    <w:p w14:paraId="74027E9D" w14:textId="77777777" w:rsidR="0063727B" w:rsidRPr="0063727B" w:rsidRDefault="0063727B" w:rsidP="0063727B">
      <w:pPr>
        <w:ind w:firstLine="708"/>
        <w:rPr>
          <w:lang w:val="es-ES_tradnl"/>
        </w:rPr>
      </w:pPr>
      <w:r w:rsidRPr="0063727B">
        <w:rPr>
          <w:lang w:val="es-ES_tradnl"/>
        </w:rPr>
        <w:t>Comisión de la Jurisdicción Civil</w:t>
      </w:r>
    </w:p>
    <w:p w14:paraId="1EC03BB5" w14:textId="77777777" w:rsidR="0063727B" w:rsidRPr="0063727B" w:rsidRDefault="0063727B" w:rsidP="0063727B">
      <w:pPr>
        <w:ind w:firstLine="708"/>
        <w:rPr>
          <w:lang w:val="es-ES_tradnl"/>
        </w:rPr>
      </w:pPr>
      <w:r w:rsidRPr="0063727B">
        <w:rPr>
          <w:lang w:val="es-ES_tradnl"/>
        </w:rPr>
        <w:t>Comisión de la Jurisdicción Contencioso Administrativa</w:t>
      </w:r>
    </w:p>
    <w:p w14:paraId="4FBF4D2B" w14:textId="77777777" w:rsidR="0063727B" w:rsidRPr="0063727B" w:rsidRDefault="0063727B" w:rsidP="0063727B">
      <w:pPr>
        <w:ind w:firstLine="708"/>
        <w:rPr>
          <w:lang w:val="es-ES_tradnl"/>
        </w:rPr>
      </w:pPr>
      <w:r w:rsidRPr="0063727B">
        <w:rPr>
          <w:lang w:val="es-ES_tradnl"/>
        </w:rPr>
        <w:t>Comisión de la Jurisdicción de Familia, Niñez y Adolescencia</w:t>
      </w:r>
    </w:p>
    <w:p w14:paraId="79005038" w14:textId="77777777" w:rsidR="0063727B" w:rsidRPr="0063727B" w:rsidRDefault="0063727B" w:rsidP="0063727B">
      <w:pPr>
        <w:ind w:firstLine="708"/>
        <w:rPr>
          <w:lang w:val="es-ES_tradnl"/>
        </w:rPr>
      </w:pPr>
      <w:r w:rsidRPr="0063727B">
        <w:rPr>
          <w:lang w:val="es-ES_tradnl"/>
        </w:rPr>
        <w:t xml:space="preserve">Comisión de la Jurisdicción Especializada en Delincuencia </w:t>
      </w:r>
    </w:p>
    <w:p w14:paraId="1C12803D" w14:textId="77777777" w:rsidR="0063727B" w:rsidRPr="0063727B" w:rsidRDefault="0063727B" w:rsidP="0063727B">
      <w:pPr>
        <w:ind w:firstLine="708"/>
        <w:rPr>
          <w:lang w:val="es-ES_tradnl"/>
        </w:rPr>
      </w:pPr>
      <w:r w:rsidRPr="0063727B">
        <w:rPr>
          <w:lang w:val="es-ES_tradnl"/>
        </w:rPr>
        <w:t>Comisión de la Jurisdicción Laboral</w:t>
      </w:r>
    </w:p>
    <w:p w14:paraId="0CCE5C6F" w14:textId="77777777" w:rsidR="0063727B" w:rsidRPr="0063727B" w:rsidRDefault="0063727B" w:rsidP="0063727B">
      <w:pPr>
        <w:ind w:firstLine="708"/>
        <w:rPr>
          <w:lang w:val="es-ES_tradnl"/>
        </w:rPr>
      </w:pPr>
      <w:r w:rsidRPr="0063727B">
        <w:rPr>
          <w:lang w:val="es-ES_tradnl"/>
        </w:rPr>
        <w:t>Comisión de Resolución Alterna de Conflictos</w:t>
      </w:r>
    </w:p>
    <w:p w14:paraId="63BCD19C" w14:textId="77777777" w:rsidR="0063727B" w:rsidRPr="0063727B" w:rsidRDefault="0063727B" w:rsidP="0063727B">
      <w:pPr>
        <w:ind w:firstLine="708"/>
        <w:rPr>
          <w:lang w:val="es-ES_tradnl"/>
        </w:rPr>
      </w:pPr>
      <w:r w:rsidRPr="0063727B">
        <w:rPr>
          <w:lang w:val="es-ES_tradnl"/>
        </w:rPr>
        <w:t xml:space="preserve">Comisión de Salud Ocupacional </w:t>
      </w:r>
    </w:p>
    <w:p w14:paraId="5DC22BDB" w14:textId="77777777" w:rsidR="0063727B" w:rsidRPr="0063727B" w:rsidRDefault="0063727B" w:rsidP="0063727B">
      <w:pPr>
        <w:ind w:firstLine="708"/>
        <w:rPr>
          <w:lang w:val="es-ES_tradnl"/>
        </w:rPr>
      </w:pPr>
      <w:r w:rsidRPr="0063727B">
        <w:rPr>
          <w:lang w:val="es-ES_tradnl"/>
        </w:rPr>
        <w:t>Comisión de Transparencia Institucional</w:t>
      </w:r>
    </w:p>
    <w:p w14:paraId="7D1956C2" w14:textId="77777777" w:rsidR="0063727B" w:rsidRPr="0063727B" w:rsidRDefault="0063727B" w:rsidP="0063727B">
      <w:pPr>
        <w:ind w:firstLine="708"/>
        <w:rPr>
          <w:lang w:val="es-ES_tradnl"/>
        </w:rPr>
      </w:pPr>
      <w:r w:rsidRPr="0063727B">
        <w:rPr>
          <w:lang w:val="es-ES_tradnl"/>
        </w:rPr>
        <w:t>Comisión Institucional de Selección y Eliminación de Documentos</w:t>
      </w:r>
    </w:p>
    <w:p w14:paraId="50224763" w14:textId="77777777" w:rsidR="0063727B" w:rsidRPr="0063727B" w:rsidRDefault="0063727B" w:rsidP="0063727B">
      <w:pPr>
        <w:ind w:firstLine="708"/>
        <w:rPr>
          <w:lang w:val="es-ES_tradnl"/>
        </w:rPr>
      </w:pPr>
      <w:r w:rsidRPr="0063727B">
        <w:rPr>
          <w:lang w:val="es-ES_tradnl"/>
        </w:rPr>
        <w:t>Comisión Interinstitucional de Tránsito</w:t>
      </w:r>
    </w:p>
    <w:p w14:paraId="4E1984FE" w14:textId="77777777" w:rsidR="0063727B" w:rsidRPr="0063727B" w:rsidRDefault="0063727B" w:rsidP="0063727B">
      <w:pPr>
        <w:ind w:firstLine="708"/>
        <w:rPr>
          <w:lang w:val="es-ES_tradnl"/>
        </w:rPr>
      </w:pPr>
      <w:r w:rsidRPr="0063727B">
        <w:rPr>
          <w:lang w:val="es-ES_tradnl"/>
        </w:rPr>
        <w:t>Comisión Nacional para el Mejoramiento de la Administración de Justicia</w:t>
      </w:r>
    </w:p>
    <w:p w14:paraId="440FF0EB" w14:textId="77777777" w:rsidR="0063727B" w:rsidRPr="0063727B" w:rsidRDefault="0063727B" w:rsidP="0063727B">
      <w:pPr>
        <w:ind w:firstLine="708"/>
        <w:rPr>
          <w:lang w:val="es-ES_tradnl"/>
        </w:rPr>
      </w:pPr>
      <w:r w:rsidRPr="0063727B">
        <w:rPr>
          <w:lang w:val="es-ES_tradnl"/>
        </w:rPr>
        <w:t>Comisión Relaciones Laborales</w:t>
      </w:r>
    </w:p>
    <w:p w14:paraId="329A4FBF" w14:textId="77777777" w:rsidR="0063727B" w:rsidRPr="0063727B" w:rsidRDefault="0063727B" w:rsidP="0063727B">
      <w:pPr>
        <w:ind w:firstLine="708"/>
        <w:rPr>
          <w:lang w:val="es-ES_tradnl"/>
        </w:rPr>
      </w:pPr>
      <w:r w:rsidRPr="0063727B">
        <w:rPr>
          <w:lang w:val="es-ES_tradnl"/>
        </w:rPr>
        <w:t>Consejo de Personal</w:t>
      </w:r>
    </w:p>
    <w:p w14:paraId="64F22D33" w14:textId="77777777" w:rsidR="0063727B" w:rsidRPr="0063727B" w:rsidRDefault="0063727B" w:rsidP="0063727B">
      <w:pPr>
        <w:ind w:firstLine="708"/>
        <w:rPr>
          <w:lang w:val="es-ES_tradnl"/>
        </w:rPr>
      </w:pPr>
      <w:r w:rsidRPr="0063727B">
        <w:rPr>
          <w:lang w:val="es-ES_tradnl"/>
        </w:rPr>
        <w:t>Tribunal Inspección Judicial</w:t>
      </w:r>
    </w:p>
    <w:p w14:paraId="39BCDD10" w14:textId="77777777" w:rsidR="0063727B" w:rsidRPr="0063727B" w:rsidRDefault="0063727B" w:rsidP="0063727B">
      <w:pPr>
        <w:ind w:firstLine="708"/>
        <w:rPr>
          <w:lang w:val="es-ES_tradnl"/>
        </w:rPr>
      </w:pPr>
      <w:r w:rsidRPr="0063727B">
        <w:rPr>
          <w:lang w:val="es-ES_tradnl"/>
        </w:rPr>
        <w:t>Fiscalía General de la República</w:t>
      </w:r>
    </w:p>
    <w:p w14:paraId="1D7978FE" w14:textId="77777777" w:rsidR="0063727B" w:rsidRPr="0063727B" w:rsidRDefault="0063727B" w:rsidP="0063727B">
      <w:pPr>
        <w:ind w:firstLine="708"/>
        <w:rPr>
          <w:lang w:val="es-ES_tradnl"/>
        </w:rPr>
      </w:pPr>
      <w:r w:rsidRPr="0063727B">
        <w:rPr>
          <w:lang w:val="es-ES_tradnl"/>
        </w:rPr>
        <w:t>Defensa Pública</w:t>
      </w:r>
    </w:p>
    <w:p w14:paraId="58237B5E" w14:textId="77777777" w:rsidR="0063727B" w:rsidRPr="0063727B" w:rsidRDefault="0063727B" w:rsidP="0063727B">
      <w:pPr>
        <w:ind w:left="708"/>
        <w:rPr>
          <w:lang w:val="es-ES_tradnl"/>
        </w:rPr>
      </w:pPr>
      <w:r w:rsidRPr="0063727B">
        <w:rPr>
          <w:lang w:val="es-ES_tradnl"/>
        </w:rPr>
        <w:t>Dirección General del Organismo de Investigación Judicial</w:t>
      </w:r>
    </w:p>
    <w:p w14:paraId="6440AFD8" w14:textId="77777777" w:rsidR="0063727B" w:rsidRPr="0063727B" w:rsidRDefault="0063727B" w:rsidP="0063727B">
      <w:pPr>
        <w:ind w:firstLine="708"/>
        <w:rPr>
          <w:lang w:val="es-ES_tradnl"/>
        </w:rPr>
      </w:pPr>
      <w:r w:rsidRPr="0063727B">
        <w:rPr>
          <w:lang w:val="es-ES_tradnl"/>
        </w:rPr>
        <w:t>Escuela Judicial</w:t>
      </w:r>
    </w:p>
    <w:p w14:paraId="20A6E47C" w14:textId="77777777" w:rsidR="0063727B" w:rsidRPr="0063727B" w:rsidRDefault="0063727B" w:rsidP="0063727B">
      <w:pPr>
        <w:ind w:firstLine="708"/>
        <w:rPr>
          <w:lang w:val="es-ES_tradnl"/>
        </w:rPr>
      </w:pPr>
      <w:r w:rsidRPr="0063727B">
        <w:rPr>
          <w:lang w:val="es-ES_tradnl"/>
        </w:rPr>
        <w:t>Despacho de la Presidencia</w:t>
      </w:r>
    </w:p>
    <w:p w14:paraId="3D983BEB" w14:textId="77777777" w:rsidR="0063727B" w:rsidRPr="0063727B" w:rsidRDefault="0063727B" w:rsidP="0063727B">
      <w:pPr>
        <w:ind w:firstLine="708"/>
        <w:rPr>
          <w:lang w:val="es-ES_tradnl"/>
        </w:rPr>
      </w:pPr>
      <w:r w:rsidRPr="0063727B">
        <w:rPr>
          <w:lang w:val="es-ES_tradnl"/>
        </w:rPr>
        <w:t>Centro de Apoyo, Coordinación y Mejoramiento de la Función Jurisdiccional</w:t>
      </w:r>
    </w:p>
    <w:p w14:paraId="143F7C2B" w14:textId="77777777" w:rsidR="0063727B" w:rsidRPr="0063727B" w:rsidRDefault="0063727B" w:rsidP="0063727B">
      <w:pPr>
        <w:ind w:firstLine="708"/>
        <w:rPr>
          <w:lang w:val="es-ES_tradnl"/>
        </w:rPr>
      </w:pPr>
      <w:r w:rsidRPr="0063727B">
        <w:rPr>
          <w:lang w:val="es-ES_tradnl"/>
        </w:rPr>
        <w:t>Centro de Conciliación del Poder Judicial</w:t>
      </w:r>
    </w:p>
    <w:p w14:paraId="628B3045" w14:textId="77777777" w:rsidR="0063727B" w:rsidRPr="0063727B" w:rsidRDefault="0063727B" w:rsidP="0063727B">
      <w:pPr>
        <w:ind w:firstLine="708"/>
        <w:rPr>
          <w:lang w:val="es-ES_tradnl"/>
        </w:rPr>
      </w:pPr>
      <w:r w:rsidRPr="0063727B">
        <w:rPr>
          <w:lang w:val="es-ES_tradnl"/>
        </w:rPr>
        <w:t>Centro de Gestión de la Calidad</w:t>
      </w:r>
    </w:p>
    <w:p w14:paraId="10C7BF2E" w14:textId="77777777" w:rsidR="0063727B" w:rsidRPr="0063727B" w:rsidRDefault="0063727B" w:rsidP="0063727B">
      <w:pPr>
        <w:ind w:firstLine="708"/>
        <w:rPr>
          <w:lang w:val="es-ES_tradnl"/>
        </w:rPr>
      </w:pPr>
      <w:r w:rsidRPr="0063727B">
        <w:rPr>
          <w:lang w:val="es-ES_tradnl"/>
        </w:rPr>
        <w:t>Centro Electrónico de Información Jurisprudencial</w:t>
      </w:r>
    </w:p>
    <w:p w14:paraId="59FE01B4" w14:textId="77777777" w:rsidR="0063727B" w:rsidRPr="0063727B" w:rsidRDefault="0063727B" w:rsidP="0063727B">
      <w:pPr>
        <w:ind w:firstLine="708"/>
        <w:rPr>
          <w:lang w:val="es-ES_tradnl"/>
        </w:rPr>
      </w:pPr>
      <w:r w:rsidRPr="0063727B">
        <w:rPr>
          <w:lang w:val="es-ES_tradnl"/>
        </w:rPr>
        <w:t>Centro Infantil del Poder Judicial</w:t>
      </w:r>
    </w:p>
    <w:p w14:paraId="009446DD" w14:textId="77777777" w:rsidR="0063727B" w:rsidRPr="0063727B" w:rsidRDefault="0063727B" w:rsidP="0063727B">
      <w:pPr>
        <w:ind w:firstLine="708"/>
        <w:rPr>
          <w:lang w:val="es-ES_tradnl"/>
        </w:rPr>
      </w:pPr>
      <w:r w:rsidRPr="0063727B">
        <w:rPr>
          <w:lang w:val="es-ES_tradnl"/>
        </w:rPr>
        <w:t>Centro Judicial de Intervención de las Comunicaciones</w:t>
      </w:r>
    </w:p>
    <w:p w14:paraId="536F320C" w14:textId="77777777" w:rsidR="0063727B" w:rsidRPr="0063727B" w:rsidRDefault="0063727B" w:rsidP="0063727B">
      <w:pPr>
        <w:ind w:firstLine="708"/>
        <w:rPr>
          <w:lang w:val="es-ES_tradnl"/>
        </w:rPr>
      </w:pPr>
      <w:r w:rsidRPr="0063727B">
        <w:rPr>
          <w:lang w:val="es-ES_tradnl"/>
        </w:rPr>
        <w:t xml:space="preserve">Consejo de Administración de Cartago </w:t>
      </w:r>
    </w:p>
    <w:p w14:paraId="6BDFE52D" w14:textId="77777777" w:rsidR="0063727B" w:rsidRPr="0063727B" w:rsidRDefault="0063727B" w:rsidP="0063727B">
      <w:pPr>
        <w:ind w:firstLine="708"/>
        <w:rPr>
          <w:lang w:val="es-ES_tradnl"/>
        </w:rPr>
      </w:pPr>
      <w:r w:rsidRPr="0063727B">
        <w:rPr>
          <w:lang w:val="es-ES_tradnl"/>
        </w:rPr>
        <w:t>Consejo de Administración de Golfito</w:t>
      </w:r>
    </w:p>
    <w:p w14:paraId="0767ED75" w14:textId="77777777" w:rsidR="0063727B" w:rsidRPr="0063727B" w:rsidRDefault="0063727B" w:rsidP="0063727B">
      <w:pPr>
        <w:ind w:firstLine="708"/>
        <w:rPr>
          <w:lang w:val="es-ES_tradnl"/>
        </w:rPr>
      </w:pPr>
      <w:r w:rsidRPr="0063727B">
        <w:rPr>
          <w:lang w:val="es-ES_tradnl"/>
        </w:rPr>
        <w:t>Consejo de Administración de Grecia</w:t>
      </w:r>
    </w:p>
    <w:p w14:paraId="390D4997" w14:textId="77777777" w:rsidR="0063727B" w:rsidRPr="0063727B" w:rsidRDefault="0063727B" w:rsidP="0063727B">
      <w:pPr>
        <w:ind w:firstLine="708"/>
        <w:rPr>
          <w:lang w:val="es-ES_tradnl"/>
        </w:rPr>
      </w:pPr>
      <w:r w:rsidRPr="0063727B">
        <w:rPr>
          <w:lang w:val="es-ES_tradnl"/>
        </w:rPr>
        <w:t xml:space="preserve">Consejo de Administración de Heredia </w:t>
      </w:r>
    </w:p>
    <w:p w14:paraId="4DCD0683" w14:textId="77777777" w:rsidR="0063727B" w:rsidRPr="0063727B" w:rsidRDefault="0063727B" w:rsidP="0063727B">
      <w:pPr>
        <w:ind w:firstLine="708"/>
        <w:rPr>
          <w:lang w:val="es-ES_tradnl"/>
        </w:rPr>
      </w:pPr>
      <w:r w:rsidRPr="0063727B">
        <w:rPr>
          <w:lang w:val="es-ES_tradnl"/>
        </w:rPr>
        <w:t>Consejo de Administración de Osa</w:t>
      </w:r>
    </w:p>
    <w:p w14:paraId="4D7FB591" w14:textId="77777777" w:rsidR="0063727B" w:rsidRPr="0063727B" w:rsidRDefault="0063727B" w:rsidP="0063727B">
      <w:pPr>
        <w:ind w:firstLine="708"/>
        <w:rPr>
          <w:lang w:val="es-ES_tradnl"/>
        </w:rPr>
      </w:pPr>
      <w:r w:rsidRPr="0063727B">
        <w:rPr>
          <w:lang w:val="es-ES_tradnl"/>
        </w:rPr>
        <w:t>Consejo de Administración de Puntarenas</w:t>
      </w:r>
    </w:p>
    <w:p w14:paraId="37655DAF" w14:textId="77777777" w:rsidR="0063727B" w:rsidRPr="0063727B" w:rsidRDefault="0063727B" w:rsidP="0063727B">
      <w:pPr>
        <w:ind w:firstLine="708"/>
        <w:rPr>
          <w:lang w:val="es-ES_tradnl"/>
        </w:rPr>
      </w:pPr>
      <w:r w:rsidRPr="0063727B">
        <w:rPr>
          <w:lang w:val="es-ES_tradnl"/>
        </w:rPr>
        <w:t>Consejo de Administración de Quepos</w:t>
      </w:r>
    </w:p>
    <w:p w14:paraId="46C7CC87" w14:textId="77777777" w:rsidR="0063727B" w:rsidRPr="0063727B" w:rsidRDefault="0063727B" w:rsidP="0063727B">
      <w:pPr>
        <w:ind w:firstLine="708"/>
        <w:rPr>
          <w:lang w:val="es-ES_tradnl"/>
        </w:rPr>
      </w:pPr>
      <w:r w:rsidRPr="0063727B">
        <w:rPr>
          <w:lang w:val="es-ES_tradnl"/>
        </w:rPr>
        <w:t xml:space="preserve">Consejo de Administración de Santa Cruz </w:t>
      </w:r>
    </w:p>
    <w:p w14:paraId="79FE3B98" w14:textId="77777777" w:rsidR="0063727B" w:rsidRPr="0063727B" w:rsidRDefault="0063727B" w:rsidP="0063727B">
      <w:pPr>
        <w:ind w:firstLine="708"/>
        <w:rPr>
          <w:lang w:val="es-ES_tradnl"/>
        </w:rPr>
      </w:pPr>
      <w:r w:rsidRPr="0063727B">
        <w:rPr>
          <w:lang w:val="es-ES_tradnl"/>
        </w:rPr>
        <w:t>Consejo de Administración de Sarapiquí</w:t>
      </w:r>
    </w:p>
    <w:p w14:paraId="29412D48" w14:textId="77777777" w:rsidR="0063727B" w:rsidRPr="0063727B" w:rsidRDefault="0063727B" w:rsidP="0063727B">
      <w:pPr>
        <w:ind w:firstLine="708"/>
        <w:rPr>
          <w:lang w:val="es-ES_tradnl"/>
        </w:rPr>
      </w:pPr>
      <w:r w:rsidRPr="0063727B">
        <w:rPr>
          <w:lang w:val="es-ES_tradnl"/>
        </w:rPr>
        <w:t xml:space="preserve">Consejo de Administración de Turrialba </w:t>
      </w:r>
    </w:p>
    <w:p w14:paraId="4472EEC2" w14:textId="77777777" w:rsidR="0063727B" w:rsidRPr="0063727B" w:rsidRDefault="0063727B" w:rsidP="0063727B">
      <w:pPr>
        <w:ind w:firstLine="708"/>
        <w:rPr>
          <w:lang w:val="es-ES_tradnl"/>
        </w:rPr>
      </w:pPr>
      <w:r w:rsidRPr="0063727B">
        <w:rPr>
          <w:lang w:val="es-ES_tradnl"/>
        </w:rPr>
        <w:t xml:space="preserve">Consejo de Administración del Primer Circuito Judicial de Alajuela </w:t>
      </w:r>
    </w:p>
    <w:p w14:paraId="083E6CE2" w14:textId="77777777" w:rsidR="0063727B" w:rsidRPr="0063727B" w:rsidRDefault="0063727B" w:rsidP="0063727B">
      <w:pPr>
        <w:ind w:firstLine="708"/>
        <w:rPr>
          <w:lang w:val="es-ES_tradnl"/>
        </w:rPr>
      </w:pPr>
      <w:r w:rsidRPr="0063727B">
        <w:rPr>
          <w:lang w:val="es-ES_tradnl"/>
        </w:rPr>
        <w:t xml:space="preserve">Consejo de Administración del Primer Circuito Judicial de Guanacaste </w:t>
      </w:r>
    </w:p>
    <w:p w14:paraId="5DE3DCDC" w14:textId="77777777" w:rsidR="0063727B" w:rsidRPr="0063727B" w:rsidRDefault="0063727B" w:rsidP="0063727B">
      <w:pPr>
        <w:ind w:firstLine="708"/>
        <w:rPr>
          <w:lang w:val="es-ES_tradnl"/>
        </w:rPr>
      </w:pPr>
      <w:r w:rsidRPr="0063727B">
        <w:rPr>
          <w:lang w:val="es-ES_tradnl"/>
        </w:rPr>
        <w:t>Consejo de Administración del Primer Circuito Judicial de la Zona Sur</w:t>
      </w:r>
    </w:p>
    <w:p w14:paraId="099CDE0F" w14:textId="77777777" w:rsidR="0063727B" w:rsidRPr="0063727B" w:rsidRDefault="0063727B" w:rsidP="0063727B">
      <w:pPr>
        <w:ind w:firstLine="708"/>
        <w:rPr>
          <w:lang w:val="es-ES_tradnl"/>
        </w:rPr>
      </w:pPr>
      <w:r w:rsidRPr="0063727B">
        <w:rPr>
          <w:lang w:val="es-ES_tradnl"/>
        </w:rPr>
        <w:t>Consejo de Administración del Primer Circuito Judicial de la Zona Atlántica</w:t>
      </w:r>
    </w:p>
    <w:p w14:paraId="61FF9BC5" w14:textId="77777777" w:rsidR="0063727B" w:rsidRPr="0063727B" w:rsidRDefault="0063727B" w:rsidP="0063727B">
      <w:pPr>
        <w:ind w:firstLine="708"/>
        <w:rPr>
          <w:lang w:val="es-ES_tradnl"/>
        </w:rPr>
      </w:pPr>
      <w:r w:rsidRPr="0063727B">
        <w:rPr>
          <w:lang w:val="es-ES_tradnl"/>
        </w:rPr>
        <w:lastRenderedPageBreak/>
        <w:t xml:space="preserve">Consejo de Administración del Primer Circuito Judicial de San José </w:t>
      </w:r>
    </w:p>
    <w:p w14:paraId="2607C8DB" w14:textId="77777777" w:rsidR="0063727B" w:rsidRPr="0063727B" w:rsidRDefault="0063727B" w:rsidP="0063727B">
      <w:pPr>
        <w:ind w:firstLine="708"/>
        <w:rPr>
          <w:lang w:val="es-ES_tradnl"/>
        </w:rPr>
      </w:pPr>
      <w:r w:rsidRPr="0063727B">
        <w:rPr>
          <w:lang w:val="es-ES_tradnl"/>
        </w:rPr>
        <w:t>Consejo de Administración del Segundo Circuito Judicial de Alajuela</w:t>
      </w:r>
    </w:p>
    <w:p w14:paraId="13B14FCE" w14:textId="77777777" w:rsidR="0063727B" w:rsidRPr="0063727B" w:rsidRDefault="0063727B" w:rsidP="0063727B">
      <w:pPr>
        <w:ind w:firstLine="708"/>
        <w:rPr>
          <w:lang w:val="es-ES_tradnl"/>
        </w:rPr>
      </w:pPr>
      <w:r w:rsidRPr="0063727B">
        <w:rPr>
          <w:lang w:val="es-ES_tradnl"/>
        </w:rPr>
        <w:t xml:space="preserve">Consejo de Administración del Segundo Circuito Judicial de Guanacaste </w:t>
      </w:r>
    </w:p>
    <w:p w14:paraId="144F47F0" w14:textId="77777777" w:rsidR="0063727B" w:rsidRPr="0063727B" w:rsidRDefault="0063727B" w:rsidP="0063727B">
      <w:pPr>
        <w:ind w:firstLine="708"/>
        <w:rPr>
          <w:lang w:val="es-ES_tradnl"/>
        </w:rPr>
      </w:pPr>
      <w:r w:rsidRPr="0063727B">
        <w:rPr>
          <w:lang w:val="es-ES_tradnl"/>
        </w:rPr>
        <w:t>Consejo de Administración del Segundo Circuito Judicial de la Zona Sur</w:t>
      </w:r>
    </w:p>
    <w:p w14:paraId="40877B35" w14:textId="77777777" w:rsidR="0063727B" w:rsidRPr="0063727B" w:rsidRDefault="0063727B" w:rsidP="0063727B">
      <w:pPr>
        <w:ind w:firstLine="708"/>
        <w:rPr>
          <w:lang w:val="es-ES_tradnl"/>
        </w:rPr>
      </w:pPr>
      <w:r w:rsidRPr="0063727B">
        <w:rPr>
          <w:lang w:val="es-ES_tradnl"/>
        </w:rPr>
        <w:t>Consejo de Administración del Segundo Circuito Judicial de la Zona Atlántica</w:t>
      </w:r>
    </w:p>
    <w:p w14:paraId="288E82DC" w14:textId="77777777" w:rsidR="0063727B" w:rsidRPr="0063727B" w:rsidRDefault="0063727B" w:rsidP="0063727B">
      <w:pPr>
        <w:ind w:firstLine="708"/>
        <w:rPr>
          <w:lang w:val="es-ES_tradnl"/>
        </w:rPr>
      </w:pPr>
      <w:r w:rsidRPr="0063727B">
        <w:rPr>
          <w:lang w:val="es-ES_tradnl"/>
        </w:rPr>
        <w:t>Consejo de Administración del Segundo Circuito Judicial de San José</w:t>
      </w:r>
    </w:p>
    <w:p w14:paraId="7E3F0D42" w14:textId="77777777" w:rsidR="0063727B" w:rsidRPr="0063727B" w:rsidRDefault="0063727B" w:rsidP="0063727B">
      <w:pPr>
        <w:ind w:firstLine="708"/>
        <w:rPr>
          <w:lang w:val="es-ES_tradnl"/>
        </w:rPr>
      </w:pPr>
      <w:r w:rsidRPr="0063727B">
        <w:rPr>
          <w:lang w:val="es-ES_tradnl"/>
        </w:rPr>
        <w:t xml:space="preserve">Consejo de Administración del Tercer Circuito Judicial de Alajuela (San Ramón) </w:t>
      </w:r>
    </w:p>
    <w:p w14:paraId="53EC86ED" w14:textId="77777777" w:rsidR="0063727B" w:rsidRPr="0063727B" w:rsidRDefault="0063727B" w:rsidP="0063727B">
      <w:pPr>
        <w:ind w:firstLine="708"/>
        <w:rPr>
          <w:lang w:val="es-ES_tradnl"/>
        </w:rPr>
      </w:pPr>
      <w:r w:rsidRPr="0063727B">
        <w:rPr>
          <w:lang w:val="es-ES_tradnl"/>
        </w:rPr>
        <w:t>Consejo de Administración del Tercer Circuito Judicial de San José</w:t>
      </w:r>
    </w:p>
    <w:p w14:paraId="340105F2" w14:textId="77777777" w:rsidR="0063727B" w:rsidRPr="0063727B" w:rsidRDefault="0063727B" w:rsidP="0063727B">
      <w:pPr>
        <w:ind w:firstLine="708"/>
        <w:rPr>
          <w:lang w:val="es-ES_tradnl"/>
        </w:rPr>
      </w:pPr>
      <w:r w:rsidRPr="0063727B">
        <w:rPr>
          <w:lang w:val="es-ES_tradnl"/>
        </w:rPr>
        <w:t>Auditoría Judicial</w:t>
      </w:r>
    </w:p>
    <w:p w14:paraId="264DD235" w14:textId="77777777" w:rsidR="0063727B" w:rsidRPr="0063727B" w:rsidRDefault="0063727B" w:rsidP="0063727B">
      <w:pPr>
        <w:ind w:firstLine="708"/>
        <w:rPr>
          <w:lang w:val="es-ES_tradnl"/>
        </w:rPr>
      </w:pPr>
      <w:r w:rsidRPr="0063727B">
        <w:rPr>
          <w:lang w:val="es-ES_tradnl"/>
        </w:rPr>
        <w:t>Dirección de Gestión Humana</w:t>
      </w:r>
    </w:p>
    <w:p w14:paraId="12860510" w14:textId="77777777" w:rsidR="0063727B" w:rsidRPr="0063727B" w:rsidRDefault="0063727B" w:rsidP="0063727B">
      <w:pPr>
        <w:ind w:firstLine="708"/>
        <w:rPr>
          <w:lang w:val="es-ES_tradnl"/>
        </w:rPr>
      </w:pPr>
      <w:r w:rsidRPr="0063727B">
        <w:rPr>
          <w:lang w:val="es-ES_tradnl"/>
        </w:rPr>
        <w:t>Dirección de Planificación</w:t>
      </w:r>
    </w:p>
    <w:p w14:paraId="3A7CE711" w14:textId="77777777" w:rsidR="0063727B" w:rsidRPr="0063727B" w:rsidRDefault="0063727B" w:rsidP="0063727B">
      <w:pPr>
        <w:ind w:firstLine="708"/>
        <w:rPr>
          <w:lang w:val="es-ES_tradnl"/>
        </w:rPr>
      </w:pPr>
      <w:r w:rsidRPr="0063727B">
        <w:rPr>
          <w:lang w:val="es-ES_tradnl"/>
        </w:rPr>
        <w:t>Dirección de Tecnología de Información</w:t>
      </w:r>
    </w:p>
    <w:p w14:paraId="64B9501D" w14:textId="77777777" w:rsidR="0063727B" w:rsidRPr="0063727B" w:rsidRDefault="0063727B" w:rsidP="0063727B">
      <w:pPr>
        <w:ind w:firstLine="708"/>
        <w:rPr>
          <w:lang w:val="es-ES_tradnl"/>
        </w:rPr>
      </w:pPr>
      <w:r w:rsidRPr="0063727B">
        <w:rPr>
          <w:lang w:val="es-ES_tradnl"/>
        </w:rPr>
        <w:t>Dirección Ejecutiva</w:t>
      </w:r>
    </w:p>
    <w:p w14:paraId="344359AE" w14:textId="77777777" w:rsidR="0063727B" w:rsidRPr="0063727B" w:rsidRDefault="0063727B" w:rsidP="0063727B">
      <w:pPr>
        <w:ind w:firstLine="708"/>
        <w:rPr>
          <w:lang w:val="es-ES_tradnl"/>
        </w:rPr>
      </w:pPr>
      <w:r w:rsidRPr="0063727B">
        <w:rPr>
          <w:lang w:val="es-ES_tradnl"/>
        </w:rPr>
        <w:t>Dirección Jurídica</w:t>
      </w:r>
    </w:p>
    <w:p w14:paraId="16D42654" w14:textId="77777777" w:rsidR="0063727B" w:rsidRPr="0063727B" w:rsidRDefault="0063727B" w:rsidP="0063727B">
      <w:pPr>
        <w:ind w:firstLine="708"/>
        <w:rPr>
          <w:lang w:val="es-ES_tradnl"/>
        </w:rPr>
      </w:pPr>
      <w:r w:rsidRPr="0063727B">
        <w:rPr>
          <w:lang w:val="es-ES_tradnl"/>
        </w:rPr>
        <w:t>Contraloría de Servicios</w:t>
      </w:r>
    </w:p>
    <w:p w14:paraId="63CF2E3E" w14:textId="77777777" w:rsidR="0063727B" w:rsidRPr="0063727B" w:rsidRDefault="0063727B" w:rsidP="0063727B">
      <w:pPr>
        <w:ind w:firstLine="708"/>
        <w:rPr>
          <w:lang w:val="es-ES_tradnl"/>
        </w:rPr>
      </w:pPr>
      <w:r w:rsidRPr="0063727B">
        <w:rPr>
          <w:lang w:val="es-ES_tradnl"/>
        </w:rPr>
        <w:t xml:space="preserve">Administración de la </w:t>
      </w:r>
      <w:proofErr w:type="gramStart"/>
      <w:r w:rsidRPr="0063727B">
        <w:rPr>
          <w:lang w:val="es-ES_tradnl"/>
        </w:rPr>
        <w:t>Fiscalía General</w:t>
      </w:r>
      <w:proofErr w:type="gramEnd"/>
      <w:r w:rsidRPr="0063727B">
        <w:rPr>
          <w:lang w:val="es-ES_tradnl"/>
        </w:rPr>
        <w:t xml:space="preserve"> de la República</w:t>
      </w:r>
    </w:p>
    <w:p w14:paraId="1E2DF68A" w14:textId="77777777" w:rsidR="0063727B" w:rsidRPr="0063727B" w:rsidRDefault="0063727B" w:rsidP="0063727B">
      <w:pPr>
        <w:ind w:firstLine="708"/>
        <w:rPr>
          <w:lang w:val="es-ES_tradnl"/>
        </w:rPr>
      </w:pPr>
      <w:r w:rsidRPr="0063727B">
        <w:rPr>
          <w:lang w:val="es-ES_tradnl"/>
        </w:rPr>
        <w:t>Administración de la Defensa Pública</w:t>
      </w:r>
    </w:p>
    <w:p w14:paraId="6457C2D4" w14:textId="77777777" w:rsidR="0063727B" w:rsidRPr="0063727B" w:rsidRDefault="0063727B" w:rsidP="0063727B">
      <w:pPr>
        <w:ind w:firstLine="708"/>
        <w:rPr>
          <w:lang w:val="es-ES_tradnl"/>
        </w:rPr>
      </w:pPr>
      <w:r w:rsidRPr="0063727B">
        <w:rPr>
          <w:lang w:val="es-ES_tradnl"/>
        </w:rPr>
        <w:t>Administración del Organismo de Investigación Judicial</w:t>
      </w:r>
    </w:p>
    <w:p w14:paraId="15DA2FC9" w14:textId="77777777" w:rsidR="0063727B" w:rsidRPr="0063727B" w:rsidRDefault="0063727B" w:rsidP="0063727B">
      <w:pPr>
        <w:ind w:firstLine="708"/>
        <w:rPr>
          <w:lang w:val="es-ES_tradnl"/>
        </w:rPr>
      </w:pPr>
      <w:r w:rsidRPr="0063727B">
        <w:rPr>
          <w:lang w:val="es-ES_tradnl"/>
        </w:rPr>
        <w:t xml:space="preserve">Administración Judicial de la Ciudad Judicial de San Joaquín de Flores   </w:t>
      </w:r>
    </w:p>
    <w:p w14:paraId="6E67F3A7" w14:textId="77777777" w:rsidR="0063727B" w:rsidRPr="0063727B" w:rsidRDefault="0063727B" w:rsidP="0063727B">
      <w:pPr>
        <w:ind w:firstLine="708"/>
        <w:rPr>
          <w:lang w:val="es-ES_tradnl"/>
        </w:rPr>
      </w:pPr>
      <w:r w:rsidRPr="0063727B">
        <w:rPr>
          <w:lang w:val="es-ES_tradnl"/>
        </w:rPr>
        <w:t>Departamento de Prensa y Comunicación Organizacional</w:t>
      </w:r>
    </w:p>
    <w:p w14:paraId="24FB525E" w14:textId="77777777" w:rsidR="0063727B" w:rsidRPr="0063727B" w:rsidRDefault="0063727B" w:rsidP="0063727B">
      <w:pPr>
        <w:ind w:firstLine="708"/>
        <w:rPr>
          <w:lang w:val="es-ES_tradnl"/>
        </w:rPr>
      </w:pPr>
      <w:r w:rsidRPr="0063727B">
        <w:rPr>
          <w:lang w:val="es-ES_tradnl"/>
        </w:rPr>
        <w:t>Departamento de Seguridad</w:t>
      </w:r>
    </w:p>
    <w:p w14:paraId="5893ADFF" w14:textId="77777777" w:rsidR="0063727B" w:rsidRPr="0063727B" w:rsidRDefault="0063727B" w:rsidP="0063727B">
      <w:pPr>
        <w:ind w:firstLine="708"/>
        <w:rPr>
          <w:lang w:val="es-ES_tradnl"/>
        </w:rPr>
      </w:pPr>
      <w:r w:rsidRPr="0063727B">
        <w:rPr>
          <w:lang w:val="es-ES_tradnl"/>
        </w:rPr>
        <w:t>Departamento de Trabajo Social y Psicología</w:t>
      </w:r>
    </w:p>
    <w:p w14:paraId="34870546" w14:textId="77777777" w:rsidR="0063727B" w:rsidRPr="0063727B" w:rsidRDefault="0063727B" w:rsidP="0063727B">
      <w:pPr>
        <w:ind w:firstLine="708"/>
        <w:rPr>
          <w:lang w:val="es-ES_tradnl"/>
        </w:rPr>
      </w:pPr>
      <w:r w:rsidRPr="0063727B">
        <w:rPr>
          <w:lang w:val="es-ES_tradnl"/>
        </w:rPr>
        <w:t>Departamento Financiero Contable</w:t>
      </w:r>
    </w:p>
    <w:p w14:paraId="3AE22F03" w14:textId="77777777" w:rsidR="0063727B" w:rsidRPr="0063727B" w:rsidRDefault="0063727B" w:rsidP="0063727B">
      <w:pPr>
        <w:ind w:firstLine="708"/>
        <w:rPr>
          <w:lang w:val="es-ES_tradnl"/>
        </w:rPr>
      </w:pPr>
      <w:r w:rsidRPr="0063727B">
        <w:rPr>
          <w:lang w:val="es-ES_tradnl"/>
        </w:rPr>
        <w:t>Sección de Vehículos Administrativos</w:t>
      </w:r>
    </w:p>
    <w:p w14:paraId="1232651A" w14:textId="77777777" w:rsidR="0063727B" w:rsidRPr="0063727B" w:rsidRDefault="0063727B" w:rsidP="0063727B">
      <w:pPr>
        <w:ind w:firstLine="708"/>
        <w:rPr>
          <w:lang w:val="es-ES_tradnl"/>
        </w:rPr>
      </w:pPr>
      <w:r w:rsidRPr="0063727B">
        <w:rPr>
          <w:lang w:val="es-ES_tradnl"/>
        </w:rPr>
        <w:t>Sección de Vehiculos del Organismo de Investigación Judicial</w:t>
      </w:r>
    </w:p>
    <w:p w14:paraId="325D5636" w14:textId="77777777" w:rsidR="0063727B" w:rsidRPr="0063727B" w:rsidRDefault="0063727B" w:rsidP="0063727B">
      <w:pPr>
        <w:ind w:firstLine="708"/>
        <w:rPr>
          <w:lang w:val="es-ES_tradnl"/>
        </w:rPr>
      </w:pPr>
      <w:r w:rsidRPr="0063727B">
        <w:rPr>
          <w:lang w:val="es-ES_tradnl"/>
        </w:rPr>
        <w:t>Oficina de Atención y Protección de Víctimas y Testigos</w:t>
      </w:r>
    </w:p>
    <w:p w14:paraId="41C11F32" w14:textId="77777777" w:rsidR="0063727B" w:rsidRPr="0063727B" w:rsidRDefault="0063727B" w:rsidP="0063727B">
      <w:pPr>
        <w:ind w:firstLine="708"/>
        <w:rPr>
          <w:lang w:val="es-ES_tradnl"/>
        </w:rPr>
      </w:pPr>
      <w:r w:rsidRPr="0063727B">
        <w:rPr>
          <w:lang w:val="es-ES_tradnl"/>
        </w:rPr>
        <w:t>Oficina de Control Interno</w:t>
      </w:r>
    </w:p>
    <w:p w14:paraId="28D6A93E" w14:textId="77777777" w:rsidR="0063727B" w:rsidRPr="0063727B" w:rsidRDefault="0063727B" w:rsidP="0063727B">
      <w:pPr>
        <w:ind w:firstLine="708"/>
        <w:rPr>
          <w:lang w:val="es-ES_tradnl"/>
        </w:rPr>
      </w:pPr>
      <w:r w:rsidRPr="0063727B">
        <w:rPr>
          <w:lang w:val="es-ES_tradnl"/>
        </w:rPr>
        <w:t>Oficina de Cooperación y Relaciones Internacionales</w:t>
      </w:r>
    </w:p>
    <w:p w14:paraId="4E276E76" w14:textId="77777777" w:rsidR="0063727B" w:rsidRPr="0063727B" w:rsidRDefault="0063727B" w:rsidP="0063727B">
      <w:pPr>
        <w:ind w:firstLine="708"/>
        <w:rPr>
          <w:lang w:val="es-ES_tradnl"/>
        </w:rPr>
      </w:pPr>
      <w:r w:rsidRPr="0063727B">
        <w:rPr>
          <w:lang w:val="es-ES_tradnl"/>
        </w:rPr>
        <w:t>Oficina de Cumplimiento</w:t>
      </w:r>
    </w:p>
    <w:p w14:paraId="59C594E2" w14:textId="77777777" w:rsidR="0063727B" w:rsidRPr="0063727B" w:rsidRDefault="0063727B" w:rsidP="0063727B">
      <w:pPr>
        <w:ind w:firstLine="708"/>
        <w:rPr>
          <w:lang w:val="es-ES_tradnl"/>
        </w:rPr>
      </w:pPr>
      <w:r w:rsidRPr="0063727B">
        <w:rPr>
          <w:lang w:val="es-ES_tradnl"/>
        </w:rPr>
        <w:t>Informática Institucional y del Organismo de Investigación Judicial</w:t>
      </w:r>
    </w:p>
    <w:p w14:paraId="0BED9126" w14:textId="77777777" w:rsidR="0063727B" w:rsidRPr="0063727B" w:rsidRDefault="0063727B" w:rsidP="0063727B">
      <w:pPr>
        <w:ind w:firstLine="708"/>
        <w:rPr>
          <w:lang w:val="es-ES_tradnl"/>
        </w:rPr>
      </w:pPr>
      <w:r w:rsidRPr="0063727B">
        <w:rPr>
          <w:lang w:val="es-ES_tradnl"/>
        </w:rPr>
        <w:t xml:space="preserve">Programa de Justicia Restaurativa </w:t>
      </w:r>
    </w:p>
    <w:p w14:paraId="33E619A0" w14:textId="77777777" w:rsidR="0063727B" w:rsidRPr="0063727B" w:rsidRDefault="0063727B" w:rsidP="0063727B">
      <w:pPr>
        <w:ind w:firstLine="708"/>
        <w:rPr>
          <w:lang w:val="es-ES_tradnl"/>
        </w:rPr>
      </w:pPr>
      <w:r w:rsidRPr="0063727B">
        <w:rPr>
          <w:lang w:val="es-ES_tradnl"/>
        </w:rPr>
        <w:t xml:space="preserve">Programa Hacia Cero Papel </w:t>
      </w:r>
    </w:p>
    <w:p w14:paraId="1D71D928" w14:textId="77777777" w:rsidR="0063727B" w:rsidRPr="0063727B" w:rsidRDefault="0063727B" w:rsidP="0063727B">
      <w:pPr>
        <w:ind w:firstLine="708"/>
        <w:rPr>
          <w:lang w:val="es-ES_tradnl"/>
        </w:rPr>
      </w:pPr>
      <w:r w:rsidRPr="0063727B">
        <w:rPr>
          <w:lang w:val="es-ES_tradnl"/>
        </w:rPr>
        <w:t>Secretaría General de la Corte</w:t>
      </w:r>
    </w:p>
    <w:p w14:paraId="33A498B1" w14:textId="77777777" w:rsidR="0063727B" w:rsidRPr="0063727B" w:rsidRDefault="0063727B" w:rsidP="0063727B">
      <w:pPr>
        <w:ind w:firstLine="708"/>
        <w:rPr>
          <w:lang w:val="es-ES_tradnl"/>
        </w:rPr>
      </w:pPr>
      <w:r w:rsidRPr="0063727B">
        <w:rPr>
          <w:lang w:val="es-ES_tradnl"/>
        </w:rPr>
        <w:t>Secretaría Técnica de Ética y Valores</w:t>
      </w:r>
    </w:p>
    <w:p w14:paraId="4C828AE1" w14:textId="77777777" w:rsidR="0063727B" w:rsidRPr="0063727B" w:rsidRDefault="0063727B" w:rsidP="0063727B">
      <w:pPr>
        <w:ind w:firstLine="708"/>
        <w:rPr>
          <w:lang w:val="es-ES_tradnl"/>
        </w:rPr>
      </w:pPr>
      <w:r w:rsidRPr="0063727B">
        <w:rPr>
          <w:lang w:val="es-ES_tradnl"/>
        </w:rPr>
        <w:t>Secretaría Técnica de Género y Acceso a la Justicia</w:t>
      </w:r>
    </w:p>
    <w:p w14:paraId="4716A5A4" w14:textId="77777777" w:rsidR="0063727B" w:rsidRPr="0063727B" w:rsidRDefault="0063727B" w:rsidP="0063727B">
      <w:pPr>
        <w:ind w:firstLine="708"/>
        <w:rPr>
          <w:lang w:val="es-ES_tradnl"/>
        </w:rPr>
      </w:pPr>
      <w:r w:rsidRPr="0063727B">
        <w:rPr>
          <w:lang w:val="es-ES_tradnl"/>
        </w:rPr>
        <w:t xml:space="preserve">Unidad de Adiestramiento </w:t>
      </w:r>
    </w:p>
    <w:p w14:paraId="001A19E5" w14:textId="1563197C" w:rsidR="0087011D" w:rsidRPr="00D106C9" w:rsidRDefault="0063727B" w:rsidP="00D106C9">
      <w:pPr>
        <w:ind w:firstLine="708"/>
        <w:rPr>
          <w:lang w:val="es-ES_tradnl"/>
        </w:rPr>
      </w:pPr>
      <w:r>
        <w:rPr>
          <w:lang w:val="es-ES_tradnl"/>
        </w:rPr>
        <w:t xml:space="preserve">Encargada de Circulares de la </w:t>
      </w:r>
      <w:r w:rsidR="00D106C9" w:rsidRPr="00D106C9">
        <w:rPr>
          <w:lang w:val="es-ES_tradnl"/>
        </w:rPr>
        <w:t>Secretaría General de la Corte.</w:t>
      </w:r>
    </w:p>
    <w:p w14:paraId="4DF92293" w14:textId="38A91003" w:rsidR="00CF54D4" w:rsidRPr="00D106C9" w:rsidRDefault="00BE17FA" w:rsidP="00D106C9">
      <w:pPr>
        <w:ind w:firstLine="708"/>
      </w:pPr>
      <w:r w:rsidRPr="00D106C9">
        <w:t>D</w:t>
      </w:r>
      <w:r w:rsidR="0029216A" w:rsidRPr="00D106C9">
        <w:t xml:space="preserve">iligencias / </w:t>
      </w:r>
      <w:proofErr w:type="spellStart"/>
      <w:r w:rsidR="0029216A" w:rsidRPr="00D106C9">
        <w:t>Refs</w:t>
      </w:r>
      <w:proofErr w:type="spellEnd"/>
      <w:r w:rsidR="0029216A" w:rsidRPr="00D106C9">
        <w:t xml:space="preserve">: </w:t>
      </w:r>
      <w:r w:rsidR="00DF60A2" w:rsidRPr="00D106C9">
        <w:t>(</w:t>
      </w:r>
      <w:r w:rsidR="00D106C9" w:rsidRPr="00D106C9">
        <w:rPr>
          <w:b/>
          <w:bCs/>
          <w:lang w:val="es-CR"/>
        </w:rPr>
        <w:t>5211-2022, 5386-2022</w:t>
      </w:r>
      <w:r w:rsidR="00212DBF" w:rsidRPr="00D106C9">
        <w:t>)</w:t>
      </w:r>
    </w:p>
    <w:p w14:paraId="27BC1C20" w14:textId="6AB56DD5" w:rsidR="00B521BC" w:rsidRDefault="000F034F" w:rsidP="00D106C9">
      <w:proofErr w:type="spellStart"/>
      <w:r w:rsidRPr="00D106C9">
        <w:t>lbm</w:t>
      </w:r>
      <w:proofErr w:type="spellEnd"/>
      <w:r w:rsidR="005F03F1" w:rsidRPr="00D106C9">
        <w:t xml:space="preserve">  </w:t>
      </w:r>
    </w:p>
    <w:p w14:paraId="4D437512" w14:textId="2FEF1493" w:rsidR="00D106C9" w:rsidRDefault="00D106C9" w:rsidP="00D106C9"/>
    <w:p w14:paraId="01F50780" w14:textId="302D608A" w:rsidR="00D106C9" w:rsidRDefault="00D106C9" w:rsidP="00D106C9"/>
    <w:sectPr w:rsidR="00D106C9" w:rsidSect="00186ADE">
      <w:headerReference w:type="even" r:id="rId119"/>
      <w:headerReference w:type="default" r:id="rId120"/>
      <w:footerReference w:type="even" r:id="rId121"/>
      <w:footerReference w:type="default" r:id="rId122"/>
      <w:headerReference w:type="first" r:id="rId123"/>
      <w:footerReference w:type="first" r:id="rId124"/>
      <w:footnotePr>
        <w:pos w:val="beneathText"/>
      </w:footnotePr>
      <w:pgSz w:w="12240" w:h="15840"/>
      <w:pgMar w:top="2372" w:right="1418" w:bottom="2126" w:left="1417" w:header="1417" w:footer="141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425CBC" w14:textId="77777777" w:rsidR="00AA1D4A" w:rsidRDefault="00AA1D4A">
      <w:r>
        <w:separator/>
      </w:r>
    </w:p>
  </w:endnote>
  <w:endnote w:type="continuationSeparator" w:id="0">
    <w:p w14:paraId="4E996BCA" w14:textId="77777777" w:rsidR="00AA1D4A" w:rsidRDefault="00AA1D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OpenSymbol">
    <w:altName w:val="Calibri"/>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Book Antiqua">
    <w:panose1 w:val="02040602050305030304"/>
    <w:charset w:val="00"/>
    <w:family w:val="roman"/>
    <w:pitch w:val="variable"/>
    <w:sig w:usb0="00000287" w:usb1="00000000" w:usb2="00000000" w:usb3="00000000" w:csb0="0000009F" w:csb1="00000000"/>
  </w:font>
  <w:font w:name="Times-Roman">
    <w:altName w:val="Times New Roman"/>
    <w:charset w:val="00"/>
    <w:family w:val="roman"/>
    <w:pitch w:val="default"/>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tarSymbol">
    <w:altName w:val="Yu Gothic UI"/>
    <w:panose1 w:val="00000000000000000000"/>
    <w:charset w:val="00"/>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Trebuchet MS">
    <w:panose1 w:val="020B0603020202020204"/>
    <w:charset w:val="00"/>
    <w:family w:val="swiss"/>
    <w:pitch w:val="variable"/>
    <w:sig w:usb0="00000687" w:usb1="00000000" w:usb2="00000000" w:usb3="00000000" w:csb0="0000009F" w:csb1="00000000"/>
  </w:font>
  <w:font w:name="Bookman Old Style">
    <w:altName w:val="Bookman Old Style"/>
    <w:panose1 w:val="02050604050505020204"/>
    <w:charset w:val="00"/>
    <w:family w:val="roman"/>
    <w:pitch w:val="variable"/>
    <w:sig w:usb0="00000287" w:usb1="00000000" w:usb2="00000000" w:usb3="00000000" w:csb0="0000009F" w:csb1="00000000"/>
  </w:font>
  <w:font w:name="Helvetica">
    <w:panose1 w:val="020B0604020202020204"/>
    <w:charset w:val="00"/>
    <w:family w:val="swiss"/>
    <w:pitch w:val="variable"/>
    <w:sig w:usb0="E0002A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Courier 10cpi">
    <w:altName w:val="Times New Roman"/>
    <w:panose1 w:val="00000000000000000000"/>
    <w:charset w:val="00"/>
    <w:family w:val="auto"/>
    <w:notTrueType/>
    <w:pitch w:val="default"/>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oronto">
    <w:panose1 w:val="00000000000000000000"/>
    <w:charset w:val="00"/>
    <w:family w:val="auto"/>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MS Sans Serif">
    <w:altName w:val="Times New 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Palatino Linotype">
    <w:panose1 w:val="02040502050505030304"/>
    <w:charset w:val="00"/>
    <w:family w:val="roman"/>
    <w:pitch w:val="variable"/>
    <w:sig w:usb0="E0000287" w:usb1="40000013" w:usb2="00000000" w:usb3="00000000" w:csb0="0000019F" w:csb1="00000000"/>
  </w:font>
  <w:font w:name="Liberation Serif">
    <w:altName w:val="Times New Roman"/>
    <w:charset w:val="00"/>
    <w:family w:val="roman"/>
    <w:pitch w:val="variable"/>
    <w:sig w:usb0="E0000AFF" w:usb1="500078FF" w:usb2="00000021" w:usb3="00000000" w:csb0="000001BF" w:csb1="00000000"/>
  </w:font>
  <w:font w:name="Calibri Light">
    <w:panose1 w:val="020F0302020204030204"/>
    <w:charset w:val="00"/>
    <w:family w:val="swiss"/>
    <w:pitch w:val="variable"/>
    <w:sig w:usb0="E4002EFF" w:usb1="C000247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Courier">
    <w:panose1 w:val="02070409020205020404"/>
    <w:charset w:val="00"/>
    <w:family w:val="modern"/>
    <w:notTrueType/>
    <w:pitch w:val="fixed"/>
    <w:sig w:usb0="00000003" w:usb1="00000000" w:usb2="00000000" w:usb3="00000000" w:csb0="00000001" w:csb1="00000000"/>
  </w:font>
  <w:font w:name="Liberation Sans">
    <w:altName w:val="Arial"/>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NSimSun">
    <w:panose1 w:val="02010609030101010101"/>
    <w:charset w:val="86"/>
    <w:family w:val="modern"/>
    <w:pitch w:val="fixed"/>
    <w:sig w:usb0="00000203" w:usb1="288F0000" w:usb2="00000016" w:usb3="00000000" w:csb0="00040001" w:csb1="00000000"/>
  </w:font>
  <w:font w:name="font428">
    <w:altName w:val="Calibri"/>
    <w:charset w:val="00"/>
    <w:family w:val="auto"/>
    <w:pitch w:val="variable"/>
  </w:font>
  <w:font w:name="DejaVu Sans">
    <w:charset w:val="00"/>
    <w:family w:val="swiss"/>
    <w:pitch w:val="variable"/>
    <w:sig w:usb0="E7002EFF" w:usb1="D200FDFF" w:usb2="0A24602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Liberation Mono">
    <w:charset w:val="00"/>
    <w:family w:val="modern"/>
    <w:pitch w:val="fixed"/>
    <w:sig w:usb0="E0000AFF" w:usb1="400078FF" w:usb2="00000001" w:usb3="00000000" w:csb0="000001BF" w:csb1="00000000"/>
  </w:font>
  <w:font w:name="Franklin Gothic Book">
    <w:panose1 w:val="020B0503020102020204"/>
    <w:charset w:val="00"/>
    <w:family w:val="swiss"/>
    <w:pitch w:val="variable"/>
    <w:sig w:usb0="00000287" w:usb1="00000000" w:usb2="00000000" w:usb3="00000000" w:csb0="0000009F" w:csb1="00000000"/>
  </w:font>
  <w:font w:name="Nimbus Roman No9 L">
    <w:altName w:val="Times New Roman"/>
    <w:charset w:val="00"/>
    <w:family w:val="roman"/>
    <w:pitch w:val="variable"/>
  </w:font>
  <w:font w:name="Batang">
    <w:altName w:val="바탕"/>
    <w:panose1 w:val="02030600000101010101"/>
    <w:charset w:val="81"/>
    <w:family w:val="roman"/>
    <w:pitch w:val="variable"/>
    <w:sig w:usb0="B00002AF" w:usb1="69D77CFB" w:usb2="00000030" w:usb3="00000000" w:csb0="0008009F" w:csb1="00000000"/>
  </w:font>
  <w:font w:name="Arial Black">
    <w:panose1 w:val="020B0A04020102020204"/>
    <w:charset w:val="00"/>
    <w:family w:val="swiss"/>
    <w:pitch w:val="variable"/>
    <w:sig w:usb0="A00002AF" w:usb1="400078FB"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AvantGardeITCbyBT-Book">
    <w:altName w:val="Times New Roman"/>
    <w:charset w:val="00"/>
    <w:family w:val="auto"/>
    <w:pitch w:val="default"/>
  </w:font>
  <w:font w:name="Monotype Corsiva">
    <w:panose1 w:val="03010101010201010101"/>
    <w:charset w:val="00"/>
    <w:family w:val="script"/>
    <w:pitch w:val="variable"/>
    <w:sig w:usb0="00000287" w:usb1="00000000" w:usb2="00000000" w:usb3="00000000" w:csb0="0000009F" w:csb1="00000000"/>
  </w:font>
  <w:font w:name="Cooper Md BT">
    <w:altName w:val="Bookman Old Style"/>
    <w:charset w:val="00"/>
    <w:family w:val="roman"/>
    <w:pitch w:val="variable"/>
  </w:font>
  <w:font w:name="Segoe UI Emoji">
    <w:panose1 w:val="020B0502040204020203"/>
    <w:charset w:val="00"/>
    <w:family w:val="swiss"/>
    <w:pitch w:val="variable"/>
    <w:sig w:usb0="00000003" w:usb1="02000000" w:usb2="00000000" w:usb3="00000000" w:csb0="00000001" w:csb1="00000000"/>
  </w:font>
  <w:font w:name="GillSans-Light;Calibri">
    <w:panose1 w:val="00000000000000000000"/>
    <w:charset w:val="00"/>
    <w:family w:val="roman"/>
    <w:notTrueType/>
    <w:pitch w:val="default"/>
  </w:font>
  <w:font w:name="Yu Gothic Light">
    <w:panose1 w:val="020B0300000000000000"/>
    <w:charset w:val="80"/>
    <w:family w:val="swiss"/>
    <w:pitch w:val="variable"/>
    <w:sig w:usb0="E00002FF" w:usb1="2AC7FDFF" w:usb2="00000016" w:usb3="00000000" w:csb0="0002009F" w:csb1="00000000"/>
  </w:font>
  <w:font w:name="Microsoft Sans Serif">
    <w:panose1 w:val="020B0604020202020204"/>
    <w:charset w:val="00"/>
    <w:family w:val="swiss"/>
    <w:pitch w:val="variable"/>
    <w:sig w:usb0="E5002EFF" w:usb1="C000605B" w:usb2="00000029" w:usb3="00000000" w:csb0="000101FF" w:csb1="00000000"/>
  </w:font>
  <w:font w:name="Helvetica Neue">
    <w:altName w:val="Arial"/>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94C579" w14:textId="77777777" w:rsidR="008307AF" w:rsidRDefault="008307AF">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27FFB" w14:textId="77777777" w:rsidR="008307AF" w:rsidRDefault="008307AF">
    <w:pPr>
      <w:pStyle w:val="Piedepgina"/>
      <w:tabs>
        <w:tab w:val="clear" w:pos="4320"/>
        <w:tab w:val="clear" w:pos="8640"/>
        <w:tab w:val="center" w:pos="4252"/>
        <w:tab w:val="right" w:pos="8504"/>
      </w:tabs>
      <w:jc w:val="center"/>
      <w:rPr>
        <w:rFonts w:ascii="Times New Roman" w:hAnsi="Times New Roman" w:cs="Times New Roman"/>
        <w:b/>
        <w:sz w:val="16"/>
        <w:szCs w:val="16"/>
        <w:u w:val="none"/>
        <w:lang w:val="es-ES_tradnl"/>
      </w:rPr>
    </w:pPr>
    <w:r>
      <w:rPr>
        <w:rFonts w:ascii="Times New Roman" w:hAnsi="Times New Roman" w:cs="Times New Roman"/>
        <w:b/>
        <w:sz w:val="16"/>
        <w:szCs w:val="16"/>
        <w:u w:val="none"/>
        <w:lang w:val="es-ES_tradnl"/>
      </w:rPr>
      <w:t>Teléfonos: 2295-3845 // 2295-3711</w:t>
    </w:r>
    <w:r>
      <w:rPr>
        <w:rFonts w:ascii="Times New Roman" w:hAnsi="Times New Roman" w:cs="Times New Roman"/>
        <w:b/>
        <w:sz w:val="16"/>
        <w:szCs w:val="16"/>
        <w:u w:val="none"/>
        <w:lang w:val="es-ES_tradnl"/>
      </w:rPr>
      <w:tab/>
      <w:t xml:space="preserve"> Correo: </w:t>
    </w:r>
    <w:hyperlink r:id="rId1" w:history="1">
      <w:r>
        <w:rPr>
          <w:rStyle w:val="Hipervnculo"/>
          <w:rFonts w:ascii="Times New Roman" w:hAnsi="Times New Roman"/>
        </w:rPr>
        <w:t>secrecorte@poder-judicial.go.cr</w:t>
      </w:r>
    </w:hyperlink>
    <w:r>
      <w:rPr>
        <w:rFonts w:ascii="Times New Roman" w:hAnsi="Times New Roman" w:cs="Times New Roman"/>
        <w:b/>
        <w:sz w:val="16"/>
        <w:szCs w:val="16"/>
        <w:u w:val="none"/>
        <w:lang w:val="es-ES_tradnl"/>
      </w:rPr>
      <w:t xml:space="preserve"> Fax: (506) 2295-3706 </w:t>
    </w:r>
    <w:proofErr w:type="spellStart"/>
    <w:r>
      <w:rPr>
        <w:rFonts w:ascii="Times New Roman" w:hAnsi="Times New Roman" w:cs="Times New Roman"/>
        <w:b/>
        <w:sz w:val="16"/>
        <w:szCs w:val="16"/>
        <w:u w:val="none"/>
        <w:lang w:val="es-ES_tradnl"/>
      </w:rPr>
      <w:t>Apdo</w:t>
    </w:r>
    <w:proofErr w:type="spellEnd"/>
    <w:r>
      <w:rPr>
        <w:rFonts w:ascii="Times New Roman" w:hAnsi="Times New Roman" w:cs="Times New Roman"/>
        <w:b/>
        <w:sz w:val="16"/>
        <w:szCs w:val="16"/>
        <w:u w:val="none"/>
        <w:lang w:val="es-ES_tradnl"/>
      </w:rPr>
      <w:t>: 1-1003 San José</w:t>
    </w:r>
  </w:p>
  <w:p w14:paraId="7694B644" w14:textId="77777777" w:rsidR="008307AF" w:rsidRDefault="008307AF">
    <w:pPr>
      <w:pStyle w:val="Piedepgina"/>
      <w:tabs>
        <w:tab w:val="clear" w:pos="4320"/>
        <w:tab w:val="clear" w:pos="8640"/>
        <w:tab w:val="center" w:pos="4252"/>
        <w:tab w:val="right" w:pos="8504"/>
      </w:tabs>
      <w:jc w:val="center"/>
      <w:rPr>
        <w:rFonts w:ascii="Times New Roman" w:hAnsi="Times New Roman" w:cs="Times New Roman"/>
        <w:b/>
        <w:bCs/>
        <w:sz w:val="16"/>
        <w:szCs w:val="16"/>
        <w:u w:val="none"/>
        <w:shd w:val="clear" w:color="auto" w:fill="auto"/>
        <w:lang w:val="es-ES_tradnl"/>
      </w:rPr>
    </w:pPr>
  </w:p>
  <w:p w14:paraId="42215919" w14:textId="77777777" w:rsidR="008307AF" w:rsidRDefault="008307AF">
    <w:pPr>
      <w:jc w:val="center"/>
    </w:pPr>
    <w:r>
      <w:rPr>
        <w:b/>
        <w:sz w:val="16"/>
        <w:szCs w:val="16"/>
        <w:lang w:val="es-CR"/>
      </w:rPr>
      <w:fldChar w:fldCharType="begin"/>
    </w:r>
    <w:r>
      <w:rPr>
        <w:b/>
        <w:sz w:val="16"/>
        <w:szCs w:val="16"/>
        <w:lang w:val="es-CR"/>
      </w:rPr>
      <w:instrText xml:space="preserve"> PAGE </w:instrText>
    </w:r>
    <w:r>
      <w:rPr>
        <w:b/>
        <w:sz w:val="16"/>
        <w:szCs w:val="16"/>
        <w:lang w:val="es-CR"/>
      </w:rPr>
      <w:fldChar w:fldCharType="separate"/>
    </w:r>
    <w:r>
      <w:rPr>
        <w:b/>
        <w:noProof/>
        <w:sz w:val="16"/>
        <w:szCs w:val="16"/>
        <w:lang w:val="es-CR"/>
      </w:rPr>
      <w:t>1</w:t>
    </w:r>
    <w:r>
      <w:rPr>
        <w:b/>
        <w:sz w:val="16"/>
        <w:szCs w:val="16"/>
        <w:lang w:val="es-C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03CC7E" w14:textId="77777777" w:rsidR="008307AF" w:rsidRDefault="008307AF">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38C1FB" w14:textId="77777777" w:rsidR="00AA1D4A" w:rsidRDefault="00AA1D4A">
      <w:r>
        <w:separator/>
      </w:r>
    </w:p>
  </w:footnote>
  <w:footnote w:type="continuationSeparator" w:id="0">
    <w:p w14:paraId="26979F25" w14:textId="77777777" w:rsidR="00AA1D4A" w:rsidRDefault="00AA1D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B893F" w14:textId="77777777" w:rsidR="008307AF" w:rsidRDefault="008307AF">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594DA1" w14:textId="533C76C9" w:rsidR="008307AF" w:rsidRDefault="008307AF">
    <w:pPr>
      <w:pStyle w:val="Encabezado"/>
      <w:tabs>
        <w:tab w:val="clear" w:pos="4320"/>
        <w:tab w:val="clear" w:pos="8640"/>
        <w:tab w:val="left" w:pos="709"/>
        <w:tab w:val="center" w:pos="4419"/>
        <w:tab w:val="right" w:pos="8838"/>
      </w:tabs>
      <w:rPr>
        <w:rFonts w:ascii="Times New Roman" w:hAnsi="Times New Roman" w:cs="Times New Roman"/>
        <w:b/>
        <w:i/>
        <w:u w:val="none"/>
        <w:shd w:val="clear" w:color="auto" w:fill="auto"/>
        <w:lang w:val="es-CR"/>
      </w:rPr>
    </w:pPr>
    <w:r>
      <w:rPr>
        <w:noProof/>
      </w:rPr>
      <mc:AlternateContent>
        <mc:Choice Requires="wps">
          <w:drawing>
            <wp:anchor distT="0" distB="0" distL="114935" distR="114935" simplePos="0" relativeHeight="251657728" behindDoc="1" locked="0" layoutInCell="1" allowOverlap="1" wp14:anchorId="056DDC23" wp14:editId="76631C2A">
              <wp:simplePos x="0" y="0"/>
              <wp:positionH relativeFrom="column">
                <wp:posOffset>0</wp:posOffset>
              </wp:positionH>
              <wp:positionV relativeFrom="paragraph">
                <wp:posOffset>-358140</wp:posOffset>
              </wp:positionV>
              <wp:extent cx="615315" cy="662940"/>
              <wp:effectExtent l="0" t="3810" r="0" b="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15315" cy="6629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2A2E5C2" w14:textId="77777777" w:rsidR="008307AF" w:rsidRDefault="008307AF"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056DDC23" id="_x0000_t202" coordsize="21600,21600" o:spt="202" path="m,l,21600r21600,l21600,xe">
              <v:stroke joinstyle="miter"/>
              <v:path gradientshapeok="t" o:connecttype="rect"/>
            </v:shapetype>
            <v:shape id="Text Box 1" o:spid="_x0000_s1030" type="#_x0000_t202" style="position:absolute;margin-left:0;margin-top:-28.2pt;width:48.45pt;height:52.2pt;z-index:-251658752;visibility:visible;mso-wrap-style:non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" stroked="f">
              <v:textbox style="mso-fit-shape-to-text:t" inset="0,0,0,0">
                <w:txbxContent>
                  <w:p w14:paraId="62A2E5C2" w14:textId="77777777" w:rsidR="008307AF" w:rsidRDefault="008307AF" w:rsidP="00186ADE">
                    <w:pPr>
                      <w:ind w:right="3"/>
                    </w:pPr>
                    <w:r>
                      <w:rPr>
                        <w:noProof/>
                        <w:lang w:eastAsia="es-ES"/>
                      </w:rPr>
                      <w:drawing>
                        <wp:inline distT="0" distB="0" distL="0" distR="0" wp14:anchorId="3C707F0A" wp14:editId="42C663F8">
                          <wp:extent cx="594360" cy="662940"/>
                          <wp:effectExtent l="1905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594360" cy="662940"/>
                                  </a:xfrm>
                                  <a:prstGeom prst="rect">
                                    <a:avLst/>
                                  </a:prstGeom>
                                  <a:solidFill>
                                    <a:srgbClr val="FFFFFF"/>
                                  </a:solidFill>
                                  <a:ln w="9525">
                                    <a:noFill/>
                                    <a:miter lim="800000"/>
                                    <a:headEnd/>
                                    <a:tailEnd/>
                                  </a:ln>
                                </pic:spPr>
                              </pic:pic>
                            </a:graphicData>
                          </a:graphic>
                        </wp:inline>
                      </w:drawing>
                    </w:r>
                  </w:p>
                </w:txbxContent>
              </v:textbox>
            </v:shape>
          </w:pict>
        </mc:Fallback>
      </mc:AlternateContent>
    </w:r>
    <w:r>
      <w:rPr>
        <w:rFonts w:cs="Times New Roman"/>
        <w:u w:val="none"/>
        <w:shd w:val="clear" w:color="auto" w:fill="auto"/>
      </w:rPr>
      <w:t xml:space="preserve">                    </w:t>
    </w:r>
    <w:r>
      <w:rPr>
        <w:rFonts w:ascii="Times New Roman" w:hAnsi="Times New Roman" w:cs="Times New Roman"/>
        <w:b/>
        <w:i/>
        <w:u w:val="none"/>
        <w:shd w:val="clear" w:color="auto" w:fill="auto"/>
        <w:lang w:val="es-CR"/>
      </w:rPr>
      <w:t>Corte Suprema de Justicia</w:t>
    </w:r>
  </w:p>
  <w:p w14:paraId="1203DAE7" w14:textId="77777777" w:rsidR="008307AF" w:rsidRDefault="008307AF">
    <w:pPr>
      <w:rPr>
        <w:b/>
        <w:bCs/>
        <w:i/>
        <w:iCs/>
        <w:lang w:val="es-ES_tradnl"/>
      </w:rPr>
    </w:pPr>
    <w:r>
      <w:rPr>
        <w:b/>
        <w:bCs/>
        <w:i/>
        <w:iCs/>
        <w:lang w:val="es-ES_tradnl"/>
      </w:rPr>
      <w:t xml:space="preserve">                           Secretaría General</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BFEA08" w14:textId="77777777" w:rsidR="008307AF" w:rsidRDefault="008307AF">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D26FEB8"/>
    <w:lvl w:ilvl="0">
      <w:start w:val="1"/>
      <w:numFmt w:val="decimal"/>
      <w:pStyle w:val="Listaconnmeros5"/>
      <w:lvlText w:val="%1."/>
      <w:lvlJc w:val="left"/>
      <w:pPr>
        <w:tabs>
          <w:tab w:val="num" w:pos="1492"/>
        </w:tabs>
        <w:ind w:left="1492" w:hanging="360"/>
      </w:pPr>
    </w:lvl>
  </w:abstractNum>
  <w:abstractNum w:abstractNumId="1" w15:restartNumberingAfterBreak="0">
    <w:nsid w:val="FFFFFF7F"/>
    <w:multiLevelType w:val="singleLevel"/>
    <w:tmpl w:val="FEB8A65C"/>
    <w:lvl w:ilvl="0">
      <w:start w:val="1"/>
      <w:numFmt w:val="decimal"/>
      <w:pStyle w:val="Listaconnmeros2"/>
      <w:lvlText w:val="%1."/>
      <w:lvlJc w:val="left"/>
      <w:pPr>
        <w:tabs>
          <w:tab w:val="num" w:pos="643"/>
        </w:tabs>
        <w:ind w:left="643" w:hanging="360"/>
      </w:pPr>
    </w:lvl>
  </w:abstractNum>
  <w:abstractNum w:abstractNumId="2" w15:restartNumberingAfterBreak="0">
    <w:nsid w:val="FFFFFF83"/>
    <w:multiLevelType w:val="singleLevel"/>
    <w:tmpl w:val="B0900072"/>
    <w:styleLink w:val="1111111115"/>
    <w:lvl w:ilvl="0">
      <w:start w:val="1"/>
      <w:numFmt w:val="bullet"/>
      <w:pStyle w:val="Listaconvietas2"/>
      <w:lvlText w:val=""/>
      <w:lvlJc w:val="left"/>
      <w:pPr>
        <w:tabs>
          <w:tab w:val="num" w:pos="643"/>
        </w:tabs>
        <w:ind w:left="643" w:hanging="360"/>
      </w:pPr>
      <w:rPr>
        <w:rFonts w:ascii="Symbol" w:hAnsi="Symbol" w:hint="default"/>
      </w:rPr>
    </w:lvl>
  </w:abstractNum>
  <w:abstractNum w:abstractNumId="3" w15:restartNumberingAfterBreak="0">
    <w:nsid w:val="FFFFFF88"/>
    <w:multiLevelType w:val="singleLevel"/>
    <w:tmpl w:val="FD90365C"/>
    <w:lvl w:ilvl="0">
      <w:start w:val="1"/>
      <w:numFmt w:val="decimal"/>
      <w:pStyle w:val="Listaconnmeros"/>
      <w:lvlText w:val="%1."/>
      <w:lvlJc w:val="left"/>
      <w:pPr>
        <w:tabs>
          <w:tab w:val="num" w:pos="360"/>
        </w:tabs>
        <w:ind w:left="360" w:hanging="360"/>
      </w:pPr>
    </w:lvl>
  </w:abstractNum>
  <w:abstractNum w:abstractNumId="4" w15:restartNumberingAfterBreak="0">
    <w:nsid w:val="00000001"/>
    <w:multiLevelType w:val="multilevel"/>
    <w:tmpl w:val="00000001"/>
    <w:lvl w:ilvl="0">
      <w:start w:val="1"/>
      <w:numFmt w:val="none"/>
      <w:pStyle w:val="SUBPROGRAMA"/>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pStyle w:val="Ttulo31"/>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Ttulo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5" w15:restartNumberingAfterBreak="0">
    <w:nsid w:val="00000002"/>
    <w:multiLevelType w:val="multilevel"/>
    <w:tmpl w:val="BBDC6D78"/>
    <w:lvl w:ilvl="0">
      <w:start w:val="1"/>
      <w:numFmt w:val="decimal"/>
      <w:pStyle w:val="Listaconnmeros22"/>
      <w:lvlText w:val="%1."/>
      <w:lvlJc w:val="left"/>
      <w:pPr>
        <w:tabs>
          <w:tab w:val="num" w:pos="643"/>
        </w:tabs>
        <w:ind w:left="643" w:hanging="360"/>
      </w:pPr>
    </w:lvl>
    <w:lvl w:ilvl="1">
      <w:start w:val="1"/>
      <w:numFmt w:val="decimal"/>
      <w:isLgl/>
      <w:lvlText w:val="%1.%2"/>
      <w:lvlJc w:val="left"/>
      <w:pPr>
        <w:ind w:left="1920" w:hanging="360"/>
      </w:pPr>
    </w:lvl>
    <w:lvl w:ilvl="2">
      <w:start w:val="1"/>
      <w:numFmt w:val="decimal"/>
      <w:isLgl/>
      <w:lvlText w:val="%1.%2.%3"/>
      <w:lvlJc w:val="left"/>
      <w:pPr>
        <w:ind w:left="3557" w:hanging="720"/>
      </w:pPr>
    </w:lvl>
    <w:lvl w:ilvl="3">
      <w:start w:val="1"/>
      <w:numFmt w:val="decimal"/>
      <w:isLgl/>
      <w:lvlText w:val="%1.%2.%3.%4"/>
      <w:lvlJc w:val="left"/>
      <w:pPr>
        <w:ind w:left="4834" w:hanging="720"/>
      </w:pPr>
    </w:lvl>
    <w:lvl w:ilvl="4">
      <w:start w:val="1"/>
      <w:numFmt w:val="decimal"/>
      <w:isLgl/>
      <w:lvlText w:val="%1.%2.%3.%4.%5"/>
      <w:lvlJc w:val="left"/>
      <w:pPr>
        <w:ind w:left="6471" w:hanging="1080"/>
      </w:pPr>
    </w:lvl>
    <w:lvl w:ilvl="5">
      <w:start w:val="1"/>
      <w:numFmt w:val="decimal"/>
      <w:isLgl/>
      <w:lvlText w:val="%1.%2.%3.%4.%5.%6"/>
      <w:lvlJc w:val="left"/>
      <w:pPr>
        <w:ind w:left="8108" w:hanging="1440"/>
      </w:pPr>
    </w:lvl>
    <w:lvl w:ilvl="6">
      <w:start w:val="1"/>
      <w:numFmt w:val="decimal"/>
      <w:isLgl/>
      <w:lvlText w:val="%1.%2.%3.%4.%5.%6.%7"/>
      <w:lvlJc w:val="left"/>
      <w:pPr>
        <w:ind w:left="9385" w:hanging="1440"/>
      </w:pPr>
    </w:lvl>
    <w:lvl w:ilvl="7">
      <w:start w:val="1"/>
      <w:numFmt w:val="decimal"/>
      <w:isLgl/>
      <w:lvlText w:val="%1.%2.%3.%4.%5.%6.%7.%8"/>
      <w:lvlJc w:val="left"/>
      <w:pPr>
        <w:ind w:left="11022" w:hanging="1800"/>
      </w:pPr>
    </w:lvl>
    <w:lvl w:ilvl="8">
      <w:start w:val="1"/>
      <w:numFmt w:val="decimal"/>
      <w:isLgl/>
      <w:lvlText w:val="%1.%2.%3.%4.%5.%6.%7.%8.%9"/>
      <w:lvlJc w:val="left"/>
      <w:pPr>
        <w:ind w:left="12299" w:hanging="1800"/>
      </w:pPr>
    </w:lvl>
  </w:abstractNum>
  <w:abstractNum w:abstractNumId="6" w15:restartNumberingAfterBreak="0">
    <w:nsid w:val="00000003"/>
    <w:multiLevelType w:val="multilevel"/>
    <w:tmpl w:val="00000003"/>
    <w:name w:val="WWNum3"/>
    <w:lvl w:ilvl="0">
      <w:start w:val="1"/>
      <w:numFmt w:val="upperRoman"/>
      <w:lvlText w:val="%1."/>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7" w15:restartNumberingAfterBreak="0">
    <w:nsid w:val="00000004"/>
    <w:multiLevelType w:val="singleLevel"/>
    <w:tmpl w:val="00000004"/>
    <w:name w:val="WW8Num8"/>
    <w:lvl w:ilvl="0">
      <w:start w:val="1"/>
      <w:numFmt w:val="bullet"/>
      <w:lvlText w:val=""/>
      <w:lvlJc w:val="left"/>
      <w:pPr>
        <w:tabs>
          <w:tab w:val="num" w:pos="0"/>
        </w:tabs>
        <w:ind w:left="720" w:hanging="360"/>
      </w:pPr>
      <w:rPr>
        <w:rFonts w:ascii="Symbol" w:hAnsi="Symbol" w:cs="Symbol"/>
      </w:rPr>
    </w:lvl>
  </w:abstractNum>
  <w:abstractNum w:abstractNumId="8" w15:restartNumberingAfterBreak="0">
    <w:nsid w:val="00000005"/>
    <w:multiLevelType w:val="multilevel"/>
    <w:tmpl w:val="21E48794"/>
    <w:name w:val="WW8Num1"/>
    <w:lvl w:ilvl="0">
      <w:start w:val="1"/>
      <w:numFmt w:val="bullet"/>
      <w:lvlText w:val=""/>
      <w:lvlJc w:val="left"/>
      <w:pPr>
        <w:tabs>
          <w:tab w:val="num" w:pos="720"/>
        </w:tabs>
        <w:ind w:left="720" w:hanging="360"/>
      </w:pPr>
      <w:rPr>
        <w:rFonts w:ascii="Symbol" w:hAnsi="Symbol" w:cs="Symbol"/>
      </w:rPr>
    </w:lvl>
    <w:lvl w:ilvl="1">
      <w:start w:val="1"/>
      <w:numFmt w:val="decimal"/>
      <w:lvlText w:val="%2."/>
      <w:lvlJc w:val="left"/>
      <w:pPr>
        <w:tabs>
          <w:tab w:val="num" w:pos="1440"/>
        </w:tabs>
        <w:ind w:left="1440" w:hanging="360"/>
      </w:pPr>
      <w:rPr>
        <w:rFonts w:ascii="Times New Roman" w:hAnsi="Times New Roman" w:cs="Times New Roman" w:hint="default"/>
        <w:color w:val="000099"/>
        <w:sz w:val="26"/>
        <w:szCs w:val="26"/>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6"/>
    <w:multiLevelType w:val="multilevel"/>
    <w:tmpl w:val="00000006"/>
    <w:name w:val="WW8Num2"/>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0" w15:restartNumberingAfterBreak="0">
    <w:nsid w:val="00000007"/>
    <w:multiLevelType w:val="multilevel"/>
    <w:tmpl w:val="00000007"/>
    <w:name w:val="WW8Num3"/>
    <w:lvl w:ilvl="0">
      <w:start w:val="1"/>
      <w:numFmt w:val="bullet"/>
      <w:lvlText w:val=""/>
      <w:lvlJc w:val="left"/>
      <w:pPr>
        <w:tabs>
          <w:tab w:val="num" w:pos="720"/>
        </w:tabs>
        <w:ind w:left="720" w:hanging="360"/>
      </w:pPr>
      <w:rPr>
        <w:rFonts w:ascii="Wingdings 2" w:hAnsi="Wingdings 2" w:cs="Symbol"/>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s="Symbol"/>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s="Symbol"/>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720" w:hanging="360"/>
      </w:pPr>
      <w:rPr>
        <w:rFonts w:ascii="Symbol" w:hAnsi="Symbol" w:cs="Symbol"/>
      </w:rPr>
    </w:lvl>
  </w:abstractNum>
  <w:abstractNum w:abstractNumId="12" w15:restartNumberingAfterBreak="0">
    <w:nsid w:val="00000009"/>
    <w:multiLevelType w:val="singleLevel"/>
    <w:tmpl w:val="00000009"/>
    <w:name w:val="WW8Num5"/>
    <w:lvl w:ilvl="0">
      <w:start w:val="1"/>
      <w:numFmt w:val="decimal"/>
      <w:lvlText w:val="%1."/>
      <w:lvlJc w:val="left"/>
      <w:pPr>
        <w:tabs>
          <w:tab w:val="num" w:pos="0"/>
        </w:tabs>
        <w:ind w:left="720" w:hanging="360"/>
      </w:p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ymbol" w:hAnsi="Symbol" w:cs="Symbol"/>
        <w:sz w:val="20"/>
      </w:rPr>
    </w:lvl>
  </w:abstractNum>
  <w:abstractNum w:abstractNumId="14" w15:restartNumberingAfterBreak="0">
    <w:nsid w:val="0000000B"/>
    <w:multiLevelType w:val="singleLevel"/>
    <w:tmpl w:val="0000000B"/>
    <w:name w:val="WW8Num7"/>
    <w:lvl w:ilvl="0">
      <w:start w:val="1"/>
      <w:numFmt w:val="bullet"/>
      <w:lvlText w:val=""/>
      <w:lvlJc w:val="left"/>
      <w:pPr>
        <w:tabs>
          <w:tab w:val="num" w:pos="0"/>
        </w:tabs>
        <w:ind w:left="720" w:hanging="360"/>
      </w:pPr>
      <w:rPr>
        <w:rFonts w:ascii="Symbol" w:hAnsi="Symbol" w:cs="Symbol"/>
      </w:rPr>
    </w:lvl>
  </w:abstractNum>
  <w:abstractNum w:abstractNumId="15" w15:restartNumberingAfterBreak="0">
    <w:nsid w:val="00B72D2D"/>
    <w:multiLevelType w:val="hybridMultilevel"/>
    <w:tmpl w:val="8A0C797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6" w15:restartNumberingAfterBreak="0">
    <w:nsid w:val="00BF3EA1"/>
    <w:multiLevelType w:val="hybridMultilevel"/>
    <w:tmpl w:val="2C58A9FE"/>
    <w:name w:val="WW8Num14"/>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7" w15:restartNumberingAfterBreak="0">
    <w:nsid w:val="00E205D1"/>
    <w:multiLevelType w:val="multilevel"/>
    <w:tmpl w:val="E3D4C5D0"/>
    <w:lvl w:ilvl="0">
      <w:start w:val="9"/>
      <w:numFmt w:val="decimal"/>
      <w:lvlText w:val="%1"/>
      <w:lvlJc w:val="left"/>
      <w:pPr>
        <w:ind w:left="360" w:hanging="360"/>
      </w:pPr>
      <w:rPr>
        <w:rFonts w:hint="default"/>
        <w:b w:val="0"/>
      </w:rPr>
    </w:lvl>
    <w:lvl w:ilvl="1">
      <w:start w:val="2"/>
      <w:numFmt w:val="decimal"/>
      <w:lvlText w:val="%1.%2"/>
      <w:lvlJc w:val="left"/>
      <w:pPr>
        <w:ind w:left="360" w:hanging="360"/>
      </w:pPr>
      <w:rPr>
        <w:rFonts w:hint="default"/>
        <w:b/>
        <w:bCs/>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00EC0078"/>
    <w:multiLevelType w:val="hybridMultilevel"/>
    <w:tmpl w:val="9D4870EA"/>
    <w:name w:val="WW8Num15"/>
    <w:lvl w:ilvl="0" w:tplc="FFFFFFFF">
      <w:start w:val="1"/>
      <w:numFmt w:val="decimal"/>
      <w:lvlText w:val="%1."/>
      <w:lvlJc w:val="left"/>
      <w:pPr>
        <w:tabs>
          <w:tab w:val="num" w:pos="720"/>
        </w:tabs>
        <w:ind w:left="720" w:hanging="360"/>
      </w:p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9" w15:restartNumberingAfterBreak="0">
    <w:nsid w:val="01E31031"/>
    <w:multiLevelType w:val="hybridMultilevel"/>
    <w:tmpl w:val="2C3C6210"/>
    <w:lvl w:ilvl="0" w:tplc="5FFCE068">
      <w:start w:val="1"/>
      <w:numFmt w:val="bullet"/>
      <w:lvlText w:val=""/>
      <w:lvlJc w:val="left"/>
      <w:pPr>
        <w:ind w:left="720" w:hanging="360"/>
      </w:pPr>
      <w:rPr>
        <w:rFonts w:ascii="Symbol" w:hAnsi="Symbol" w:hint="default"/>
        <w:sz w:val="24"/>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0" w15:restartNumberingAfterBreak="0">
    <w:nsid w:val="03881BAD"/>
    <w:multiLevelType w:val="hybridMultilevel"/>
    <w:tmpl w:val="EC180A56"/>
    <w:name w:val="WW8Num16"/>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05A23FB1"/>
    <w:multiLevelType w:val="multilevel"/>
    <w:tmpl w:val="4ABA120E"/>
    <w:styleLink w:val="WW8Num2"/>
    <w:lvl w:ilvl="0">
      <w:start w:val="1"/>
      <w:numFmt w:val="none"/>
      <w:lvlText w:val="%1"/>
      <w:lvlJc w:val="left"/>
      <w:rPr>
        <w:rFonts w:ascii="Calibri" w:eastAsia="Arial Unicode MS" w:hAnsi="Calibri" w:cs="Calibri"/>
        <w:iCs/>
        <w:lang w:val="es-ES"/>
      </w:rPr>
    </w:lvl>
    <w:lvl w:ilvl="1">
      <w:start w:val="1"/>
      <w:numFmt w:val="none"/>
      <w:lvlText w:val="%2"/>
      <w:lvlJc w:val="left"/>
      <w:rPr>
        <w:rFonts w:cs="Calibri"/>
      </w:rPr>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2" w15:restartNumberingAfterBreak="0">
    <w:nsid w:val="0B2376AF"/>
    <w:multiLevelType w:val="hybridMultilevel"/>
    <w:tmpl w:val="6AAA73E0"/>
    <w:lvl w:ilvl="0" w:tplc="19F6686C">
      <w:start w:val="19"/>
      <w:numFmt w:val="bullet"/>
      <w:pStyle w:val="heading5"/>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0BAA359B"/>
    <w:multiLevelType w:val="singleLevel"/>
    <w:tmpl w:val="59466C30"/>
    <w:name w:val="WW8Num47"/>
    <w:lvl w:ilvl="0">
      <w:start w:val="1"/>
      <w:numFmt w:val="lowerLetter"/>
      <w:pStyle w:val="encabezado10"/>
      <w:lvlText w:val="%1)"/>
      <w:legacy w:legacy="1" w:legacySpace="0" w:legacyIndent="0"/>
      <w:lvlJc w:val="left"/>
      <w:rPr>
        <w:rFonts w:ascii="Times New Roman" w:hAnsi="Times New Roman" w:cs="Times New Roman" w:hint="default"/>
      </w:rPr>
    </w:lvl>
  </w:abstractNum>
  <w:abstractNum w:abstractNumId="24" w15:restartNumberingAfterBreak="0">
    <w:nsid w:val="0CB228F5"/>
    <w:multiLevelType w:val="hybridMultilevel"/>
    <w:tmpl w:val="F0DE1130"/>
    <w:styleLink w:val="WW8Num1132"/>
    <w:lvl w:ilvl="0" w:tplc="140A000B">
      <w:start w:val="1"/>
      <w:numFmt w:val="bullet"/>
      <w:lvlText w:val=""/>
      <w:lvlJc w:val="left"/>
      <w:pPr>
        <w:ind w:left="720" w:hanging="360"/>
      </w:pPr>
      <w:rPr>
        <w:rFonts w:ascii="Wingdings" w:hAnsi="Wingdings" w:cs="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25" w15:restartNumberingAfterBreak="0">
    <w:nsid w:val="0D0E7C16"/>
    <w:multiLevelType w:val="hybridMultilevel"/>
    <w:tmpl w:val="0CC8B4FA"/>
    <w:styleLink w:val="1111111113"/>
    <w:lvl w:ilvl="0" w:tplc="042ECDD6">
      <w:start w:val="1"/>
      <w:numFmt w:val="decimal"/>
      <w:lvlText w:val="%1."/>
      <w:lvlJc w:val="left"/>
      <w:pPr>
        <w:ind w:left="990" w:hanging="63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6" w15:restartNumberingAfterBreak="0">
    <w:nsid w:val="0E087FB8"/>
    <w:multiLevelType w:val="multilevel"/>
    <w:tmpl w:val="5D9C97D6"/>
    <w:styleLink w:val="WW8Num1112"/>
    <w:lvl w:ilvl="0">
      <w:start w:val="1"/>
      <w:numFmt w:val="decimal"/>
      <w:pStyle w:val="Bgestinconnmero"/>
      <w:lvlText w:val="%1."/>
      <w:lvlJc w:val="left"/>
      <w:pPr>
        <w:ind w:left="720" w:hanging="360"/>
      </w:pPr>
      <w:rPr>
        <w:rFonts w:hint="default"/>
        <w:b/>
        <w:i w:val="0"/>
        <w:color w:val="auto"/>
        <w:sz w:val="24"/>
        <w:szCs w:val="24"/>
      </w:rPr>
    </w:lvl>
    <w:lvl w:ilvl="1">
      <w:start w:val="1"/>
      <w:numFmt w:val="decimal"/>
      <w:isLgl/>
      <w:lvlText w:val="%1.%2."/>
      <w:lvlJc w:val="left"/>
      <w:pPr>
        <w:ind w:left="1080" w:hanging="720"/>
      </w:pPr>
      <w:rPr>
        <w:rFonts w:ascii="Times New Roman" w:hAnsi="Times New Roman" w:cs="Times New Roman" w:hint="default"/>
        <w:b/>
        <w:color w:val="000099"/>
        <w:sz w:val="24"/>
      </w:rPr>
    </w:lvl>
    <w:lvl w:ilvl="2">
      <w:start w:val="1"/>
      <w:numFmt w:val="decimal"/>
      <w:isLgl/>
      <w:lvlText w:val="%1.%2.%3."/>
      <w:lvlJc w:val="left"/>
      <w:pPr>
        <w:ind w:left="1080" w:hanging="720"/>
      </w:pPr>
      <w:rPr>
        <w:rFonts w:ascii="Book Antiqua" w:hAnsi="Book Antiqua" w:hint="default"/>
        <w:color w:val="auto"/>
        <w:sz w:val="24"/>
      </w:rPr>
    </w:lvl>
    <w:lvl w:ilvl="3">
      <w:start w:val="1"/>
      <w:numFmt w:val="decimal"/>
      <w:isLgl/>
      <w:lvlText w:val="%1.%2.%3.%4."/>
      <w:lvlJc w:val="left"/>
      <w:pPr>
        <w:ind w:left="1440" w:hanging="1080"/>
      </w:pPr>
      <w:rPr>
        <w:rFonts w:ascii="Book Antiqua" w:hAnsi="Book Antiqua" w:hint="default"/>
        <w:color w:val="auto"/>
        <w:sz w:val="24"/>
      </w:rPr>
    </w:lvl>
    <w:lvl w:ilvl="4">
      <w:start w:val="1"/>
      <w:numFmt w:val="decimal"/>
      <w:isLgl/>
      <w:lvlText w:val="%1.%2.%3.%4.%5."/>
      <w:lvlJc w:val="left"/>
      <w:pPr>
        <w:ind w:left="1440" w:hanging="1080"/>
      </w:pPr>
      <w:rPr>
        <w:rFonts w:ascii="Book Antiqua" w:hAnsi="Book Antiqua" w:hint="default"/>
        <w:color w:val="auto"/>
        <w:sz w:val="24"/>
      </w:rPr>
    </w:lvl>
    <w:lvl w:ilvl="5">
      <w:start w:val="1"/>
      <w:numFmt w:val="decimal"/>
      <w:isLgl/>
      <w:lvlText w:val="%1.%2.%3.%4.%5.%6."/>
      <w:lvlJc w:val="left"/>
      <w:pPr>
        <w:ind w:left="1800" w:hanging="1440"/>
      </w:pPr>
      <w:rPr>
        <w:rFonts w:ascii="Book Antiqua" w:hAnsi="Book Antiqua" w:hint="default"/>
        <w:color w:val="auto"/>
        <w:sz w:val="24"/>
      </w:rPr>
    </w:lvl>
    <w:lvl w:ilvl="6">
      <w:start w:val="1"/>
      <w:numFmt w:val="decimal"/>
      <w:isLgl/>
      <w:lvlText w:val="%1.%2.%3.%4.%5.%6.%7."/>
      <w:lvlJc w:val="left"/>
      <w:pPr>
        <w:ind w:left="1800" w:hanging="1440"/>
      </w:pPr>
      <w:rPr>
        <w:rFonts w:ascii="Book Antiqua" w:hAnsi="Book Antiqua" w:hint="default"/>
        <w:color w:val="auto"/>
        <w:sz w:val="24"/>
      </w:rPr>
    </w:lvl>
    <w:lvl w:ilvl="7">
      <w:start w:val="1"/>
      <w:numFmt w:val="decimal"/>
      <w:isLgl/>
      <w:lvlText w:val="%1.%2.%3.%4.%5.%6.%7.%8."/>
      <w:lvlJc w:val="left"/>
      <w:pPr>
        <w:ind w:left="2160" w:hanging="1800"/>
      </w:pPr>
      <w:rPr>
        <w:rFonts w:ascii="Book Antiqua" w:hAnsi="Book Antiqua" w:hint="default"/>
        <w:color w:val="auto"/>
        <w:sz w:val="24"/>
      </w:rPr>
    </w:lvl>
    <w:lvl w:ilvl="8">
      <w:start w:val="1"/>
      <w:numFmt w:val="decimal"/>
      <w:isLgl/>
      <w:lvlText w:val="%1.%2.%3.%4.%5.%6.%7.%8.%9."/>
      <w:lvlJc w:val="left"/>
      <w:pPr>
        <w:ind w:left="2520" w:hanging="2160"/>
      </w:pPr>
      <w:rPr>
        <w:rFonts w:ascii="Book Antiqua" w:hAnsi="Book Antiqua" w:hint="default"/>
        <w:color w:val="auto"/>
        <w:sz w:val="24"/>
      </w:rPr>
    </w:lvl>
  </w:abstractNum>
  <w:abstractNum w:abstractNumId="27" w15:restartNumberingAfterBreak="0">
    <w:nsid w:val="0FAE38C7"/>
    <w:multiLevelType w:val="hybridMultilevel"/>
    <w:tmpl w:val="DDB4FFA2"/>
    <w:styleLink w:val="WW8Num113"/>
    <w:lvl w:ilvl="0" w:tplc="952C3754">
      <w:start w:val="1"/>
      <w:numFmt w:val="bullet"/>
      <w:lvlText w:val=""/>
      <w:lvlJc w:val="left"/>
      <w:pPr>
        <w:ind w:left="720" w:hanging="360"/>
      </w:pPr>
      <w:rPr>
        <w:rFonts w:ascii="Wingdings" w:hAnsi="Wingdings" w:hint="default"/>
        <w:b/>
        <w:bCs/>
        <w:sz w:val="56"/>
        <w:szCs w:val="56"/>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28" w15:restartNumberingAfterBreak="0">
    <w:nsid w:val="13543A46"/>
    <w:multiLevelType w:val="multilevel"/>
    <w:tmpl w:val="06424E6A"/>
    <w:lvl w:ilvl="0">
      <w:start w:val="6"/>
      <w:numFmt w:val="decimal"/>
      <w:lvlText w:val="%1."/>
      <w:lvlJc w:val="left"/>
      <w:pPr>
        <w:ind w:left="1440" w:hanging="360"/>
      </w:pPr>
      <w:rPr>
        <w:rFonts w:hint="default"/>
      </w:rPr>
    </w:lvl>
    <w:lvl w:ilvl="1">
      <w:start w:val="17"/>
      <w:numFmt w:val="decimal"/>
      <w:isLgl/>
      <w:lvlText w:val="%1.%2"/>
      <w:lvlJc w:val="left"/>
      <w:pPr>
        <w:ind w:left="1643" w:hanging="563"/>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29" w15:restartNumberingAfterBreak="0">
    <w:nsid w:val="19743D6D"/>
    <w:multiLevelType w:val="multilevel"/>
    <w:tmpl w:val="610EEE2A"/>
    <w:lvl w:ilvl="0">
      <w:start w:val="4"/>
      <w:numFmt w:val="decimal"/>
      <w:lvlText w:val="%1."/>
      <w:lvlJc w:val="left"/>
      <w:pPr>
        <w:tabs>
          <w:tab w:val="num" w:pos="720"/>
        </w:tabs>
        <w:ind w:left="720" w:hanging="360"/>
      </w:pPr>
      <w:rPr>
        <w:b/>
        <w:bCs/>
      </w:rPr>
    </w:lvl>
    <w:lvl w:ilvl="1">
      <w:start w:val="20"/>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9E22EC2"/>
    <w:multiLevelType w:val="hybridMultilevel"/>
    <w:tmpl w:val="A694E9F0"/>
    <w:lvl w:ilvl="0" w:tplc="591E25BA">
      <w:start w:val="1"/>
      <w:numFmt w:val="decimal"/>
      <w:pStyle w:val="aab"/>
      <w:lvlText w:val="%1."/>
      <w:lvlJc w:val="left"/>
      <w:pPr>
        <w:ind w:left="2484" w:hanging="360"/>
      </w:pPr>
      <w:rPr>
        <w:rFonts w:hint="default"/>
      </w:rPr>
    </w:lvl>
    <w:lvl w:ilvl="1" w:tplc="140A0019" w:tentative="1">
      <w:start w:val="1"/>
      <w:numFmt w:val="lowerLetter"/>
      <w:lvlText w:val="%2."/>
      <w:lvlJc w:val="left"/>
      <w:pPr>
        <w:ind w:left="3204" w:hanging="360"/>
      </w:pPr>
    </w:lvl>
    <w:lvl w:ilvl="2" w:tplc="140A001B" w:tentative="1">
      <w:start w:val="1"/>
      <w:numFmt w:val="lowerRoman"/>
      <w:lvlText w:val="%3."/>
      <w:lvlJc w:val="right"/>
      <w:pPr>
        <w:ind w:left="3924" w:hanging="180"/>
      </w:pPr>
    </w:lvl>
    <w:lvl w:ilvl="3" w:tplc="140A000F" w:tentative="1">
      <w:start w:val="1"/>
      <w:numFmt w:val="decimal"/>
      <w:lvlText w:val="%4."/>
      <w:lvlJc w:val="left"/>
      <w:pPr>
        <w:ind w:left="4644" w:hanging="360"/>
      </w:pPr>
    </w:lvl>
    <w:lvl w:ilvl="4" w:tplc="140A0019" w:tentative="1">
      <w:start w:val="1"/>
      <w:numFmt w:val="lowerLetter"/>
      <w:lvlText w:val="%5."/>
      <w:lvlJc w:val="left"/>
      <w:pPr>
        <w:ind w:left="5364" w:hanging="360"/>
      </w:pPr>
    </w:lvl>
    <w:lvl w:ilvl="5" w:tplc="140A001B" w:tentative="1">
      <w:start w:val="1"/>
      <w:numFmt w:val="lowerRoman"/>
      <w:lvlText w:val="%6."/>
      <w:lvlJc w:val="right"/>
      <w:pPr>
        <w:ind w:left="6084" w:hanging="180"/>
      </w:pPr>
    </w:lvl>
    <w:lvl w:ilvl="6" w:tplc="140A000F" w:tentative="1">
      <w:start w:val="1"/>
      <w:numFmt w:val="decimal"/>
      <w:lvlText w:val="%7."/>
      <w:lvlJc w:val="left"/>
      <w:pPr>
        <w:ind w:left="6804" w:hanging="360"/>
      </w:pPr>
    </w:lvl>
    <w:lvl w:ilvl="7" w:tplc="140A0019" w:tentative="1">
      <w:start w:val="1"/>
      <w:numFmt w:val="lowerLetter"/>
      <w:lvlText w:val="%8."/>
      <w:lvlJc w:val="left"/>
      <w:pPr>
        <w:ind w:left="7524" w:hanging="360"/>
      </w:pPr>
    </w:lvl>
    <w:lvl w:ilvl="8" w:tplc="140A001B" w:tentative="1">
      <w:start w:val="1"/>
      <w:numFmt w:val="lowerRoman"/>
      <w:lvlText w:val="%9."/>
      <w:lvlJc w:val="right"/>
      <w:pPr>
        <w:ind w:left="8244" w:hanging="180"/>
      </w:pPr>
    </w:lvl>
  </w:abstractNum>
  <w:abstractNum w:abstractNumId="31" w15:restartNumberingAfterBreak="0">
    <w:nsid w:val="1C2E4DEA"/>
    <w:multiLevelType w:val="multilevel"/>
    <w:tmpl w:val="FE0CC064"/>
    <w:lvl w:ilvl="0">
      <w:start w:val="1"/>
      <w:numFmt w:val="decimal"/>
      <w:lvlText w:val="%1."/>
      <w:lvlJc w:val="left"/>
      <w:pPr>
        <w:ind w:left="720" w:hanging="360"/>
      </w:pPr>
      <w:rPr>
        <w:rFonts w:hint="default"/>
        <w:b/>
        <w:bCs/>
      </w:rPr>
    </w:lvl>
    <w:lvl w:ilvl="1">
      <w:start w:val="1"/>
      <w:numFmt w:val="decimal"/>
      <w:lvlText w:val="4.4.%2."/>
      <w:lvlJc w:val="left"/>
      <w:pPr>
        <w:ind w:left="372" w:hanging="372"/>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2" w15:restartNumberingAfterBreak="0">
    <w:nsid w:val="1CC914F7"/>
    <w:multiLevelType w:val="hybridMultilevel"/>
    <w:tmpl w:val="EE1EB162"/>
    <w:styleLink w:val="WW8Num1523"/>
    <w:lvl w:ilvl="0" w:tplc="140A000D">
      <w:start w:val="1"/>
      <w:numFmt w:val="bullet"/>
      <w:lvlText w:val=""/>
      <w:lvlJc w:val="left"/>
      <w:pPr>
        <w:ind w:left="720" w:hanging="360"/>
      </w:pPr>
      <w:rPr>
        <w:rFonts w:ascii="Wingdings" w:hAnsi="Wingdings"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3" w15:restartNumberingAfterBreak="0">
    <w:nsid w:val="1CF234B2"/>
    <w:multiLevelType w:val="hybridMultilevel"/>
    <w:tmpl w:val="37763404"/>
    <w:lvl w:ilvl="0" w:tplc="140A000F">
      <w:start w:val="1"/>
      <w:numFmt w:val="decimal"/>
      <w:lvlText w:val="%1."/>
      <w:lvlJc w:val="left"/>
      <w:pPr>
        <w:ind w:left="720"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4" w15:restartNumberingAfterBreak="0">
    <w:nsid w:val="1D7E343E"/>
    <w:multiLevelType w:val="hybridMultilevel"/>
    <w:tmpl w:val="07907C96"/>
    <w:lvl w:ilvl="0" w:tplc="140A0001">
      <w:start w:val="1"/>
      <w:numFmt w:val="bullet"/>
      <w:lvlText w:val=""/>
      <w:lvlJc w:val="left"/>
      <w:pPr>
        <w:ind w:left="720" w:hanging="360"/>
      </w:pPr>
      <w:rPr>
        <w:rFonts w:ascii="Symbol" w:hAnsi="Symbol" w:hint="default"/>
        <w:sz w:val="24"/>
        <w:szCs w:val="24"/>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5" w15:restartNumberingAfterBreak="0">
    <w:nsid w:val="20E101BD"/>
    <w:multiLevelType w:val="hybridMultilevel"/>
    <w:tmpl w:val="20FE0EC0"/>
    <w:styleLink w:val="WW8Num1121"/>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36" w15:restartNumberingAfterBreak="0">
    <w:nsid w:val="225604B8"/>
    <w:multiLevelType w:val="multilevel"/>
    <w:tmpl w:val="4EE63314"/>
    <w:styleLink w:val="WW8Num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7" w15:restartNumberingAfterBreak="0">
    <w:nsid w:val="246B5B55"/>
    <w:multiLevelType w:val="hybridMultilevel"/>
    <w:tmpl w:val="96747FA4"/>
    <w:name w:val="WW8Num32"/>
    <w:lvl w:ilvl="0" w:tplc="6F4E8134">
      <w:start w:val="1"/>
      <w:numFmt w:val="decimal"/>
      <w:lvlText w:val="%1."/>
      <w:lvlJc w:val="left"/>
      <w:pPr>
        <w:ind w:left="418" w:hanging="360"/>
      </w:pPr>
      <w:rPr>
        <w:rFonts w:hint="default"/>
      </w:rPr>
    </w:lvl>
    <w:lvl w:ilvl="1" w:tplc="0C0A0003" w:tentative="1">
      <w:start w:val="1"/>
      <w:numFmt w:val="lowerLetter"/>
      <w:lvlText w:val="%2."/>
      <w:lvlJc w:val="left"/>
      <w:pPr>
        <w:ind w:left="1138" w:hanging="360"/>
      </w:pPr>
    </w:lvl>
    <w:lvl w:ilvl="2" w:tplc="0C0A0005" w:tentative="1">
      <w:start w:val="1"/>
      <w:numFmt w:val="lowerRoman"/>
      <w:lvlText w:val="%3."/>
      <w:lvlJc w:val="right"/>
      <w:pPr>
        <w:ind w:left="1858" w:hanging="180"/>
      </w:pPr>
    </w:lvl>
    <w:lvl w:ilvl="3" w:tplc="0C0A0001" w:tentative="1">
      <w:start w:val="1"/>
      <w:numFmt w:val="decimal"/>
      <w:lvlText w:val="%4."/>
      <w:lvlJc w:val="left"/>
      <w:pPr>
        <w:ind w:left="2578" w:hanging="360"/>
      </w:pPr>
    </w:lvl>
    <w:lvl w:ilvl="4" w:tplc="0C0A0003" w:tentative="1">
      <w:start w:val="1"/>
      <w:numFmt w:val="lowerLetter"/>
      <w:lvlText w:val="%5."/>
      <w:lvlJc w:val="left"/>
      <w:pPr>
        <w:ind w:left="3298" w:hanging="360"/>
      </w:pPr>
    </w:lvl>
    <w:lvl w:ilvl="5" w:tplc="0C0A0005" w:tentative="1">
      <w:start w:val="1"/>
      <w:numFmt w:val="lowerRoman"/>
      <w:lvlText w:val="%6."/>
      <w:lvlJc w:val="right"/>
      <w:pPr>
        <w:ind w:left="4018" w:hanging="180"/>
      </w:pPr>
    </w:lvl>
    <w:lvl w:ilvl="6" w:tplc="0C0A0001" w:tentative="1">
      <w:start w:val="1"/>
      <w:numFmt w:val="decimal"/>
      <w:lvlText w:val="%7."/>
      <w:lvlJc w:val="left"/>
      <w:pPr>
        <w:ind w:left="4738" w:hanging="360"/>
      </w:pPr>
    </w:lvl>
    <w:lvl w:ilvl="7" w:tplc="0C0A0003" w:tentative="1">
      <w:start w:val="1"/>
      <w:numFmt w:val="lowerLetter"/>
      <w:lvlText w:val="%8."/>
      <w:lvlJc w:val="left"/>
      <w:pPr>
        <w:ind w:left="5458" w:hanging="360"/>
      </w:pPr>
    </w:lvl>
    <w:lvl w:ilvl="8" w:tplc="0C0A0005" w:tentative="1">
      <w:start w:val="1"/>
      <w:numFmt w:val="lowerRoman"/>
      <w:lvlText w:val="%9."/>
      <w:lvlJc w:val="right"/>
      <w:pPr>
        <w:ind w:left="6178" w:hanging="180"/>
      </w:pPr>
    </w:lvl>
  </w:abstractNum>
  <w:abstractNum w:abstractNumId="38" w15:restartNumberingAfterBreak="0">
    <w:nsid w:val="27337BCA"/>
    <w:multiLevelType w:val="hybridMultilevel"/>
    <w:tmpl w:val="7AC673B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9" w15:restartNumberingAfterBreak="0">
    <w:nsid w:val="274A6F61"/>
    <w:multiLevelType w:val="hybridMultilevel"/>
    <w:tmpl w:val="D2D82CBA"/>
    <w:name w:val="WW8Num82"/>
    <w:lvl w:ilvl="0" w:tplc="5D38C7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0" w15:restartNumberingAfterBreak="0">
    <w:nsid w:val="29530C98"/>
    <w:multiLevelType w:val="multilevel"/>
    <w:tmpl w:val="F7788064"/>
    <w:styleLink w:val="WW8Num11211"/>
    <w:lvl w:ilvl="0">
      <w:start w:val="1"/>
      <w:numFmt w:val="decimal"/>
      <w:lvlText w:val="%1."/>
      <w:lvlJc w:val="left"/>
      <w:pPr>
        <w:ind w:left="1080" w:hanging="360"/>
      </w:pPr>
      <w:rPr>
        <w:rFonts w:hint="default"/>
      </w:rPr>
    </w:lvl>
    <w:lvl w:ilvl="1">
      <w:start w:val="1"/>
      <w:numFmt w:val="decimal"/>
      <w:isLgl/>
      <w:lvlText w:val="%1.%2."/>
      <w:lvlJc w:val="left"/>
      <w:pPr>
        <w:ind w:left="1440" w:hanging="720"/>
      </w:pPr>
      <w:rPr>
        <w:rFonts w:cs="Times New Roman" w:hint="default"/>
        <w:sz w:val="24"/>
        <w:szCs w:val="24"/>
      </w:rPr>
    </w:lvl>
    <w:lvl w:ilvl="2">
      <w:start w:val="1"/>
      <w:numFmt w:val="decimal"/>
      <w:isLgl/>
      <w:lvlText w:val="%1.%2.%3."/>
      <w:lvlJc w:val="left"/>
      <w:pPr>
        <w:ind w:left="1440" w:hanging="720"/>
      </w:pPr>
      <w:rPr>
        <w:rFonts w:cs="Times New Roman" w:hint="default"/>
        <w:sz w:val="24"/>
        <w:szCs w:val="24"/>
      </w:rPr>
    </w:lvl>
    <w:lvl w:ilvl="3">
      <w:start w:val="1"/>
      <w:numFmt w:val="decimal"/>
      <w:isLgl/>
      <w:lvlText w:val="%1.%2.%3.%4."/>
      <w:lvlJc w:val="left"/>
      <w:pPr>
        <w:ind w:left="1800" w:hanging="1080"/>
      </w:pPr>
      <w:rPr>
        <w:rFonts w:cs="Times New Roman" w:hint="default"/>
        <w:sz w:val="20"/>
      </w:rPr>
    </w:lvl>
    <w:lvl w:ilvl="4">
      <w:start w:val="1"/>
      <w:numFmt w:val="decimal"/>
      <w:isLgl/>
      <w:lvlText w:val="%1.%2.%3.%4.%5."/>
      <w:lvlJc w:val="left"/>
      <w:pPr>
        <w:ind w:left="1800" w:hanging="1080"/>
      </w:pPr>
      <w:rPr>
        <w:rFonts w:cs="Times New Roman" w:hint="default"/>
        <w:sz w:val="20"/>
      </w:rPr>
    </w:lvl>
    <w:lvl w:ilvl="5">
      <w:start w:val="1"/>
      <w:numFmt w:val="decimal"/>
      <w:isLgl/>
      <w:lvlText w:val="%1.%2.%3.%4.%5.%6."/>
      <w:lvlJc w:val="left"/>
      <w:pPr>
        <w:ind w:left="2160" w:hanging="1440"/>
      </w:pPr>
      <w:rPr>
        <w:rFonts w:cs="Times New Roman" w:hint="default"/>
        <w:sz w:val="20"/>
      </w:rPr>
    </w:lvl>
    <w:lvl w:ilvl="6">
      <w:start w:val="1"/>
      <w:numFmt w:val="decimal"/>
      <w:isLgl/>
      <w:lvlText w:val="%1.%2.%3.%4.%5.%6.%7."/>
      <w:lvlJc w:val="left"/>
      <w:pPr>
        <w:ind w:left="2160" w:hanging="1440"/>
      </w:pPr>
      <w:rPr>
        <w:rFonts w:cs="Times New Roman" w:hint="default"/>
        <w:sz w:val="20"/>
      </w:rPr>
    </w:lvl>
    <w:lvl w:ilvl="7">
      <w:start w:val="1"/>
      <w:numFmt w:val="decimal"/>
      <w:isLgl/>
      <w:lvlText w:val="%1.%2.%3.%4.%5.%6.%7.%8."/>
      <w:lvlJc w:val="left"/>
      <w:pPr>
        <w:ind w:left="2520" w:hanging="1800"/>
      </w:pPr>
      <w:rPr>
        <w:rFonts w:cs="Times New Roman" w:hint="default"/>
        <w:sz w:val="20"/>
      </w:rPr>
    </w:lvl>
    <w:lvl w:ilvl="8">
      <w:start w:val="1"/>
      <w:numFmt w:val="decimal"/>
      <w:isLgl/>
      <w:lvlText w:val="%1.%2.%3.%4.%5.%6.%7.%8.%9."/>
      <w:lvlJc w:val="left"/>
      <w:pPr>
        <w:ind w:left="2880" w:hanging="2160"/>
      </w:pPr>
      <w:rPr>
        <w:rFonts w:cs="Times New Roman" w:hint="default"/>
        <w:sz w:val="20"/>
      </w:rPr>
    </w:lvl>
  </w:abstractNum>
  <w:abstractNum w:abstractNumId="41" w15:restartNumberingAfterBreak="0">
    <w:nsid w:val="29D5121A"/>
    <w:multiLevelType w:val="hybridMultilevel"/>
    <w:tmpl w:val="0CC8CE1E"/>
    <w:lvl w:ilvl="0" w:tplc="114C04DC">
      <w:start w:val="1"/>
      <w:numFmt w:val="decimal"/>
      <w:lvlText w:val="19.%1."/>
      <w:lvlJc w:val="left"/>
      <w:pPr>
        <w:ind w:left="720" w:hanging="360"/>
      </w:pPr>
      <w:rPr>
        <w:rFonts w:hint="default"/>
        <w:b/>
        <w:bCs/>
        <w:color w:val="auto"/>
        <w:sz w:val="24"/>
        <w:szCs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2B220060"/>
    <w:multiLevelType w:val="hybridMultilevel"/>
    <w:tmpl w:val="C812F8C8"/>
    <w:styleLink w:val="WW8Num15232"/>
    <w:lvl w:ilvl="0" w:tplc="140A000B">
      <w:start w:val="1"/>
      <w:numFmt w:val="bullet"/>
      <w:lvlText w:val=""/>
      <w:lvlJc w:val="left"/>
      <w:pPr>
        <w:ind w:left="720" w:hanging="360"/>
      </w:pPr>
      <w:rPr>
        <w:rFonts w:ascii="Wingdings" w:hAnsi="Wingdings" w:cs="Wingdings"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2B5C34FE"/>
    <w:multiLevelType w:val="hybridMultilevel"/>
    <w:tmpl w:val="D422C154"/>
    <w:styleLink w:val="Sinlista14"/>
    <w:lvl w:ilvl="0" w:tplc="62143534">
      <w:start w:val="1"/>
      <w:numFmt w:val="decimal"/>
      <w:pStyle w:val="AgestinN"/>
      <w:lvlText w:val="%1."/>
      <w:lvlJc w:val="left"/>
      <w:pPr>
        <w:ind w:left="720" w:hanging="360"/>
      </w:pPr>
    </w:lvl>
    <w:lvl w:ilvl="1" w:tplc="0C0A0019">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2EE8416C"/>
    <w:multiLevelType w:val="hybridMultilevel"/>
    <w:tmpl w:val="94CE43DA"/>
    <w:lvl w:ilvl="0" w:tplc="140A0001">
      <w:start w:val="1"/>
      <w:numFmt w:val="bullet"/>
      <w:lvlText w:val=""/>
      <w:lvlJc w:val="left"/>
      <w:pPr>
        <w:ind w:left="927" w:hanging="360"/>
      </w:pPr>
      <w:rPr>
        <w:rFonts w:ascii="Symbol" w:hAnsi="Symbol" w:hint="default"/>
      </w:rPr>
    </w:lvl>
    <w:lvl w:ilvl="1" w:tplc="140A0003" w:tentative="1">
      <w:start w:val="1"/>
      <w:numFmt w:val="bullet"/>
      <w:lvlText w:val="o"/>
      <w:lvlJc w:val="left"/>
      <w:pPr>
        <w:ind w:left="1647" w:hanging="360"/>
      </w:pPr>
      <w:rPr>
        <w:rFonts w:ascii="Courier New" w:hAnsi="Courier New" w:cs="Courier New" w:hint="default"/>
      </w:rPr>
    </w:lvl>
    <w:lvl w:ilvl="2" w:tplc="140A0005" w:tentative="1">
      <w:start w:val="1"/>
      <w:numFmt w:val="bullet"/>
      <w:lvlText w:val=""/>
      <w:lvlJc w:val="left"/>
      <w:pPr>
        <w:ind w:left="2367" w:hanging="360"/>
      </w:pPr>
      <w:rPr>
        <w:rFonts w:ascii="Wingdings" w:hAnsi="Wingdings" w:hint="default"/>
      </w:rPr>
    </w:lvl>
    <w:lvl w:ilvl="3" w:tplc="140A0001" w:tentative="1">
      <w:start w:val="1"/>
      <w:numFmt w:val="bullet"/>
      <w:lvlText w:val=""/>
      <w:lvlJc w:val="left"/>
      <w:pPr>
        <w:ind w:left="3087" w:hanging="360"/>
      </w:pPr>
      <w:rPr>
        <w:rFonts w:ascii="Symbol" w:hAnsi="Symbol" w:hint="default"/>
      </w:rPr>
    </w:lvl>
    <w:lvl w:ilvl="4" w:tplc="140A0003" w:tentative="1">
      <w:start w:val="1"/>
      <w:numFmt w:val="bullet"/>
      <w:lvlText w:val="o"/>
      <w:lvlJc w:val="left"/>
      <w:pPr>
        <w:ind w:left="3807" w:hanging="360"/>
      </w:pPr>
      <w:rPr>
        <w:rFonts w:ascii="Courier New" w:hAnsi="Courier New" w:cs="Courier New" w:hint="default"/>
      </w:rPr>
    </w:lvl>
    <w:lvl w:ilvl="5" w:tplc="140A0005" w:tentative="1">
      <w:start w:val="1"/>
      <w:numFmt w:val="bullet"/>
      <w:lvlText w:val=""/>
      <w:lvlJc w:val="left"/>
      <w:pPr>
        <w:ind w:left="4527" w:hanging="360"/>
      </w:pPr>
      <w:rPr>
        <w:rFonts w:ascii="Wingdings" w:hAnsi="Wingdings" w:hint="default"/>
      </w:rPr>
    </w:lvl>
    <w:lvl w:ilvl="6" w:tplc="140A0001" w:tentative="1">
      <w:start w:val="1"/>
      <w:numFmt w:val="bullet"/>
      <w:lvlText w:val=""/>
      <w:lvlJc w:val="left"/>
      <w:pPr>
        <w:ind w:left="5247" w:hanging="360"/>
      </w:pPr>
      <w:rPr>
        <w:rFonts w:ascii="Symbol" w:hAnsi="Symbol" w:hint="default"/>
      </w:rPr>
    </w:lvl>
    <w:lvl w:ilvl="7" w:tplc="140A0003" w:tentative="1">
      <w:start w:val="1"/>
      <w:numFmt w:val="bullet"/>
      <w:lvlText w:val="o"/>
      <w:lvlJc w:val="left"/>
      <w:pPr>
        <w:ind w:left="5967" w:hanging="360"/>
      </w:pPr>
      <w:rPr>
        <w:rFonts w:ascii="Courier New" w:hAnsi="Courier New" w:cs="Courier New" w:hint="default"/>
      </w:rPr>
    </w:lvl>
    <w:lvl w:ilvl="8" w:tplc="140A0005" w:tentative="1">
      <w:start w:val="1"/>
      <w:numFmt w:val="bullet"/>
      <w:lvlText w:val=""/>
      <w:lvlJc w:val="left"/>
      <w:pPr>
        <w:ind w:left="6687" w:hanging="360"/>
      </w:pPr>
      <w:rPr>
        <w:rFonts w:ascii="Wingdings" w:hAnsi="Wingdings" w:hint="default"/>
      </w:rPr>
    </w:lvl>
  </w:abstractNum>
  <w:abstractNum w:abstractNumId="45" w15:restartNumberingAfterBreak="0">
    <w:nsid w:val="2F18609D"/>
    <w:multiLevelType w:val="hybridMultilevel"/>
    <w:tmpl w:val="D6EEF2EE"/>
    <w:lvl w:ilvl="0" w:tplc="57EC86BE">
      <w:start w:val="1"/>
      <w:numFmt w:val="decimal"/>
      <w:lvlText w:val="19.%1."/>
      <w:lvlJc w:val="left"/>
      <w:pPr>
        <w:ind w:left="720" w:hanging="360"/>
      </w:pPr>
      <w:rPr>
        <w:rFonts w:hint="default"/>
        <w:b/>
        <w:bCs/>
        <w:sz w:val="24"/>
        <w:szCs w:val="24"/>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6" w15:restartNumberingAfterBreak="0">
    <w:nsid w:val="314C6863"/>
    <w:multiLevelType w:val="hybridMultilevel"/>
    <w:tmpl w:val="5EB83F48"/>
    <w:styleLink w:val="WW8Num33"/>
    <w:lvl w:ilvl="0" w:tplc="124EB510">
      <w:start w:val="1"/>
      <w:numFmt w:val="upperRoman"/>
      <w:pStyle w:val="Bgesnromano"/>
      <w:lvlText w:val="%1."/>
      <w:lvlJc w:val="left"/>
      <w:pPr>
        <w:ind w:left="780" w:hanging="720"/>
      </w:pPr>
      <w:rPr>
        <w:rFonts w:hint="default"/>
      </w:rPr>
    </w:lvl>
    <w:lvl w:ilvl="1" w:tplc="0C0A0019">
      <w:start w:val="1"/>
      <w:numFmt w:val="lowerLetter"/>
      <w:lvlText w:val="%2."/>
      <w:lvlJc w:val="left"/>
      <w:pPr>
        <w:ind w:left="1140" w:hanging="360"/>
      </w:pPr>
    </w:lvl>
    <w:lvl w:ilvl="2" w:tplc="0C0A001B">
      <w:start w:val="1"/>
      <w:numFmt w:val="lowerRoman"/>
      <w:lvlText w:val="%3."/>
      <w:lvlJc w:val="right"/>
      <w:pPr>
        <w:ind w:left="1860" w:hanging="180"/>
      </w:pPr>
    </w:lvl>
    <w:lvl w:ilvl="3" w:tplc="0C0A000F" w:tentative="1">
      <w:start w:val="1"/>
      <w:numFmt w:val="decimal"/>
      <w:lvlText w:val="%4."/>
      <w:lvlJc w:val="left"/>
      <w:pPr>
        <w:ind w:left="2580" w:hanging="360"/>
      </w:pPr>
    </w:lvl>
    <w:lvl w:ilvl="4" w:tplc="0C0A0019" w:tentative="1">
      <w:start w:val="1"/>
      <w:numFmt w:val="lowerLetter"/>
      <w:lvlText w:val="%5."/>
      <w:lvlJc w:val="left"/>
      <w:pPr>
        <w:ind w:left="3300" w:hanging="360"/>
      </w:pPr>
    </w:lvl>
    <w:lvl w:ilvl="5" w:tplc="0C0A001B" w:tentative="1">
      <w:start w:val="1"/>
      <w:numFmt w:val="lowerRoman"/>
      <w:lvlText w:val="%6."/>
      <w:lvlJc w:val="right"/>
      <w:pPr>
        <w:ind w:left="4020" w:hanging="180"/>
      </w:pPr>
    </w:lvl>
    <w:lvl w:ilvl="6" w:tplc="0C0A000F" w:tentative="1">
      <w:start w:val="1"/>
      <w:numFmt w:val="decimal"/>
      <w:lvlText w:val="%7."/>
      <w:lvlJc w:val="left"/>
      <w:pPr>
        <w:ind w:left="4740" w:hanging="360"/>
      </w:pPr>
    </w:lvl>
    <w:lvl w:ilvl="7" w:tplc="0C0A0019" w:tentative="1">
      <w:start w:val="1"/>
      <w:numFmt w:val="lowerLetter"/>
      <w:lvlText w:val="%8."/>
      <w:lvlJc w:val="left"/>
      <w:pPr>
        <w:ind w:left="5460" w:hanging="360"/>
      </w:pPr>
    </w:lvl>
    <w:lvl w:ilvl="8" w:tplc="0C0A001B" w:tentative="1">
      <w:start w:val="1"/>
      <w:numFmt w:val="lowerRoman"/>
      <w:lvlText w:val="%9."/>
      <w:lvlJc w:val="right"/>
      <w:pPr>
        <w:ind w:left="6180" w:hanging="180"/>
      </w:pPr>
    </w:lvl>
  </w:abstractNum>
  <w:abstractNum w:abstractNumId="47" w15:restartNumberingAfterBreak="0">
    <w:nsid w:val="32AD5911"/>
    <w:multiLevelType w:val="hybridMultilevel"/>
    <w:tmpl w:val="845EADA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335C127A"/>
    <w:multiLevelType w:val="multilevel"/>
    <w:tmpl w:val="0D12B812"/>
    <w:styleLink w:val="WW8Num3"/>
    <w:lvl w:ilvl="0">
      <w:start w:val="1"/>
      <w:numFmt w:val="decimal"/>
      <w:lvlText w:val="%1."/>
      <w:lvlJc w:val="left"/>
      <w:pPr>
        <w:ind w:left="720" w:hanging="360"/>
      </w:pPr>
      <w:rPr>
        <w:sz w:val="24"/>
        <w:szCs w:val="24"/>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49" w15:restartNumberingAfterBreak="0">
    <w:nsid w:val="35105591"/>
    <w:multiLevelType w:val="hybridMultilevel"/>
    <w:tmpl w:val="8738179A"/>
    <w:lvl w:ilvl="0" w:tplc="DEE49266">
      <w:start w:val="1"/>
      <w:numFmt w:val="lowerLetter"/>
      <w:pStyle w:val="Esa"/>
      <w:lvlText w:val="%1)"/>
      <w:lvlJc w:val="left"/>
      <w:pPr>
        <w:ind w:left="2061" w:hanging="360"/>
      </w:pPr>
    </w:lvl>
    <w:lvl w:ilvl="1" w:tplc="140A0019" w:tentative="1">
      <w:start w:val="1"/>
      <w:numFmt w:val="lowerLetter"/>
      <w:lvlText w:val="%2."/>
      <w:lvlJc w:val="left"/>
      <w:pPr>
        <w:ind w:left="3000" w:hanging="360"/>
      </w:pPr>
    </w:lvl>
    <w:lvl w:ilvl="2" w:tplc="140A001B" w:tentative="1">
      <w:start w:val="1"/>
      <w:numFmt w:val="lowerRoman"/>
      <w:lvlText w:val="%3."/>
      <w:lvlJc w:val="right"/>
      <w:pPr>
        <w:ind w:left="3720" w:hanging="180"/>
      </w:pPr>
    </w:lvl>
    <w:lvl w:ilvl="3" w:tplc="140A000F" w:tentative="1">
      <w:start w:val="1"/>
      <w:numFmt w:val="decimal"/>
      <w:lvlText w:val="%4."/>
      <w:lvlJc w:val="left"/>
      <w:pPr>
        <w:ind w:left="4440" w:hanging="360"/>
      </w:pPr>
    </w:lvl>
    <w:lvl w:ilvl="4" w:tplc="140A0019" w:tentative="1">
      <w:start w:val="1"/>
      <w:numFmt w:val="lowerLetter"/>
      <w:lvlText w:val="%5."/>
      <w:lvlJc w:val="left"/>
      <w:pPr>
        <w:ind w:left="5160" w:hanging="360"/>
      </w:pPr>
    </w:lvl>
    <w:lvl w:ilvl="5" w:tplc="140A001B" w:tentative="1">
      <w:start w:val="1"/>
      <w:numFmt w:val="lowerRoman"/>
      <w:lvlText w:val="%6."/>
      <w:lvlJc w:val="right"/>
      <w:pPr>
        <w:ind w:left="5880" w:hanging="180"/>
      </w:pPr>
    </w:lvl>
    <w:lvl w:ilvl="6" w:tplc="140A000F" w:tentative="1">
      <w:start w:val="1"/>
      <w:numFmt w:val="decimal"/>
      <w:lvlText w:val="%7."/>
      <w:lvlJc w:val="left"/>
      <w:pPr>
        <w:ind w:left="6600" w:hanging="360"/>
      </w:pPr>
    </w:lvl>
    <w:lvl w:ilvl="7" w:tplc="140A0019" w:tentative="1">
      <w:start w:val="1"/>
      <w:numFmt w:val="lowerLetter"/>
      <w:lvlText w:val="%8."/>
      <w:lvlJc w:val="left"/>
      <w:pPr>
        <w:ind w:left="7320" w:hanging="360"/>
      </w:pPr>
    </w:lvl>
    <w:lvl w:ilvl="8" w:tplc="140A001B" w:tentative="1">
      <w:start w:val="1"/>
      <w:numFmt w:val="lowerRoman"/>
      <w:lvlText w:val="%9."/>
      <w:lvlJc w:val="right"/>
      <w:pPr>
        <w:ind w:left="8040" w:hanging="180"/>
      </w:pPr>
    </w:lvl>
  </w:abstractNum>
  <w:abstractNum w:abstractNumId="50" w15:restartNumberingAfterBreak="0">
    <w:nsid w:val="3A0A5955"/>
    <w:multiLevelType w:val="hybridMultilevel"/>
    <w:tmpl w:val="B20E4FAC"/>
    <w:styleLink w:val="WW8Num112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3B5A2970"/>
    <w:multiLevelType w:val="multilevel"/>
    <w:tmpl w:val="D4647CD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D077CCF"/>
    <w:multiLevelType w:val="hybridMultilevel"/>
    <w:tmpl w:val="83F4965A"/>
    <w:styleLink w:val="WW8Num152311"/>
    <w:lvl w:ilvl="0" w:tplc="FFFFFFFF">
      <w:start w:val="1"/>
      <w:numFmt w:val="bullet"/>
      <w:pStyle w:val="ww-tablecontents12345678910111213"/>
      <w:lvlText w:val=""/>
      <w:lvlJc w:val="left"/>
      <w:pPr>
        <w:tabs>
          <w:tab w:val="num" w:pos="720"/>
        </w:tabs>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3D64739A"/>
    <w:multiLevelType w:val="hybridMultilevel"/>
    <w:tmpl w:val="CF20850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4" w15:restartNumberingAfterBreak="0">
    <w:nsid w:val="3F3A49A9"/>
    <w:multiLevelType w:val="hybridMultilevel"/>
    <w:tmpl w:val="111A5B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5" w15:restartNumberingAfterBreak="0">
    <w:nsid w:val="404C55D3"/>
    <w:multiLevelType w:val="hybridMultilevel"/>
    <w:tmpl w:val="0D802FBC"/>
    <w:lvl w:ilvl="0" w:tplc="D5A0E86C">
      <w:start w:val="1"/>
      <w:numFmt w:val="decimal"/>
      <w:lvlText w:val="18.%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56" w15:restartNumberingAfterBreak="0">
    <w:nsid w:val="40703A01"/>
    <w:multiLevelType w:val="hybridMultilevel"/>
    <w:tmpl w:val="1FE2A87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7" w15:restartNumberingAfterBreak="0">
    <w:nsid w:val="41C6175F"/>
    <w:multiLevelType w:val="multilevel"/>
    <w:tmpl w:val="9958634E"/>
    <w:lvl w:ilvl="0">
      <w:start w:val="2"/>
      <w:numFmt w:val="decimal"/>
      <w:lvlText w:val="%1."/>
      <w:lvlJc w:val="left"/>
      <w:pPr>
        <w:ind w:left="1440" w:hanging="360"/>
      </w:pPr>
      <w:rPr>
        <w:rFonts w:hint="default"/>
      </w:rPr>
    </w:lvl>
    <w:lvl w:ilvl="1">
      <w:start w:val="17"/>
      <w:numFmt w:val="decimal"/>
      <w:isLgl/>
      <w:lvlText w:val="%1.%2"/>
      <w:lvlJc w:val="left"/>
      <w:pPr>
        <w:ind w:left="1643" w:hanging="563"/>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2880" w:hanging="1800"/>
      </w:pPr>
      <w:rPr>
        <w:rFonts w:hint="default"/>
      </w:rPr>
    </w:lvl>
  </w:abstractNum>
  <w:abstractNum w:abstractNumId="58" w15:restartNumberingAfterBreak="0">
    <w:nsid w:val="435E2C12"/>
    <w:multiLevelType w:val="hybridMultilevel"/>
    <w:tmpl w:val="C374AF94"/>
    <w:styleLink w:val="WW8Num252311"/>
    <w:lvl w:ilvl="0" w:tplc="1584BDF2">
      <w:start w:val="1"/>
      <w:numFmt w:val="lowerLetter"/>
      <w:pStyle w:val="ListBulletBold"/>
      <w:lvlText w:val="%1."/>
      <w:lvlJc w:val="left"/>
      <w:pPr>
        <w:tabs>
          <w:tab w:val="num" w:pos="720"/>
        </w:tabs>
        <w:ind w:left="720" w:hanging="360"/>
      </w:pPr>
      <w:rPr>
        <w:rFonts w:ascii="Times-Roman" w:hAnsi="Times-Roman" w:cs="Times-Roman" w:hint="default"/>
        <w:b w:val="0"/>
      </w:rPr>
    </w:lvl>
    <w:lvl w:ilvl="1" w:tplc="53566D52">
      <w:start w:val="9"/>
      <w:numFmt w:val="bullet"/>
      <w:pStyle w:val="heading2"/>
      <w:lvlText w:val="-"/>
      <w:lvlJc w:val="left"/>
      <w:pPr>
        <w:tabs>
          <w:tab w:val="num" w:pos="1440"/>
        </w:tabs>
        <w:ind w:left="1440" w:hanging="360"/>
      </w:pPr>
      <w:rPr>
        <w:rFonts w:ascii="Times New Roman" w:eastAsia="Times New Roman" w:hAnsi="Times New Roman" w:cs="Times New Roman"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59" w15:restartNumberingAfterBreak="0">
    <w:nsid w:val="43B533E2"/>
    <w:multiLevelType w:val="singleLevel"/>
    <w:tmpl w:val="9F6A5670"/>
    <w:lvl w:ilvl="0">
      <w:start w:val="1"/>
      <w:numFmt w:val="bullet"/>
      <w:pStyle w:val="Continuarlista"/>
      <w:lvlText w:val=""/>
      <w:lvlJc w:val="left"/>
      <w:pPr>
        <w:tabs>
          <w:tab w:val="num" w:pos="717"/>
        </w:tabs>
        <w:ind w:left="714" w:hanging="357"/>
      </w:pPr>
      <w:rPr>
        <w:rFonts w:ascii="Wingdings" w:hAnsi="Wingdings" w:cs="Wingdings" w:hint="default"/>
      </w:rPr>
    </w:lvl>
  </w:abstractNum>
  <w:abstractNum w:abstractNumId="60" w15:restartNumberingAfterBreak="0">
    <w:nsid w:val="45616C9D"/>
    <w:multiLevelType w:val="hybridMultilevel"/>
    <w:tmpl w:val="7E5E8060"/>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61" w15:restartNumberingAfterBreak="0">
    <w:nsid w:val="45C7306E"/>
    <w:multiLevelType w:val="multilevel"/>
    <w:tmpl w:val="44525E6C"/>
    <w:styleLink w:val="WW8Num21"/>
    <w:lvl w:ilvl="0">
      <w:start w:val="1"/>
      <w:numFmt w:val="none"/>
      <w:suff w:val="nothing"/>
      <w:lvlText w:val="%1"/>
      <w:lvlJc w:val="left"/>
      <w:pPr>
        <w:ind w:left="432" w:hanging="432"/>
      </w:pPr>
      <w:rPr>
        <w:rFonts w:eastAsia="Arial Unicode MS" w:cs="Times New Roman"/>
        <w:iCs/>
        <w:kern w:val="3"/>
        <w:sz w:val="24"/>
        <w:szCs w:val="24"/>
        <w:lang w:val="es-ES" w:eastAsia="es-CR"/>
      </w:rPr>
    </w:lvl>
    <w:lvl w:ilvl="1">
      <w:start w:val="1"/>
      <w:numFmt w:val="none"/>
      <w:suff w:val="nothing"/>
      <w:lvlText w:val="%2"/>
      <w:lvlJc w:val="left"/>
      <w:pPr>
        <w:ind w:left="576" w:hanging="576"/>
      </w:pPr>
      <w:rPr>
        <w:rFonts w:eastAsia="Arial Unicode MS" w:cs="Times New Roman"/>
        <w:iCs/>
        <w:kern w:val="3"/>
        <w:sz w:val="24"/>
        <w:szCs w:val="24"/>
        <w:lang w:val="es-ES" w:eastAsia="es-CR"/>
      </w:rPr>
    </w:lvl>
    <w:lvl w:ilvl="2">
      <w:start w:val="1"/>
      <w:numFmt w:val="none"/>
      <w:suff w:val="nothing"/>
      <w:lvlText w:val="%3"/>
      <w:lvlJc w:val="left"/>
      <w:pPr>
        <w:ind w:left="720" w:hanging="720"/>
      </w:pPr>
      <w:rPr>
        <w:rFonts w:eastAsia="Arial Unicode MS" w:cs="Times New Roman"/>
        <w:iCs/>
        <w:kern w:val="3"/>
        <w:sz w:val="24"/>
        <w:szCs w:val="24"/>
        <w:lang w:val="es-ES" w:eastAsia="es-CR"/>
      </w:rPr>
    </w:lvl>
    <w:lvl w:ilvl="3">
      <w:start w:val="1"/>
      <w:numFmt w:val="none"/>
      <w:suff w:val="nothing"/>
      <w:lvlText w:val="%4"/>
      <w:lvlJc w:val="left"/>
      <w:pPr>
        <w:ind w:left="864" w:hanging="864"/>
      </w:pPr>
      <w:rPr>
        <w:rFonts w:eastAsia="Arial Unicode MS" w:cs="Times New Roman"/>
        <w:iCs/>
        <w:kern w:val="3"/>
        <w:sz w:val="24"/>
        <w:szCs w:val="24"/>
        <w:lang w:val="es-ES" w:eastAsia="es-CR"/>
      </w:rPr>
    </w:lvl>
    <w:lvl w:ilvl="4">
      <w:start w:val="1"/>
      <w:numFmt w:val="none"/>
      <w:suff w:val="nothing"/>
      <w:lvlText w:val="%5"/>
      <w:lvlJc w:val="left"/>
      <w:pPr>
        <w:ind w:left="1008" w:hanging="1008"/>
      </w:pPr>
      <w:rPr>
        <w:rFonts w:eastAsia="Arial Unicode MS" w:cs="Times New Roman"/>
        <w:iCs/>
        <w:kern w:val="3"/>
        <w:sz w:val="24"/>
        <w:szCs w:val="24"/>
        <w:lang w:val="es-ES" w:eastAsia="es-CR"/>
      </w:rPr>
    </w:lvl>
    <w:lvl w:ilvl="5">
      <w:start w:val="1"/>
      <w:numFmt w:val="none"/>
      <w:suff w:val="nothing"/>
      <w:lvlText w:val="%6"/>
      <w:lvlJc w:val="left"/>
      <w:pPr>
        <w:ind w:left="1152" w:hanging="1152"/>
      </w:pPr>
      <w:rPr>
        <w:rFonts w:eastAsia="Arial Unicode MS" w:cs="Times New Roman"/>
        <w:iCs/>
        <w:kern w:val="3"/>
        <w:sz w:val="24"/>
        <w:szCs w:val="24"/>
        <w:lang w:val="es-ES" w:eastAsia="es-CR"/>
      </w:rPr>
    </w:lvl>
    <w:lvl w:ilvl="6">
      <w:start w:val="1"/>
      <w:numFmt w:val="none"/>
      <w:suff w:val="nothing"/>
      <w:lvlText w:val="%7"/>
      <w:lvlJc w:val="left"/>
      <w:pPr>
        <w:ind w:left="1296" w:hanging="1296"/>
      </w:pPr>
      <w:rPr>
        <w:rFonts w:eastAsia="Arial Unicode MS" w:cs="Times New Roman"/>
        <w:iCs/>
        <w:kern w:val="3"/>
        <w:sz w:val="24"/>
        <w:szCs w:val="24"/>
        <w:lang w:val="es-ES" w:eastAsia="es-CR"/>
      </w:rPr>
    </w:lvl>
    <w:lvl w:ilvl="7">
      <w:start w:val="1"/>
      <w:numFmt w:val="none"/>
      <w:suff w:val="nothing"/>
      <w:lvlText w:val="%8"/>
      <w:lvlJc w:val="left"/>
      <w:pPr>
        <w:ind w:left="1440" w:hanging="1440"/>
      </w:pPr>
      <w:rPr>
        <w:rFonts w:eastAsia="Arial Unicode MS" w:cs="Times New Roman"/>
        <w:iCs/>
        <w:kern w:val="3"/>
        <w:sz w:val="24"/>
        <w:szCs w:val="24"/>
        <w:lang w:val="es-ES" w:eastAsia="es-CR"/>
      </w:rPr>
    </w:lvl>
    <w:lvl w:ilvl="8">
      <w:start w:val="1"/>
      <w:numFmt w:val="none"/>
      <w:suff w:val="nothing"/>
      <w:lvlText w:val="%9"/>
      <w:lvlJc w:val="left"/>
      <w:pPr>
        <w:ind w:left="1584" w:hanging="1584"/>
      </w:pPr>
      <w:rPr>
        <w:rFonts w:eastAsia="Arial Unicode MS" w:cs="Times New Roman"/>
        <w:iCs/>
        <w:kern w:val="3"/>
        <w:sz w:val="24"/>
        <w:szCs w:val="24"/>
        <w:lang w:val="es-ES" w:eastAsia="es-CR"/>
      </w:rPr>
    </w:lvl>
  </w:abstractNum>
  <w:abstractNum w:abstractNumId="62" w15:restartNumberingAfterBreak="0">
    <w:nsid w:val="47DD1A67"/>
    <w:multiLevelType w:val="hybridMultilevel"/>
    <w:tmpl w:val="6D442166"/>
    <w:styleLink w:val="WW8Num11112"/>
    <w:lvl w:ilvl="0" w:tplc="BD9CBB52">
      <w:start w:val="1"/>
      <w:numFmt w:val="bullet"/>
      <w:pStyle w:val="Agestinvieta"/>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63" w15:restartNumberingAfterBreak="0">
    <w:nsid w:val="48163EF0"/>
    <w:multiLevelType w:val="hybridMultilevel"/>
    <w:tmpl w:val="812854D0"/>
    <w:lvl w:ilvl="0" w:tplc="42E828AC">
      <w:start w:val="1"/>
      <w:numFmt w:val="bullet"/>
      <w:lvlText w:val=""/>
      <w:lvlJc w:val="left"/>
      <w:pPr>
        <w:ind w:left="720" w:hanging="360"/>
      </w:pPr>
      <w:rPr>
        <w:rFonts w:ascii="Symbol" w:hAnsi="Symbol" w:hint="default"/>
        <w:color w:val="auto"/>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4" w15:restartNumberingAfterBreak="0">
    <w:nsid w:val="492022F7"/>
    <w:multiLevelType w:val="hybridMultilevel"/>
    <w:tmpl w:val="E214A86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5" w15:restartNumberingAfterBreak="0">
    <w:nsid w:val="49C84421"/>
    <w:multiLevelType w:val="hybridMultilevel"/>
    <w:tmpl w:val="4EBA87CE"/>
    <w:styleLink w:val="WW8Num11311"/>
    <w:lvl w:ilvl="0" w:tplc="140A0017">
      <w:start w:val="1"/>
      <w:numFmt w:val="lowerLetter"/>
      <w:lvlText w:val="%1)"/>
      <w:lvlJc w:val="left"/>
      <w:pPr>
        <w:ind w:left="1494" w:hanging="360"/>
      </w:pPr>
      <w:rPr>
        <w:rFonts w:hint="default"/>
      </w:rPr>
    </w:lvl>
    <w:lvl w:ilvl="1" w:tplc="140A0019" w:tentative="1">
      <w:start w:val="1"/>
      <w:numFmt w:val="lowerLetter"/>
      <w:lvlText w:val="%2."/>
      <w:lvlJc w:val="left"/>
      <w:pPr>
        <w:ind w:left="2214" w:hanging="360"/>
      </w:pPr>
    </w:lvl>
    <w:lvl w:ilvl="2" w:tplc="140A001B" w:tentative="1">
      <w:start w:val="1"/>
      <w:numFmt w:val="lowerRoman"/>
      <w:lvlText w:val="%3."/>
      <w:lvlJc w:val="right"/>
      <w:pPr>
        <w:ind w:left="2934" w:hanging="180"/>
      </w:pPr>
    </w:lvl>
    <w:lvl w:ilvl="3" w:tplc="140A000F" w:tentative="1">
      <w:start w:val="1"/>
      <w:numFmt w:val="decimal"/>
      <w:lvlText w:val="%4."/>
      <w:lvlJc w:val="left"/>
      <w:pPr>
        <w:ind w:left="3654" w:hanging="360"/>
      </w:pPr>
    </w:lvl>
    <w:lvl w:ilvl="4" w:tplc="140A0019" w:tentative="1">
      <w:start w:val="1"/>
      <w:numFmt w:val="lowerLetter"/>
      <w:lvlText w:val="%5."/>
      <w:lvlJc w:val="left"/>
      <w:pPr>
        <w:ind w:left="4374" w:hanging="360"/>
      </w:pPr>
    </w:lvl>
    <w:lvl w:ilvl="5" w:tplc="140A001B" w:tentative="1">
      <w:start w:val="1"/>
      <w:numFmt w:val="lowerRoman"/>
      <w:lvlText w:val="%6."/>
      <w:lvlJc w:val="right"/>
      <w:pPr>
        <w:ind w:left="5094" w:hanging="180"/>
      </w:pPr>
    </w:lvl>
    <w:lvl w:ilvl="6" w:tplc="140A000F" w:tentative="1">
      <w:start w:val="1"/>
      <w:numFmt w:val="decimal"/>
      <w:lvlText w:val="%7."/>
      <w:lvlJc w:val="left"/>
      <w:pPr>
        <w:ind w:left="5814" w:hanging="360"/>
      </w:pPr>
    </w:lvl>
    <w:lvl w:ilvl="7" w:tplc="140A0019" w:tentative="1">
      <w:start w:val="1"/>
      <w:numFmt w:val="lowerLetter"/>
      <w:lvlText w:val="%8."/>
      <w:lvlJc w:val="left"/>
      <w:pPr>
        <w:ind w:left="6534" w:hanging="360"/>
      </w:pPr>
    </w:lvl>
    <w:lvl w:ilvl="8" w:tplc="140A001B" w:tentative="1">
      <w:start w:val="1"/>
      <w:numFmt w:val="lowerRoman"/>
      <w:lvlText w:val="%9."/>
      <w:lvlJc w:val="right"/>
      <w:pPr>
        <w:ind w:left="7254" w:hanging="180"/>
      </w:pPr>
    </w:lvl>
  </w:abstractNum>
  <w:abstractNum w:abstractNumId="66" w15:restartNumberingAfterBreak="0">
    <w:nsid w:val="4A6F3ADB"/>
    <w:multiLevelType w:val="hybridMultilevel"/>
    <w:tmpl w:val="2A3830B6"/>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7" w15:restartNumberingAfterBreak="0">
    <w:nsid w:val="4AAA1B42"/>
    <w:multiLevelType w:val="multilevel"/>
    <w:tmpl w:val="E146E6EE"/>
    <w:styleLink w:val="WWNum1"/>
    <w:lvl w:ilvl="0">
      <w:start w:val="1"/>
      <w:numFmt w:val="decimal"/>
      <w:lvlText w:val="%1)"/>
      <w:lvlJc w:val="left"/>
      <w:pPr>
        <w:ind w:left="360" w:hanging="360"/>
      </w:pPr>
      <w:rPr>
        <w:b/>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8" w15:restartNumberingAfterBreak="0">
    <w:nsid w:val="4F512EC2"/>
    <w:multiLevelType w:val="hybridMultilevel"/>
    <w:tmpl w:val="056C69C2"/>
    <w:styleLink w:val="1111111111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9" w15:restartNumberingAfterBreak="0">
    <w:nsid w:val="50B27C7F"/>
    <w:multiLevelType w:val="hybridMultilevel"/>
    <w:tmpl w:val="D3D42910"/>
    <w:name w:val="List1339519059_1"/>
    <w:styleLink w:val="WW8Num25232"/>
    <w:lvl w:ilvl="0" w:tplc="96409220">
      <w:start w:val="11"/>
      <w:numFmt w:val="lowerLetter"/>
      <w:pStyle w:val="ListaconvietasTabla"/>
      <w:lvlText w:val="%1."/>
      <w:lvlJc w:val="left"/>
      <w:pPr>
        <w:tabs>
          <w:tab w:val="num" w:pos="1281"/>
        </w:tabs>
        <w:ind w:left="1281" w:hanging="360"/>
      </w:pPr>
      <w:rPr>
        <w:rFonts w:hint="default"/>
      </w:rPr>
    </w:lvl>
    <w:lvl w:ilvl="1" w:tplc="55506404" w:tentative="1">
      <w:start w:val="1"/>
      <w:numFmt w:val="lowerLetter"/>
      <w:lvlText w:val="%2."/>
      <w:lvlJc w:val="left"/>
      <w:pPr>
        <w:tabs>
          <w:tab w:val="num" w:pos="2001"/>
        </w:tabs>
        <w:ind w:left="2001" w:hanging="360"/>
      </w:pPr>
    </w:lvl>
    <w:lvl w:ilvl="2" w:tplc="56B255A4" w:tentative="1">
      <w:start w:val="1"/>
      <w:numFmt w:val="lowerRoman"/>
      <w:lvlText w:val="%3."/>
      <w:lvlJc w:val="right"/>
      <w:pPr>
        <w:tabs>
          <w:tab w:val="num" w:pos="2721"/>
        </w:tabs>
        <w:ind w:left="2721" w:hanging="180"/>
      </w:pPr>
    </w:lvl>
    <w:lvl w:ilvl="3" w:tplc="E8AA48F4" w:tentative="1">
      <w:start w:val="1"/>
      <w:numFmt w:val="decimal"/>
      <w:lvlText w:val="%4."/>
      <w:lvlJc w:val="left"/>
      <w:pPr>
        <w:tabs>
          <w:tab w:val="num" w:pos="3441"/>
        </w:tabs>
        <w:ind w:left="3441" w:hanging="360"/>
      </w:pPr>
    </w:lvl>
    <w:lvl w:ilvl="4" w:tplc="4E00C6B8" w:tentative="1">
      <w:start w:val="1"/>
      <w:numFmt w:val="lowerLetter"/>
      <w:lvlText w:val="%5."/>
      <w:lvlJc w:val="left"/>
      <w:pPr>
        <w:tabs>
          <w:tab w:val="num" w:pos="4161"/>
        </w:tabs>
        <w:ind w:left="4161" w:hanging="360"/>
      </w:pPr>
    </w:lvl>
    <w:lvl w:ilvl="5" w:tplc="158E68D8" w:tentative="1">
      <w:start w:val="1"/>
      <w:numFmt w:val="lowerRoman"/>
      <w:lvlText w:val="%6."/>
      <w:lvlJc w:val="right"/>
      <w:pPr>
        <w:tabs>
          <w:tab w:val="num" w:pos="4881"/>
        </w:tabs>
        <w:ind w:left="4881" w:hanging="180"/>
      </w:pPr>
    </w:lvl>
    <w:lvl w:ilvl="6" w:tplc="A0F2FDE6" w:tentative="1">
      <w:start w:val="1"/>
      <w:numFmt w:val="decimal"/>
      <w:lvlText w:val="%7."/>
      <w:lvlJc w:val="left"/>
      <w:pPr>
        <w:tabs>
          <w:tab w:val="num" w:pos="5601"/>
        </w:tabs>
        <w:ind w:left="5601" w:hanging="360"/>
      </w:pPr>
    </w:lvl>
    <w:lvl w:ilvl="7" w:tplc="2CA053AA" w:tentative="1">
      <w:start w:val="1"/>
      <w:numFmt w:val="lowerLetter"/>
      <w:lvlText w:val="%8."/>
      <w:lvlJc w:val="left"/>
      <w:pPr>
        <w:tabs>
          <w:tab w:val="num" w:pos="6321"/>
        </w:tabs>
        <w:ind w:left="6321" w:hanging="360"/>
      </w:pPr>
    </w:lvl>
    <w:lvl w:ilvl="8" w:tplc="11ECD0EE" w:tentative="1">
      <w:start w:val="1"/>
      <w:numFmt w:val="lowerRoman"/>
      <w:lvlText w:val="%9."/>
      <w:lvlJc w:val="right"/>
      <w:pPr>
        <w:tabs>
          <w:tab w:val="num" w:pos="7041"/>
        </w:tabs>
        <w:ind w:left="7041" w:hanging="180"/>
      </w:pPr>
    </w:lvl>
  </w:abstractNum>
  <w:abstractNum w:abstractNumId="70" w15:restartNumberingAfterBreak="0">
    <w:nsid w:val="51C54318"/>
    <w:multiLevelType w:val="hybridMultilevel"/>
    <w:tmpl w:val="4FBAFAA8"/>
    <w:name w:val="List1349986525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1" w15:restartNumberingAfterBreak="0">
    <w:nsid w:val="535D69FB"/>
    <w:multiLevelType w:val="hybridMultilevel"/>
    <w:tmpl w:val="3208B4EE"/>
    <w:name w:val="List1377015138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72" w15:restartNumberingAfterBreak="0">
    <w:nsid w:val="53A767F4"/>
    <w:multiLevelType w:val="multilevel"/>
    <w:tmpl w:val="7DD276E2"/>
    <w:styleLink w:val="WW8Num1111"/>
    <w:lvl w:ilvl="0">
      <w:start w:val="1"/>
      <w:numFmt w:val="none"/>
      <w:suff w:val="nothing"/>
      <w:lvlText w:val="​%1"/>
      <w:lvlJc w:val="left"/>
      <w:pPr>
        <w:ind w:left="0" w:firstLine="0"/>
      </w:pPr>
      <w:rPr>
        <w:rFonts w:ascii="Arial" w:hAnsi="Arial" w:cs="Arial"/>
        <w:kern w:val="0"/>
        <w:sz w:val="23"/>
        <w:szCs w:val="23"/>
        <w:lang w:bidi="ar-SA"/>
      </w:rPr>
    </w:lvl>
    <w:lvl w:ilvl="1">
      <w:start w:val="1"/>
      <w:numFmt w:val="none"/>
      <w:suff w:val="nothing"/>
      <w:lvlText w:val="​%2"/>
      <w:lvlJc w:val="left"/>
      <w:pPr>
        <w:ind w:left="0" w:firstLine="0"/>
      </w:pPr>
    </w:lvl>
    <w:lvl w:ilvl="2">
      <w:start w:val="1"/>
      <w:numFmt w:val="none"/>
      <w:suff w:val="nothing"/>
      <w:lvlText w:val="​%3"/>
      <w:lvlJc w:val="left"/>
      <w:pPr>
        <w:ind w:left="0" w:firstLine="0"/>
      </w:pPr>
    </w:lvl>
    <w:lvl w:ilvl="3">
      <w:start w:val="1"/>
      <w:numFmt w:val="none"/>
      <w:suff w:val="nothing"/>
      <w:lvlText w:val="​%4"/>
      <w:lvlJc w:val="left"/>
      <w:pPr>
        <w:ind w:left="0" w:firstLine="0"/>
      </w:pPr>
    </w:lvl>
    <w:lvl w:ilvl="4">
      <w:start w:val="1"/>
      <w:numFmt w:val="none"/>
      <w:suff w:val="nothing"/>
      <w:lvlText w:val="​%5"/>
      <w:lvlJc w:val="left"/>
      <w:pPr>
        <w:ind w:left="0" w:firstLine="0"/>
      </w:pPr>
    </w:lvl>
    <w:lvl w:ilvl="5">
      <w:start w:val="1"/>
      <w:numFmt w:val="none"/>
      <w:suff w:val="nothing"/>
      <w:lvlText w:val="​%6"/>
      <w:lvlJc w:val="left"/>
      <w:pPr>
        <w:ind w:left="0" w:firstLine="0"/>
      </w:pPr>
    </w:lvl>
    <w:lvl w:ilvl="6">
      <w:start w:val="1"/>
      <w:numFmt w:val="none"/>
      <w:suff w:val="nothing"/>
      <w:lvlText w:val="​%7"/>
      <w:lvlJc w:val="left"/>
      <w:pPr>
        <w:ind w:left="0" w:firstLine="0"/>
      </w:pPr>
    </w:lvl>
    <w:lvl w:ilvl="7">
      <w:start w:val="1"/>
      <w:numFmt w:val="none"/>
      <w:suff w:val="nothing"/>
      <w:lvlText w:val="​%8"/>
      <w:lvlJc w:val="left"/>
      <w:pPr>
        <w:ind w:left="0" w:firstLine="0"/>
      </w:pPr>
    </w:lvl>
    <w:lvl w:ilvl="8">
      <w:start w:val="1"/>
      <w:numFmt w:val="none"/>
      <w:suff w:val="nothing"/>
      <w:lvlText w:val="​%9"/>
      <w:lvlJc w:val="left"/>
      <w:pPr>
        <w:ind w:left="0" w:firstLine="0"/>
      </w:pPr>
    </w:lvl>
  </w:abstractNum>
  <w:abstractNum w:abstractNumId="73" w15:restartNumberingAfterBreak="0">
    <w:nsid w:val="546F7852"/>
    <w:multiLevelType w:val="multilevel"/>
    <w:tmpl w:val="830CE7AC"/>
    <w:name w:val="List1367267229_1"/>
    <w:lvl w:ilvl="0">
      <w:start w:val="1"/>
      <w:numFmt w:val="upperLetter"/>
      <w:lvlText w:val="%1)"/>
      <w:lvlJc w:val="left"/>
      <w:rPr>
        <w:rFonts w:cs="Arial"/>
      </w:rPr>
    </w:lvl>
    <w:lvl w:ilvl="1">
      <w:start w:val="1"/>
      <w:numFmt w:val="lowerLetter"/>
      <w:lvlText w:val="%2."/>
      <w:lvlJc w:val="left"/>
      <w:rPr>
        <w:rFonts w:cs="Arial"/>
      </w:rPr>
    </w:lvl>
    <w:lvl w:ilvl="2">
      <w:start w:val="1"/>
      <w:numFmt w:val="lowerRoman"/>
      <w:lvlText w:val="%3."/>
      <w:lvlJc w:val="left"/>
      <w:rPr>
        <w:rFonts w:cs="Arial"/>
      </w:rPr>
    </w:lvl>
    <w:lvl w:ilvl="3">
      <w:start w:val="1"/>
      <w:numFmt w:val="decimal"/>
      <w:lvlText w:val="%4."/>
      <w:lvlJc w:val="left"/>
      <w:rPr>
        <w:rFonts w:cs="Arial"/>
      </w:rPr>
    </w:lvl>
    <w:lvl w:ilvl="4">
      <w:start w:val="1"/>
      <w:numFmt w:val="lowerLetter"/>
      <w:lvlText w:val="%5."/>
      <w:lvlJc w:val="left"/>
      <w:rPr>
        <w:rFonts w:cs="Arial"/>
      </w:rPr>
    </w:lvl>
    <w:lvl w:ilvl="5">
      <w:start w:val="1"/>
      <w:numFmt w:val="lowerRoman"/>
      <w:lvlText w:val="%6."/>
      <w:lvlJc w:val="left"/>
      <w:rPr>
        <w:rFonts w:cs="Arial"/>
      </w:rPr>
    </w:lvl>
    <w:lvl w:ilvl="6">
      <w:start w:val="1"/>
      <w:numFmt w:val="decimal"/>
      <w:lvlText w:val="%7."/>
      <w:lvlJc w:val="left"/>
      <w:rPr>
        <w:rFonts w:cs="Arial"/>
      </w:rPr>
    </w:lvl>
    <w:lvl w:ilvl="7">
      <w:start w:val="1"/>
      <w:numFmt w:val="lowerLetter"/>
      <w:lvlText w:val="%8."/>
      <w:lvlJc w:val="left"/>
      <w:rPr>
        <w:rFonts w:cs="Arial"/>
      </w:rPr>
    </w:lvl>
    <w:lvl w:ilvl="8">
      <w:start w:val="1"/>
      <w:numFmt w:val="lowerRoman"/>
      <w:lvlText w:val="%9."/>
      <w:lvlJc w:val="left"/>
      <w:rPr>
        <w:rFonts w:cs="Arial"/>
      </w:rPr>
    </w:lvl>
  </w:abstractNum>
  <w:abstractNum w:abstractNumId="74" w15:restartNumberingAfterBreak="0">
    <w:nsid w:val="54CC654E"/>
    <w:multiLevelType w:val="hybridMultilevel"/>
    <w:tmpl w:val="F0F4704C"/>
    <w:lvl w:ilvl="0" w:tplc="6AE44CB4">
      <w:start w:val="1"/>
      <w:numFmt w:val="decimal"/>
      <w:lvlText w:val="9.3.%1."/>
      <w:lvlJc w:val="left"/>
      <w:pPr>
        <w:ind w:left="720" w:hanging="360"/>
      </w:pPr>
      <w:rPr>
        <w:rFonts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5" w15:restartNumberingAfterBreak="0">
    <w:nsid w:val="55032C59"/>
    <w:multiLevelType w:val="multilevel"/>
    <w:tmpl w:val="FEFE203A"/>
    <w:lvl w:ilvl="0">
      <w:start w:val="1"/>
      <w:numFmt w:val="decimal"/>
      <w:lvlText w:val="9.%1."/>
      <w:lvlJc w:val="left"/>
      <w:pPr>
        <w:ind w:left="1778" w:hanging="360"/>
      </w:pPr>
      <w:rPr>
        <w:rFonts w:ascii="Book Antiqua" w:hAnsi="Book Antiqua"/>
        <w:b/>
        <w:bCs/>
      </w:rPr>
    </w:lvl>
    <w:lvl w:ilvl="1">
      <w:start w:val="1"/>
      <w:numFmt w:val="lowerLetter"/>
      <w:lvlText w:val="%2."/>
      <w:lvlJc w:val="left"/>
      <w:pPr>
        <w:ind w:left="1497" w:hanging="360"/>
      </w:pPr>
    </w:lvl>
    <w:lvl w:ilvl="2">
      <w:start w:val="1"/>
      <w:numFmt w:val="lowerRoman"/>
      <w:lvlText w:val="%3."/>
      <w:lvlJc w:val="right"/>
      <w:pPr>
        <w:ind w:left="2217" w:hanging="180"/>
      </w:pPr>
    </w:lvl>
    <w:lvl w:ilvl="3">
      <w:start w:val="1"/>
      <w:numFmt w:val="decimal"/>
      <w:lvlText w:val="%4."/>
      <w:lvlJc w:val="left"/>
      <w:pPr>
        <w:ind w:left="2937" w:hanging="360"/>
      </w:pPr>
    </w:lvl>
    <w:lvl w:ilvl="4">
      <w:start w:val="1"/>
      <w:numFmt w:val="lowerLetter"/>
      <w:lvlText w:val="%5."/>
      <w:lvlJc w:val="left"/>
      <w:pPr>
        <w:ind w:left="3657" w:hanging="360"/>
      </w:pPr>
    </w:lvl>
    <w:lvl w:ilvl="5">
      <w:start w:val="1"/>
      <w:numFmt w:val="lowerRoman"/>
      <w:lvlText w:val="%6."/>
      <w:lvlJc w:val="right"/>
      <w:pPr>
        <w:ind w:left="4377" w:hanging="180"/>
      </w:pPr>
    </w:lvl>
    <w:lvl w:ilvl="6">
      <w:start w:val="1"/>
      <w:numFmt w:val="decimal"/>
      <w:lvlText w:val="%7."/>
      <w:lvlJc w:val="left"/>
      <w:pPr>
        <w:ind w:left="5097" w:hanging="360"/>
      </w:pPr>
    </w:lvl>
    <w:lvl w:ilvl="7">
      <w:start w:val="1"/>
      <w:numFmt w:val="lowerLetter"/>
      <w:lvlText w:val="%8."/>
      <w:lvlJc w:val="left"/>
      <w:pPr>
        <w:ind w:left="5817" w:hanging="360"/>
      </w:pPr>
    </w:lvl>
    <w:lvl w:ilvl="8">
      <w:start w:val="1"/>
      <w:numFmt w:val="lowerRoman"/>
      <w:lvlText w:val="%9."/>
      <w:lvlJc w:val="right"/>
      <w:pPr>
        <w:ind w:left="6537" w:hanging="180"/>
      </w:pPr>
    </w:lvl>
  </w:abstractNum>
  <w:abstractNum w:abstractNumId="76" w15:restartNumberingAfterBreak="0">
    <w:nsid w:val="55724443"/>
    <w:multiLevelType w:val="hybridMultilevel"/>
    <w:tmpl w:val="75F0D7B6"/>
    <w:name w:val="List1370904242_1"/>
    <w:lvl w:ilvl="0" w:tplc="FFFFFFFF">
      <w:start w:val="1"/>
      <w:numFmt w:val="decimal"/>
      <w:lvlText w:val="%1."/>
      <w:lvlJc w:val="left"/>
      <w:pPr>
        <w:ind w:left="418" w:hanging="360"/>
      </w:pPr>
      <w:rPr>
        <w:rFonts w:hint="default"/>
      </w:rPr>
    </w:lvl>
    <w:lvl w:ilvl="1" w:tplc="FFFFFFFF" w:tentative="1">
      <w:start w:val="1"/>
      <w:numFmt w:val="lowerLetter"/>
      <w:lvlText w:val="%2."/>
      <w:lvlJc w:val="left"/>
      <w:pPr>
        <w:ind w:left="1138" w:hanging="360"/>
      </w:pPr>
    </w:lvl>
    <w:lvl w:ilvl="2" w:tplc="FFFFFFFF" w:tentative="1">
      <w:start w:val="1"/>
      <w:numFmt w:val="lowerRoman"/>
      <w:lvlText w:val="%3."/>
      <w:lvlJc w:val="right"/>
      <w:pPr>
        <w:ind w:left="1858" w:hanging="180"/>
      </w:pPr>
    </w:lvl>
    <w:lvl w:ilvl="3" w:tplc="FFFFFFFF" w:tentative="1">
      <w:start w:val="1"/>
      <w:numFmt w:val="decimal"/>
      <w:lvlText w:val="%4."/>
      <w:lvlJc w:val="left"/>
      <w:pPr>
        <w:ind w:left="2578" w:hanging="360"/>
      </w:pPr>
    </w:lvl>
    <w:lvl w:ilvl="4" w:tplc="FFFFFFFF" w:tentative="1">
      <w:start w:val="1"/>
      <w:numFmt w:val="lowerLetter"/>
      <w:lvlText w:val="%5."/>
      <w:lvlJc w:val="left"/>
      <w:pPr>
        <w:ind w:left="3298" w:hanging="360"/>
      </w:pPr>
    </w:lvl>
    <w:lvl w:ilvl="5" w:tplc="FFFFFFFF" w:tentative="1">
      <w:start w:val="1"/>
      <w:numFmt w:val="lowerRoman"/>
      <w:lvlText w:val="%6."/>
      <w:lvlJc w:val="right"/>
      <w:pPr>
        <w:ind w:left="4018" w:hanging="180"/>
      </w:pPr>
    </w:lvl>
    <w:lvl w:ilvl="6" w:tplc="FFFFFFFF" w:tentative="1">
      <w:start w:val="1"/>
      <w:numFmt w:val="decimal"/>
      <w:lvlText w:val="%7."/>
      <w:lvlJc w:val="left"/>
      <w:pPr>
        <w:ind w:left="4738" w:hanging="360"/>
      </w:pPr>
    </w:lvl>
    <w:lvl w:ilvl="7" w:tplc="FFFFFFFF" w:tentative="1">
      <w:start w:val="1"/>
      <w:numFmt w:val="lowerLetter"/>
      <w:lvlText w:val="%8."/>
      <w:lvlJc w:val="left"/>
      <w:pPr>
        <w:ind w:left="5458" w:hanging="360"/>
      </w:pPr>
    </w:lvl>
    <w:lvl w:ilvl="8" w:tplc="FFFFFFFF" w:tentative="1">
      <w:start w:val="1"/>
      <w:numFmt w:val="lowerRoman"/>
      <w:lvlText w:val="%9."/>
      <w:lvlJc w:val="right"/>
      <w:pPr>
        <w:ind w:left="6178" w:hanging="180"/>
      </w:pPr>
    </w:lvl>
  </w:abstractNum>
  <w:abstractNum w:abstractNumId="77" w15:restartNumberingAfterBreak="0">
    <w:nsid w:val="58B57394"/>
    <w:multiLevelType w:val="multilevel"/>
    <w:tmpl w:val="7B109F6E"/>
    <w:styleLink w:val="11111111113"/>
    <w:lvl w:ilvl="0">
      <w:start w:val="1"/>
      <w:numFmt w:val="none"/>
      <w:suff w:val="nothing"/>
      <w:lvlText w:val="%1"/>
      <w:lvlJc w:val="left"/>
      <w:pPr>
        <w:ind w:left="432" w:hanging="432"/>
      </w:pPr>
      <w:rPr>
        <w:rFonts w:eastAsia="Arial Unicode MS" w:cs="Times New Roman"/>
        <w:iCs/>
        <w:kern w:val="3"/>
        <w:sz w:val="24"/>
        <w:szCs w:val="24"/>
        <w:lang w:val="es-ES" w:eastAsia="es-CR"/>
      </w:rPr>
    </w:lvl>
    <w:lvl w:ilvl="1">
      <w:start w:val="1"/>
      <w:numFmt w:val="none"/>
      <w:suff w:val="nothing"/>
      <w:lvlText w:val="%2"/>
      <w:lvlJc w:val="left"/>
      <w:pPr>
        <w:ind w:left="576" w:hanging="576"/>
      </w:pPr>
      <w:rPr>
        <w:rFonts w:eastAsia="Arial Unicode MS" w:cs="Times New Roman"/>
        <w:iCs/>
        <w:kern w:val="3"/>
        <w:sz w:val="24"/>
        <w:szCs w:val="24"/>
        <w:lang w:val="es-ES" w:eastAsia="es-CR"/>
      </w:rPr>
    </w:lvl>
    <w:lvl w:ilvl="2">
      <w:start w:val="1"/>
      <w:numFmt w:val="none"/>
      <w:suff w:val="nothing"/>
      <w:lvlText w:val="%3"/>
      <w:lvlJc w:val="left"/>
      <w:pPr>
        <w:ind w:left="720" w:hanging="720"/>
      </w:pPr>
      <w:rPr>
        <w:rFonts w:eastAsia="Arial Unicode MS" w:cs="Times New Roman"/>
        <w:iCs/>
        <w:kern w:val="3"/>
        <w:sz w:val="24"/>
        <w:szCs w:val="24"/>
        <w:lang w:val="es-ES" w:eastAsia="es-CR"/>
      </w:rPr>
    </w:lvl>
    <w:lvl w:ilvl="3">
      <w:start w:val="1"/>
      <w:numFmt w:val="none"/>
      <w:suff w:val="nothing"/>
      <w:lvlText w:val="%4"/>
      <w:lvlJc w:val="left"/>
      <w:pPr>
        <w:ind w:left="864" w:hanging="864"/>
      </w:pPr>
      <w:rPr>
        <w:rFonts w:eastAsia="Arial Unicode MS" w:cs="Times New Roman"/>
        <w:iCs/>
        <w:kern w:val="3"/>
        <w:sz w:val="24"/>
        <w:szCs w:val="24"/>
        <w:lang w:val="es-ES" w:eastAsia="es-CR"/>
      </w:rPr>
    </w:lvl>
    <w:lvl w:ilvl="4">
      <w:start w:val="1"/>
      <w:numFmt w:val="none"/>
      <w:suff w:val="nothing"/>
      <w:lvlText w:val="%5"/>
      <w:lvlJc w:val="left"/>
      <w:pPr>
        <w:ind w:left="1008" w:hanging="1008"/>
      </w:pPr>
      <w:rPr>
        <w:rFonts w:eastAsia="Arial Unicode MS" w:cs="Times New Roman"/>
        <w:iCs/>
        <w:kern w:val="3"/>
        <w:sz w:val="24"/>
        <w:szCs w:val="24"/>
        <w:lang w:val="es-ES" w:eastAsia="es-CR"/>
      </w:rPr>
    </w:lvl>
    <w:lvl w:ilvl="5">
      <w:start w:val="1"/>
      <w:numFmt w:val="none"/>
      <w:suff w:val="nothing"/>
      <w:lvlText w:val="%6"/>
      <w:lvlJc w:val="left"/>
      <w:pPr>
        <w:ind w:left="1152" w:hanging="1152"/>
      </w:pPr>
      <w:rPr>
        <w:rFonts w:eastAsia="Arial Unicode MS" w:cs="Times New Roman"/>
        <w:iCs/>
        <w:kern w:val="3"/>
        <w:sz w:val="24"/>
        <w:szCs w:val="24"/>
        <w:lang w:val="es-ES" w:eastAsia="es-CR"/>
      </w:rPr>
    </w:lvl>
    <w:lvl w:ilvl="6">
      <w:start w:val="1"/>
      <w:numFmt w:val="none"/>
      <w:suff w:val="nothing"/>
      <w:lvlText w:val="%7"/>
      <w:lvlJc w:val="left"/>
      <w:pPr>
        <w:ind w:left="1296" w:hanging="1296"/>
      </w:pPr>
      <w:rPr>
        <w:rFonts w:eastAsia="Arial Unicode MS" w:cs="Times New Roman"/>
        <w:iCs/>
        <w:kern w:val="3"/>
        <w:sz w:val="24"/>
        <w:szCs w:val="24"/>
        <w:lang w:val="es-ES" w:eastAsia="es-CR"/>
      </w:rPr>
    </w:lvl>
    <w:lvl w:ilvl="7">
      <w:start w:val="1"/>
      <w:numFmt w:val="none"/>
      <w:suff w:val="nothing"/>
      <w:lvlText w:val="%8"/>
      <w:lvlJc w:val="left"/>
      <w:pPr>
        <w:ind w:left="1440" w:hanging="1440"/>
      </w:pPr>
      <w:rPr>
        <w:rFonts w:eastAsia="Arial Unicode MS" w:cs="Times New Roman"/>
        <w:iCs/>
        <w:kern w:val="3"/>
        <w:sz w:val="24"/>
        <w:szCs w:val="24"/>
        <w:lang w:val="es-ES" w:eastAsia="es-CR"/>
      </w:rPr>
    </w:lvl>
    <w:lvl w:ilvl="8">
      <w:start w:val="1"/>
      <w:numFmt w:val="none"/>
      <w:suff w:val="nothing"/>
      <w:lvlText w:val="%9"/>
      <w:lvlJc w:val="left"/>
      <w:pPr>
        <w:ind w:left="1584" w:hanging="1584"/>
      </w:pPr>
      <w:rPr>
        <w:rFonts w:eastAsia="Arial Unicode MS" w:cs="Times New Roman"/>
        <w:iCs/>
        <w:kern w:val="3"/>
        <w:sz w:val="24"/>
        <w:szCs w:val="24"/>
        <w:lang w:val="es-ES" w:eastAsia="es-CR"/>
      </w:rPr>
    </w:lvl>
  </w:abstractNum>
  <w:abstractNum w:abstractNumId="78" w15:restartNumberingAfterBreak="0">
    <w:nsid w:val="58E21724"/>
    <w:multiLevelType w:val="hybridMultilevel"/>
    <w:tmpl w:val="F042C70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9" w15:restartNumberingAfterBreak="0">
    <w:nsid w:val="5E4D5AB1"/>
    <w:multiLevelType w:val="multilevel"/>
    <w:tmpl w:val="00000001"/>
    <w:name w:val="List1582127793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0" w15:restartNumberingAfterBreak="0">
    <w:nsid w:val="5E4D5AB6"/>
    <w:multiLevelType w:val="multilevel"/>
    <w:tmpl w:val="00000002"/>
    <w:name w:val="List1582127798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1" w15:restartNumberingAfterBreak="0">
    <w:nsid w:val="5E4D5ABE"/>
    <w:multiLevelType w:val="multilevel"/>
    <w:tmpl w:val="00000003"/>
    <w:name w:val="List1582127806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2" w15:restartNumberingAfterBreak="0">
    <w:nsid w:val="5E4D5AD5"/>
    <w:multiLevelType w:val="multilevel"/>
    <w:tmpl w:val="00000004"/>
    <w:name w:val="List1582127829_1"/>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3" w15:restartNumberingAfterBreak="0">
    <w:nsid w:val="5F1D377F"/>
    <w:multiLevelType w:val="hybridMultilevel"/>
    <w:tmpl w:val="07EE71AA"/>
    <w:styleLink w:val="1111111112"/>
    <w:lvl w:ilvl="0" w:tplc="140A0001">
      <w:start w:val="1"/>
      <w:numFmt w:val="bullet"/>
      <w:lvlText w:val=""/>
      <w:lvlJc w:val="left"/>
      <w:pPr>
        <w:ind w:left="720" w:hanging="360"/>
      </w:pPr>
      <w:rPr>
        <w:rFonts w:ascii="Symbol" w:hAnsi="Symbol" w:hint="default"/>
      </w:rPr>
    </w:lvl>
    <w:lvl w:ilvl="1" w:tplc="140A0003">
      <w:start w:val="1"/>
      <w:numFmt w:val="bullet"/>
      <w:lvlText w:val="o"/>
      <w:lvlJc w:val="left"/>
      <w:pPr>
        <w:ind w:left="1440" w:hanging="360"/>
      </w:pPr>
      <w:rPr>
        <w:rFonts w:ascii="Courier New" w:hAnsi="Courier New" w:cs="Courier New" w:hint="default"/>
      </w:rPr>
    </w:lvl>
    <w:lvl w:ilvl="2" w:tplc="140A0005">
      <w:start w:val="1"/>
      <w:numFmt w:val="bullet"/>
      <w:lvlText w:val=""/>
      <w:lvlJc w:val="left"/>
      <w:pPr>
        <w:ind w:left="2160" w:hanging="360"/>
      </w:pPr>
      <w:rPr>
        <w:rFonts w:ascii="Wingdings" w:hAnsi="Wingdings" w:hint="default"/>
      </w:rPr>
    </w:lvl>
    <w:lvl w:ilvl="3" w:tplc="140A0001">
      <w:start w:val="1"/>
      <w:numFmt w:val="bullet"/>
      <w:lvlText w:val=""/>
      <w:lvlJc w:val="left"/>
      <w:pPr>
        <w:ind w:left="2880" w:hanging="360"/>
      </w:pPr>
      <w:rPr>
        <w:rFonts w:ascii="Symbol" w:hAnsi="Symbol" w:hint="default"/>
      </w:rPr>
    </w:lvl>
    <w:lvl w:ilvl="4" w:tplc="140A0003">
      <w:start w:val="1"/>
      <w:numFmt w:val="bullet"/>
      <w:lvlText w:val="o"/>
      <w:lvlJc w:val="left"/>
      <w:pPr>
        <w:ind w:left="3600" w:hanging="360"/>
      </w:pPr>
      <w:rPr>
        <w:rFonts w:ascii="Courier New" w:hAnsi="Courier New" w:cs="Courier New" w:hint="default"/>
      </w:rPr>
    </w:lvl>
    <w:lvl w:ilvl="5" w:tplc="140A0005">
      <w:start w:val="1"/>
      <w:numFmt w:val="bullet"/>
      <w:lvlText w:val=""/>
      <w:lvlJc w:val="left"/>
      <w:pPr>
        <w:ind w:left="4320" w:hanging="360"/>
      </w:pPr>
      <w:rPr>
        <w:rFonts w:ascii="Wingdings" w:hAnsi="Wingdings" w:hint="default"/>
      </w:rPr>
    </w:lvl>
    <w:lvl w:ilvl="6" w:tplc="140A0001">
      <w:start w:val="1"/>
      <w:numFmt w:val="bullet"/>
      <w:lvlText w:val=""/>
      <w:lvlJc w:val="left"/>
      <w:pPr>
        <w:ind w:left="5040" w:hanging="360"/>
      </w:pPr>
      <w:rPr>
        <w:rFonts w:ascii="Symbol" w:hAnsi="Symbol" w:hint="default"/>
      </w:rPr>
    </w:lvl>
    <w:lvl w:ilvl="7" w:tplc="140A0003">
      <w:start w:val="1"/>
      <w:numFmt w:val="bullet"/>
      <w:lvlText w:val="o"/>
      <w:lvlJc w:val="left"/>
      <w:pPr>
        <w:ind w:left="5760" w:hanging="360"/>
      </w:pPr>
      <w:rPr>
        <w:rFonts w:ascii="Courier New" w:hAnsi="Courier New" w:cs="Courier New" w:hint="default"/>
      </w:rPr>
    </w:lvl>
    <w:lvl w:ilvl="8" w:tplc="140A0005">
      <w:start w:val="1"/>
      <w:numFmt w:val="bullet"/>
      <w:lvlText w:val=""/>
      <w:lvlJc w:val="left"/>
      <w:pPr>
        <w:ind w:left="6480" w:hanging="360"/>
      </w:pPr>
      <w:rPr>
        <w:rFonts w:ascii="Wingdings" w:hAnsi="Wingdings" w:hint="default"/>
      </w:rPr>
    </w:lvl>
  </w:abstractNum>
  <w:abstractNum w:abstractNumId="84" w15:restartNumberingAfterBreak="0">
    <w:nsid w:val="60014955"/>
    <w:multiLevelType w:val="hybridMultilevel"/>
    <w:tmpl w:val="7D3C0BDE"/>
    <w:styleLink w:val="WW8Num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5" w15:restartNumberingAfterBreak="0">
    <w:nsid w:val="60F0294C"/>
    <w:multiLevelType w:val="hybridMultilevel"/>
    <w:tmpl w:val="3E1AE2BC"/>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86" w15:restartNumberingAfterBreak="0">
    <w:nsid w:val="616C4293"/>
    <w:multiLevelType w:val="multilevel"/>
    <w:tmpl w:val="8A4CFED4"/>
    <w:styleLink w:val="WWNum21"/>
    <w:lvl w:ilvl="0">
      <w:start w:val="1"/>
      <w:numFmt w:val="none"/>
      <w:suff w:val="nothing"/>
      <w:lvlText w:val="%1"/>
      <w:lvlJc w:val="left"/>
      <w:pPr>
        <w:ind w:left="720" w:firstLine="0"/>
      </w:p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87" w15:restartNumberingAfterBreak="0">
    <w:nsid w:val="62442208"/>
    <w:multiLevelType w:val="multilevel"/>
    <w:tmpl w:val="E0C8E712"/>
    <w:styleLink w:val="Nmero"/>
    <w:lvl w:ilvl="0">
      <w:start w:val="1"/>
      <w:numFmt w:val="decimal"/>
      <w:lvlText w:val="%1."/>
      <w:lvlJc w:val="left"/>
      <w:pPr>
        <w:tabs>
          <w:tab w:val="num" w:pos="393"/>
        </w:tabs>
        <w:ind w:left="393" w:hanging="393"/>
      </w:pPr>
      <w:rPr>
        <w:position w:val="0"/>
        <w:sz w:val="24"/>
        <w:szCs w:val="24"/>
      </w:rPr>
    </w:lvl>
    <w:lvl w:ilvl="1">
      <w:start w:val="1"/>
      <w:numFmt w:val="lowerLetter"/>
      <w:lvlText w:val="%2)"/>
      <w:lvlJc w:val="left"/>
      <w:pPr>
        <w:tabs>
          <w:tab w:val="num" w:pos="753"/>
        </w:tabs>
        <w:ind w:left="753" w:hanging="393"/>
      </w:pPr>
      <w:rPr>
        <w:position w:val="0"/>
        <w:sz w:val="24"/>
        <w:szCs w:val="24"/>
      </w:rPr>
    </w:lvl>
    <w:lvl w:ilvl="2">
      <w:start w:val="1"/>
      <w:numFmt w:val="decimal"/>
      <w:lvlText w:val="%3."/>
      <w:lvlJc w:val="left"/>
      <w:pPr>
        <w:tabs>
          <w:tab w:val="num" w:pos="1113"/>
        </w:tabs>
        <w:ind w:left="1113" w:hanging="393"/>
      </w:pPr>
      <w:rPr>
        <w:position w:val="0"/>
        <w:sz w:val="24"/>
        <w:szCs w:val="24"/>
      </w:rPr>
    </w:lvl>
    <w:lvl w:ilvl="3">
      <w:start w:val="1"/>
      <w:numFmt w:val="decimal"/>
      <w:lvlText w:val="%4."/>
      <w:lvlJc w:val="left"/>
      <w:pPr>
        <w:tabs>
          <w:tab w:val="num" w:pos="1473"/>
        </w:tabs>
        <w:ind w:left="1473" w:hanging="393"/>
      </w:pPr>
      <w:rPr>
        <w:position w:val="0"/>
        <w:sz w:val="24"/>
        <w:szCs w:val="24"/>
      </w:rPr>
    </w:lvl>
    <w:lvl w:ilvl="4">
      <w:start w:val="1"/>
      <w:numFmt w:val="decimal"/>
      <w:lvlText w:val="%5."/>
      <w:lvlJc w:val="left"/>
      <w:pPr>
        <w:tabs>
          <w:tab w:val="num" w:pos="1833"/>
        </w:tabs>
        <w:ind w:left="1833" w:hanging="393"/>
      </w:pPr>
      <w:rPr>
        <w:position w:val="0"/>
        <w:sz w:val="24"/>
        <w:szCs w:val="24"/>
      </w:rPr>
    </w:lvl>
    <w:lvl w:ilvl="5">
      <w:start w:val="1"/>
      <w:numFmt w:val="decimal"/>
      <w:lvlText w:val="%6."/>
      <w:lvlJc w:val="left"/>
      <w:pPr>
        <w:tabs>
          <w:tab w:val="num" w:pos="2193"/>
        </w:tabs>
        <w:ind w:left="2193" w:hanging="393"/>
      </w:pPr>
      <w:rPr>
        <w:position w:val="0"/>
        <w:sz w:val="24"/>
        <w:szCs w:val="24"/>
      </w:rPr>
    </w:lvl>
    <w:lvl w:ilvl="6">
      <w:start w:val="1"/>
      <w:numFmt w:val="decimal"/>
      <w:lvlText w:val="%7."/>
      <w:lvlJc w:val="left"/>
      <w:pPr>
        <w:tabs>
          <w:tab w:val="num" w:pos="2553"/>
        </w:tabs>
        <w:ind w:left="2553" w:hanging="393"/>
      </w:pPr>
      <w:rPr>
        <w:position w:val="0"/>
        <w:sz w:val="24"/>
        <w:szCs w:val="24"/>
      </w:rPr>
    </w:lvl>
    <w:lvl w:ilvl="7">
      <w:start w:val="1"/>
      <w:numFmt w:val="decimal"/>
      <w:lvlText w:val="%8."/>
      <w:lvlJc w:val="left"/>
      <w:pPr>
        <w:tabs>
          <w:tab w:val="num" w:pos="2913"/>
        </w:tabs>
        <w:ind w:left="2913" w:hanging="393"/>
      </w:pPr>
      <w:rPr>
        <w:position w:val="0"/>
        <w:sz w:val="24"/>
        <w:szCs w:val="24"/>
      </w:rPr>
    </w:lvl>
    <w:lvl w:ilvl="8">
      <w:start w:val="1"/>
      <w:numFmt w:val="decimal"/>
      <w:lvlText w:val="%9."/>
      <w:lvlJc w:val="left"/>
      <w:pPr>
        <w:tabs>
          <w:tab w:val="num" w:pos="3273"/>
        </w:tabs>
        <w:ind w:left="3273" w:hanging="393"/>
      </w:pPr>
      <w:rPr>
        <w:position w:val="0"/>
        <w:sz w:val="24"/>
        <w:szCs w:val="24"/>
      </w:rPr>
    </w:lvl>
  </w:abstractNum>
  <w:abstractNum w:abstractNumId="88" w15:restartNumberingAfterBreak="0">
    <w:nsid w:val="62E123A4"/>
    <w:multiLevelType w:val="multilevel"/>
    <w:tmpl w:val="0409001F"/>
    <w:styleLink w:val="111111"/>
    <w:lvl w:ilvl="0">
      <w:start w:val="2"/>
      <w:numFmt w:val="decimal"/>
      <w:lvlText w:val="%1."/>
      <w:lvlJc w:val="left"/>
      <w:pPr>
        <w:tabs>
          <w:tab w:val="num" w:pos="0"/>
        </w:tabs>
        <w:ind w:left="360" w:hanging="360"/>
      </w:pPr>
      <w:rPr>
        <w:rFonts w:cs="Times New Roman"/>
      </w:rPr>
    </w:lvl>
    <w:lvl w:ilvl="1">
      <w:start w:val="1"/>
      <w:numFmt w:val="decimal"/>
      <w:lvlText w:val="%1.%2."/>
      <w:lvlJc w:val="left"/>
      <w:pPr>
        <w:tabs>
          <w:tab w:val="num" w:pos="0"/>
        </w:tabs>
        <w:ind w:left="432" w:hanging="432"/>
      </w:pPr>
      <w:rPr>
        <w:rFonts w:cs="Times New Roman"/>
      </w:rPr>
    </w:lvl>
    <w:lvl w:ilvl="2">
      <w:start w:val="1"/>
      <w:numFmt w:val="decimal"/>
      <w:lvlText w:val="%1.%2.%3."/>
      <w:lvlJc w:val="left"/>
      <w:pPr>
        <w:tabs>
          <w:tab w:val="num" w:pos="0"/>
        </w:tabs>
        <w:ind w:left="504" w:hanging="504"/>
      </w:pPr>
      <w:rPr>
        <w:rFonts w:cs="Times New Roman"/>
      </w:rPr>
    </w:lvl>
    <w:lvl w:ilvl="3">
      <w:start w:val="1"/>
      <w:numFmt w:val="decimal"/>
      <w:lvlText w:val="%1.%2.%3.%4."/>
      <w:lvlJc w:val="left"/>
      <w:pPr>
        <w:tabs>
          <w:tab w:val="num" w:pos="0"/>
        </w:tabs>
        <w:ind w:left="64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89" w15:restartNumberingAfterBreak="0">
    <w:nsid w:val="65D60AF5"/>
    <w:multiLevelType w:val="hybridMultilevel"/>
    <w:tmpl w:val="59AECDB2"/>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0" w15:restartNumberingAfterBreak="0">
    <w:nsid w:val="6618025B"/>
    <w:multiLevelType w:val="hybridMultilevel"/>
    <w:tmpl w:val="28A463DC"/>
    <w:lvl w:ilvl="0" w:tplc="140A0019">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91" w15:restartNumberingAfterBreak="0">
    <w:nsid w:val="667B3B17"/>
    <w:multiLevelType w:val="hybridMultilevel"/>
    <w:tmpl w:val="42A871D6"/>
    <w:styleLink w:val="WW8Num152111"/>
    <w:lvl w:ilvl="0" w:tplc="9220832A">
      <w:start w:val="19"/>
      <w:numFmt w:val="bullet"/>
      <w:pStyle w:val="autocorrecci3f"/>
      <w:lvlText w:val="-"/>
      <w:lvlJc w:val="left"/>
      <w:pPr>
        <w:tabs>
          <w:tab w:val="num" w:pos="720"/>
        </w:tabs>
        <w:ind w:left="720" w:hanging="360"/>
      </w:pPr>
      <w:rPr>
        <w:rFonts w:ascii="Times New Roman" w:eastAsia="Times New Roman" w:hAnsi="Times New Roman"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2" w15:restartNumberingAfterBreak="0">
    <w:nsid w:val="68334B56"/>
    <w:multiLevelType w:val="hybridMultilevel"/>
    <w:tmpl w:val="96024140"/>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3" w15:restartNumberingAfterBreak="0">
    <w:nsid w:val="697B5FB2"/>
    <w:multiLevelType w:val="hybridMultilevel"/>
    <w:tmpl w:val="B6789712"/>
    <w:styleLink w:val="11111111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4" w15:restartNumberingAfterBreak="0">
    <w:nsid w:val="69A11BBD"/>
    <w:multiLevelType w:val="hybridMultilevel"/>
    <w:tmpl w:val="1ECCD610"/>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95" w15:restartNumberingAfterBreak="0">
    <w:nsid w:val="6B167915"/>
    <w:multiLevelType w:val="multilevel"/>
    <w:tmpl w:val="B50CFB26"/>
    <w:styleLink w:val="WW8Num23"/>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96" w15:restartNumberingAfterBreak="0">
    <w:nsid w:val="6B962315"/>
    <w:multiLevelType w:val="multilevel"/>
    <w:tmpl w:val="3E9085F4"/>
    <w:styleLink w:val="WWNum2"/>
    <w:lvl w:ilvl="0">
      <w:start w:val="1"/>
      <w:numFmt w:val="none"/>
      <w:suff w:val="nothing"/>
      <w:lvlText w:val="%1"/>
      <w:lvlJc w:val="left"/>
      <w:pPr>
        <w:ind w:left="720" w:firstLine="0"/>
      </w:pPr>
    </w:lvl>
    <w:lvl w:ilvl="1">
      <w:start w:val="1"/>
      <w:numFmt w:val="none"/>
      <w:suff w:val="nothing"/>
      <w:lvlText w:val="%2"/>
      <w:lvlJc w:val="left"/>
      <w:pPr>
        <w:ind w:left="1080" w:firstLine="0"/>
      </w:pPr>
    </w:lvl>
    <w:lvl w:ilvl="2">
      <w:start w:val="1"/>
      <w:numFmt w:val="none"/>
      <w:suff w:val="nothing"/>
      <w:lvlText w:val="%3"/>
      <w:lvlJc w:val="left"/>
      <w:pPr>
        <w:ind w:left="1440" w:firstLine="0"/>
      </w:pPr>
    </w:lvl>
    <w:lvl w:ilvl="3">
      <w:start w:val="1"/>
      <w:numFmt w:val="none"/>
      <w:suff w:val="nothing"/>
      <w:lvlText w:val="%4"/>
      <w:lvlJc w:val="left"/>
      <w:pPr>
        <w:ind w:left="1800" w:firstLine="0"/>
      </w:pPr>
    </w:lvl>
    <w:lvl w:ilvl="4">
      <w:start w:val="1"/>
      <w:numFmt w:val="none"/>
      <w:suff w:val="nothing"/>
      <w:lvlText w:val="%5"/>
      <w:lvlJc w:val="left"/>
      <w:pPr>
        <w:ind w:left="2160" w:firstLine="0"/>
      </w:pPr>
    </w:lvl>
    <w:lvl w:ilvl="5">
      <w:start w:val="1"/>
      <w:numFmt w:val="none"/>
      <w:suff w:val="nothing"/>
      <w:lvlText w:val="%6"/>
      <w:lvlJc w:val="left"/>
      <w:pPr>
        <w:ind w:left="2520" w:firstLine="0"/>
      </w:pPr>
    </w:lvl>
    <w:lvl w:ilvl="6">
      <w:start w:val="1"/>
      <w:numFmt w:val="none"/>
      <w:suff w:val="nothing"/>
      <w:lvlText w:val="%7"/>
      <w:lvlJc w:val="left"/>
      <w:pPr>
        <w:ind w:left="2880" w:firstLine="0"/>
      </w:pPr>
    </w:lvl>
    <w:lvl w:ilvl="7">
      <w:start w:val="1"/>
      <w:numFmt w:val="none"/>
      <w:suff w:val="nothing"/>
      <w:lvlText w:val="%8"/>
      <w:lvlJc w:val="left"/>
      <w:pPr>
        <w:ind w:left="3240" w:firstLine="0"/>
      </w:pPr>
    </w:lvl>
    <w:lvl w:ilvl="8">
      <w:start w:val="1"/>
      <w:numFmt w:val="none"/>
      <w:suff w:val="nothing"/>
      <w:lvlText w:val="%9"/>
      <w:lvlJc w:val="left"/>
      <w:pPr>
        <w:ind w:left="3600" w:firstLine="0"/>
      </w:pPr>
    </w:lvl>
  </w:abstractNum>
  <w:abstractNum w:abstractNumId="97" w15:restartNumberingAfterBreak="0">
    <w:nsid w:val="6F5C6B8B"/>
    <w:multiLevelType w:val="hybridMultilevel"/>
    <w:tmpl w:val="01C4221C"/>
    <w:name w:val="List1375978171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8" w15:restartNumberingAfterBreak="0">
    <w:nsid w:val="71075A5E"/>
    <w:multiLevelType w:val="hybridMultilevel"/>
    <w:tmpl w:val="F37EEF02"/>
    <w:styleLink w:val="WW8Num15211"/>
    <w:lvl w:ilvl="0" w:tplc="3B7C9760">
      <w:start w:val="1"/>
      <w:numFmt w:val="lowerLetter"/>
      <w:lvlText w:val="%1)"/>
      <w:lvlJc w:val="left"/>
      <w:pPr>
        <w:tabs>
          <w:tab w:val="num" w:pos="720"/>
        </w:tabs>
        <w:ind w:left="720" w:hanging="360"/>
      </w:pPr>
      <w:rPr>
        <w:rFonts w:cs="Times New Roman" w:hint="default"/>
      </w:rPr>
    </w:lvl>
    <w:lvl w:ilvl="1" w:tplc="0C0A0019">
      <w:start w:val="1"/>
      <w:numFmt w:val="lowerLetter"/>
      <w:lvlText w:val="%2."/>
      <w:lvlJc w:val="left"/>
      <w:pPr>
        <w:tabs>
          <w:tab w:val="num" w:pos="1440"/>
        </w:tabs>
        <w:ind w:left="1440" w:hanging="360"/>
      </w:pPr>
      <w:rPr>
        <w:rFonts w:cs="Times New Roman"/>
      </w:rPr>
    </w:lvl>
    <w:lvl w:ilvl="2" w:tplc="0C0A001B">
      <w:start w:val="1"/>
      <w:numFmt w:val="lowerRoman"/>
      <w:lvlText w:val="%3."/>
      <w:lvlJc w:val="right"/>
      <w:pPr>
        <w:tabs>
          <w:tab w:val="num" w:pos="2160"/>
        </w:tabs>
        <w:ind w:left="2160" w:hanging="180"/>
      </w:pPr>
      <w:rPr>
        <w:rFonts w:cs="Times New Roman"/>
      </w:rPr>
    </w:lvl>
    <w:lvl w:ilvl="3" w:tplc="0C0A000F">
      <w:start w:val="1"/>
      <w:numFmt w:val="decimal"/>
      <w:lvlText w:val="%4."/>
      <w:lvlJc w:val="left"/>
      <w:pPr>
        <w:tabs>
          <w:tab w:val="num" w:pos="2880"/>
        </w:tabs>
        <w:ind w:left="2880" w:hanging="360"/>
      </w:pPr>
      <w:rPr>
        <w:rFonts w:cs="Times New Roman"/>
      </w:rPr>
    </w:lvl>
    <w:lvl w:ilvl="4" w:tplc="0C0A0019">
      <w:start w:val="1"/>
      <w:numFmt w:val="lowerLetter"/>
      <w:lvlText w:val="%5."/>
      <w:lvlJc w:val="left"/>
      <w:pPr>
        <w:tabs>
          <w:tab w:val="num" w:pos="3600"/>
        </w:tabs>
        <w:ind w:left="3600" w:hanging="360"/>
      </w:pPr>
      <w:rPr>
        <w:rFonts w:cs="Times New Roman"/>
      </w:rPr>
    </w:lvl>
    <w:lvl w:ilvl="5" w:tplc="0C0A001B">
      <w:start w:val="1"/>
      <w:numFmt w:val="lowerRoman"/>
      <w:lvlText w:val="%6."/>
      <w:lvlJc w:val="right"/>
      <w:pPr>
        <w:tabs>
          <w:tab w:val="num" w:pos="4320"/>
        </w:tabs>
        <w:ind w:left="4320" w:hanging="180"/>
      </w:pPr>
      <w:rPr>
        <w:rFonts w:cs="Times New Roman"/>
      </w:rPr>
    </w:lvl>
    <w:lvl w:ilvl="6" w:tplc="0C0A000F">
      <w:start w:val="1"/>
      <w:numFmt w:val="decimal"/>
      <w:lvlText w:val="%7."/>
      <w:lvlJc w:val="left"/>
      <w:pPr>
        <w:tabs>
          <w:tab w:val="num" w:pos="5040"/>
        </w:tabs>
        <w:ind w:left="5040" w:hanging="360"/>
      </w:pPr>
      <w:rPr>
        <w:rFonts w:cs="Times New Roman"/>
      </w:rPr>
    </w:lvl>
    <w:lvl w:ilvl="7" w:tplc="0C0A0019">
      <w:start w:val="1"/>
      <w:numFmt w:val="lowerLetter"/>
      <w:lvlText w:val="%8."/>
      <w:lvlJc w:val="left"/>
      <w:pPr>
        <w:tabs>
          <w:tab w:val="num" w:pos="5760"/>
        </w:tabs>
        <w:ind w:left="5760" w:hanging="360"/>
      </w:pPr>
      <w:rPr>
        <w:rFonts w:cs="Times New Roman"/>
      </w:rPr>
    </w:lvl>
    <w:lvl w:ilvl="8" w:tplc="0C0A001B">
      <w:start w:val="1"/>
      <w:numFmt w:val="lowerRoman"/>
      <w:lvlText w:val="%9."/>
      <w:lvlJc w:val="right"/>
      <w:pPr>
        <w:tabs>
          <w:tab w:val="num" w:pos="6480"/>
        </w:tabs>
        <w:ind w:left="6480" w:hanging="180"/>
      </w:pPr>
      <w:rPr>
        <w:rFonts w:cs="Times New Roman"/>
      </w:rPr>
    </w:lvl>
  </w:abstractNum>
  <w:abstractNum w:abstractNumId="99" w15:restartNumberingAfterBreak="0">
    <w:nsid w:val="743F54AA"/>
    <w:multiLevelType w:val="hybridMultilevel"/>
    <w:tmpl w:val="3B6E33F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00" w15:restartNumberingAfterBreak="0">
    <w:nsid w:val="74855748"/>
    <w:multiLevelType w:val="hybridMultilevel"/>
    <w:tmpl w:val="D1D6B956"/>
    <w:name w:val="List1319215434_1"/>
    <w:lvl w:ilvl="0" w:tplc="FFFFFFFF">
      <w:start w:val="1"/>
      <w:numFmt w:val="decimal"/>
      <w:lvlText w:val="%1."/>
      <w:lvlJc w:val="left"/>
      <w:pPr>
        <w:ind w:left="36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01" w15:restartNumberingAfterBreak="0">
    <w:nsid w:val="785405F4"/>
    <w:multiLevelType w:val="multilevel"/>
    <w:tmpl w:val="D726766C"/>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8D133E8"/>
    <w:multiLevelType w:val="hybridMultilevel"/>
    <w:tmpl w:val="07943042"/>
    <w:lvl w:ilvl="0" w:tplc="AEA68A0C">
      <w:start w:val="1"/>
      <w:numFmt w:val="decimal"/>
      <w:lvlText w:val="14.%1."/>
      <w:lvlJc w:val="left"/>
      <w:pPr>
        <w:ind w:left="720" w:hanging="360"/>
      </w:pPr>
      <w:rPr>
        <w:rFonts w:ascii="Book Antiqua" w:hAnsi="Book Antiqua" w:hint="default"/>
        <w:b/>
        <w:bCs/>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3" w15:restartNumberingAfterBreak="0">
    <w:nsid w:val="791025A3"/>
    <w:multiLevelType w:val="hybridMultilevel"/>
    <w:tmpl w:val="2F32D6A4"/>
    <w:styleLink w:val="WW8Num11212"/>
    <w:lvl w:ilvl="0" w:tplc="140A000F">
      <w:start w:val="1"/>
      <w:numFmt w:val="decimal"/>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04" w15:restartNumberingAfterBreak="0">
    <w:nsid w:val="798534D1"/>
    <w:multiLevelType w:val="multilevel"/>
    <w:tmpl w:val="F91C33E4"/>
    <w:styleLink w:val="WW8Num13"/>
    <w:lvl w:ilvl="0">
      <w:start w:val="1"/>
      <w:numFmt w:val="decimal"/>
      <w:lvlText w:val="%1."/>
      <w:lvlJc w:val="left"/>
      <w:rPr>
        <w:rFonts w:ascii="Calibri" w:hAnsi="Calibri" w:cs="Calibri"/>
        <w:b/>
        <w:sz w:val="18"/>
        <w:szCs w:val="18"/>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5" w15:restartNumberingAfterBreak="0">
    <w:nsid w:val="7A8F1C35"/>
    <w:multiLevelType w:val="hybridMultilevel"/>
    <w:tmpl w:val="BCE8CB38"/>
    <w:lvl w:ilvl="0" w:tplc="140A0001">
      <w:start w:val="1"/>
      <w:numFmt w:val="bullet"/>
      <w:lvlText w:val=""/>
      <w:lvlJc w:val="left"/>
      <w:pPr>
        <w:ind w:left="780" w:hanging="360"/>
      </w:pPr>
      <w:rPr>
        <w:rFonts w:ascii="Symbol" w:hAnsi="Symbol" w:hint="default"/>
      </w:rPr>
    </w:lvl>
    <w:lvl w:ilvl="1" w:tplc="140A0003" w:tentative="1">
      <w:start w:val="1"/>
      <w:numFmt w:val="bullet"/>
      <w:lvlText w:val="o"/>
      <w:lvlJc w:val="left"/>
      <w:pPr>
        <w:ind w:left="1500" w:hanging="360"/>
      </w:pPr>
      <w:rPr>
        <w:rFonts w:ascii="Courier New" w:hAnsi="Courier New" w:cs="Courier New" w:hint="default"/>
      </w:rPr>
    </w:lvl>
    <w:lvl w:ilvl="2" w:tplc="140A0005" w:tentative="1">
      <w:start w:val="1"/>
      <w:numFmt w:val="bullet"/>
      <w:lvlText w:val=""/>
      <w:lvlJc w:val="left"/>
      <w:pPr>
        <w:ind w:left="2220" w:hanging="360"/>
      </w:pPr>
      <w:rPr>
        <w:rFonts w:ascii="Wingdings" w:hAnsi="Wingdings" w:hint="default"/>
      </w:rPr>
    </w:lvl>
    <w:lvl w:ilvl="3" w:tplc="140A0001" w:tentative="1">
      <w:start w:val="1"/>
      <w:numFmt w:val="bullet"/>
      <w:lvlText w:val=""/>
      <w:lvlJc w:val="left"/>
      <w:pPr>
        <w:ind w:left="2940" w:hanging="360"/>
      </w:pPr>
      <w:rPr>
        <w:rFonts w:ascii="Symbol" w:hAnsi="Symbol" w:hint="default"/>
      </w:rPr>
    </w:lvl>
    <w:lvl w:ilvl="4" w:tplc="140A0003" w:tentative="1">
      <w:start w:val="1"/>
      <w:numFmt w:val="bullet"/>
      <w:lvlText w:val="o"/>
      <w:lvlJc w:val="left"/>
      <w:pPr>
        <w:ind w:left="3660" w:hanging="360"/>
      </w:pPr>
      <w:rPr>
        <w:rFonts w:ascii="Courier New" w:hAnsi="Courier New" w:cs="Courier New" w:hint="default"/>
      </w:rPr>
    </w:lvl>
    <w:lvl w:ilvl="5" w:tplc="140A0005" w:tentative="1">
      <w:start w:val="1"/>
      <w:numFmt w:val="bullet"/>
      <w:lvlText w:val=""/>
      <w:lvlJc w:val="left"/>
      <w:pPr>
        <w:ind w:left="4380" w:hanging="360"/>
      </w:pPr>
      <w:rPr>
        <w:rFonts w:ascii="Wingdings" w:hAnsi="Wingdings" w:hint="default"/>
      </w:rPr>
    </w:lvl>
    <w:lvl w:ilvl="6" w:tplc="140A0001" w:tentative="1">
      <w:start w:val="1"/>
      <w:numFmt w:val="bullet"/>
      <w:lvlText w:val=""/>
      <w:lvlJc w:val="left"/>
      <w:pPr>
        <w:ind w:left="5100" w:hanging="360"/>
      </w:pPr>
      <w:rPr>
        <w:rFonts w:ascii="Symbol" w:hAnsi="Symbol" w:hint="default"/>
      </w:rPr>
    </w:lvl>
    <w:lvl w:ilvl="7" w:tplc="140A0003" w:tentative="1">
      <w:start w:val="1"/>
      <w:numFmt w:val="bullet"/>
      <w:lvlText w:val="o"/>
      <w:lvlJc w:val="left"/>
      <w:pPr>
        <w:ind w:left="5820" w:hanging="360"/>
      </w:pPr>
      <w:rPr>
        <w:rFonts w:ascii="Courier New" w:hAnsi="Courier New" w:cs="Courier New" w:hint="default"/>
      </w:rPr>
    </w:lvl>
    <w:lvl w:ilvl="8" w:tplc="140A0005" w:tentative="1">
      <w:start w:val="1"/>
      <w:numFmt w:val="bullet"/>
      <w:lvlText w:val=""/>
      <w:lvlJc w:val="left"/>
      <w:pPr>
        <w:ind w:left="6540" w:hanging="360"/>
      </w:pPr>
      <w:rPr>
        <w:rFonts w:ascii="Wingdings" w:hAnsi="Wingdings" w:hint="default"/>
      </w:rPr>
    </w:lvl>
  </w:abstractNum>
  <w:abstractNum w:abstractNumId="106" w15:restartNumberingAfterBreak="0">
    <w:nsid w:val="7DB301A3"/>
    <w:multiLevelType w:val="multilevel"/>
    <w:tmpl w:val="0A92EF1C"/>
    <w:styleLink w:val="11111111111"/>
    <w:lvl w:ilvl="0">
      <w:start w:val="1"/>
      <w:numFmt w:val="decimal"/>
      <w:lvlText w:val="%1."/>
      <w:lvlJc w:val="left"/>
      <w:pPr>
        <w:ind w:left="360" w:hanging="360"/>
      </w:pPr>
    </w:lvl>
    <w:lvl w:ilvl="1">
      <w:start w:val="1"/>
      <w:numFmt w:val="decimal"/>
      <w:lvlText w:val="%1.%2."/>
      <w:lvlJc w:val="left"/>
      <w:pPr>
        <w:ind w:left="1125" w:hanging="360"/>
      </w:pPr>
    </w:lvl>
    <w:lvl w:ilvl="2">
      <w:start w:val="1"/>
      <w:numFmt w:val="decimal"/>
      <w:lvlText w:val="%1.%2.%3."/>
      <w:lvlJc w:val="left"/>
      <w:pPr>
        <w:ind w:left="2250" w:hanging="720"/>
      </w:pPr>
    </w:lvl>
    <w:lvl w:ilvl="3">
      <w:start w:val="1"/>
      <w:numFmt w:val="decimal"/>
      <w:lvlText w:val="%1.%2.%3.%4."/>
      <w:lvlJc w:val="left"/>
      <w:pPr>
        <w:ind w:left="3015" w:hanging="720"/>
      </w:pPr>
    </w:lvl>
    <w:lvl w:ilvl="4">
      <w:start w:val="1"/>
      <w:numFmt w:val="decimal"/>
      <w:lvlText w:val="%1.%2.%3.%4.%5."/>
      <w:lvlJc w:val="left"/>
      <w:pPr>
        <w:ind w:left="4140" w:hanging="1080"/>
      </w:pPr>
    </w:lvl>
    <w:lvl w:ilvl="5">
      <w:start w:val="1"/>
      <w:numFmt w:val="decimal"/>
      <w:lvlText w:val="%1.%2.%3.%4.%5.%6."/>
      <w:lvlJc w:val="left"/>
      <w:pPr>
        <w:ind w:left="4905" w:hanging="1080"/>
      </w:pPr>
    </w:lvl>
    <w:lvl w:ilvl="6">
      <w:start w:val="1"/>
      <w:numFmt w:val="decimal"/>
      <w:lvlText w:val="%1.%2.%3.%4.%5.%6.%7."/>
      <w:lvlJc w:val="left"/>
      <w:pPr>
        <w:ind w:left="5670" w:hanging="1080"/>
      </w:pPr>
    </w:lvl>
    <w:lvl w:ilvl="7">
      <w:start w:val="1"/>
      <w:numFmt w:val="decimal"/>
      <w:lvlText w:val="%1.%2.%3.%4.%5.%6.%7.%8."/>
      <w:lvlJc w:val="left"/>
      <w:pPr>
        <w:ind w:left="6795" w:hanging="1440"/>
      </w:pPr>
    </w:lvl>
    <w:lvl w:ilvl="8">
      <w:start w:val="1"/>
      <w:numFmt w:val="decimal"/>
      <w:lvlText w:val="%1.%2.%3.%4.%5.%6.%7.%8.%9."/>
      <w:lvlJc w:val="left"/>
      <w:pPr>
        <w:ind w:left="7560" w:hanging="1440"/>
      </w:pPr>
    </w:lvl>
  </w:abstractNum>
  <w:abstractNum w:abstractNumId="107" w15:restartNumberingAfterBreak="0">
    <w:nsid w:val="7E08563A"/>
    <w:multiLevelType w:val="multilevel"/>
    <w:tmpl w:val="618CCCF2"/>
    <w:lvl w:ilvl="0">
      <w:start w:val="1"/>
      <w:numFmt w:val="decimal"/>
      <w:pStyle w:val="PEI"/>
      <w:lvlText w:val="%1."/>
      <w:lvlJc w:val="left"/>
      <w:pPr>
        <w:tabs>
          <w:tab w:val="num" w:pos="0"/>
        </w:tabs>
        <w:ind w:left="360" w:hanging="360"/>
      </w:pPr>
    </w:lvl>
    <w:lvl w:ilvl="1">
      <w:start w:val="1"/>
      <w:numFmt w:val="decimal"/>
      <w:lvlText w:val="%1.%2."/>
      <w:lvlJc w:val="left"/>
      <w:pPr>
        <w:tabs>
          <w:tab w:val="num" w:pos="0"/>
        </w:tabs>
        <w:ind w:left="3834" w:hanging="432"/>
      </w:pPr>
      <w:rPr>
        <w:color w:val="000000"/>
        <w:sz w:val="24"/>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08" w15:restartNumberingAfterBreak="0">
    <w:nsid w:val="7E51409C"/>
    <w:multiLevelType w:val="hybridMultilevel"/>
    <w:tmpl w:val="C7BC11CE"/>
    <w:name w:val="List128991383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9" w15:restartNumberingAfterBreak="0">
    <w:nsid w:val="7F6A4F34"/>
    <w:multiLevelType w:val="hybridMultilevel"/>
    <w:tmpl w:val="083E86CC"/>
    <w:name w:val="List1289917663_1"/>
    <w:lvl w:ilvl="0" w:tplc="FFFFFFFF">
      <w:start w:val="1"/>
      <w:numFmt w:val="decimal"/>
      <w:lvlText w:val="%1."/>
      <w:lvlJc w:val="left"/>
      <w:pPr>
        <w:ind w:left="418"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927766273">
    <w:abstractNumId w:val="4"/>
  </w:num>
  <w:num w:numId="2" w16cid:durableId="1267083886">
    <w:abstractNumId w:val="58"/>
  </w:num>
  <w:num w:numId="3" w16cid:durableId="408891312">
    <w:abstractNumId w:val="22"/>
  </w:num>
  <w:num w:numId="4" w16cid:durableId="208879318">
    <w:abstractNumId w:val="91"/>
  </w:num>
  <w:num w:numId="5" w16cid:durableId="150298238">
    <w:abstractNumId w:val="3"/>
  </w:num>
  <w:num w:numId="6" w16cid:durableId="1848009838">
    <w:abstractNumId w:val="59"/>
  </w:num>
  <w:num w:numId="7" w16cid:durableId="99420596">
    <w:abstractNumId w:val="2"/>
  </w:num>
  <w:num w:numId="8" w16cid:durableId="794641808">
    <w:abstractNumId w:val="52"/>
  </w:num>
  <w:num w:numId="9" w16cid:durableId="612202712">
    <w:abstractNumId w:val="69"/>
  </w:num>
  <w:num w:numId="10" w16cid:durableId="1682855143">
    <w:abstractNumId w:val="65"/>
  </w:num>
  <w:num w:numId="11" w16cid:durableId="1594587811">
    <w:abstractNumId w:val="42"/>
  </w:num>
  <w:num w:numId="12" w16cid:durableId="1458991770">
    <w:abstractNumId w:val="24"/>
  </w:num>
  <w:num w:numId="13" w16cid:durableId="487863439">
    <w:abstractNumId w:val="26"/>
  </w:num>
  <w:num w:numId="14" w16cid:durableId="876889792">
    <w:abstractNumId w:val="50"/>
  </w:num>
  <w:num w:numId="15" w16cid:durableId="707343156">
    <w:abstractNumId w:val="62"/>
  </w:num>
  <w:num w:numId="16" w16cid:durableId="33701692">
    <w:abstractNumId w:val="43"/>
  </w:num>
  <w:num w:numId="17" w16cid:durableId="1872642529">
    <w:abstractNumId w:val="46"/>
  </w:num>
  <w:num w:numId="18" w16cid:durableId="1220674996">
    <w:abstractNumId w:val="95"/>
  </w:num>
  <w:num w:numId="19" w16cid:durableId="800266165">
    <w:abstractNumId w:val="104"/>
  </w:num>
  <w:num w:numId="20" w16cid:durableId="1910844327">
    <w:abstractNumId w:val="21"/>
  </w:num>
  <w:num w:numId="21" w16cid:durableId="539131531">
    <w:abstractNumId w:val="36"/>
  </w:num>
  <w:num w:numId="22" w16cid:durableId="127481671">
    <w:abstractNumId w:val="61"/>
  </w:num>
  <w:num w:numId="23" w16cid:durableId="1105420160">
    <w:abstractNumId w:val="96"/>
  </w:num>
  <w:num w:numId="24" w16cid:durableId="228999454">
    <w:abstractNumId w:val="1"/>
    <w:lvlOverride w:ilvl="0">
      <w:startOverride w:val="1"/>
    </w:lvlOverride>
  </w:num>
  <w:num w:numId="25" w16cid:durableId="1681079985">
    <w:abstractNumId w:val="0"/>
    <w:lvlOverride w:ilvl="0">
      <w:startOverride w:val="1"/>
    </w:lvlOverride>
  </w:num>
  <w:num w:numId="26" w16cid:durableId="2634324">
    <w:abstractNumId w:val="88"/>
  </w:num>
  <w:num w:numId="27" w16cid:durableId="393819844">
    <w:abstractNumId w:val="23"/>
  </w:num>
  <w:num w:numId="28" w16cid:durableId="564223578">
    <w:abstractNumId w:val="77"/>
  </w:num>
  <w:num w:numId="29" w16cid:durableId="1293171610">
    <w:abstractNumId w:val="86"/>
  </w:num>
  <w:num w:numId="30" w16cid:durableId="129977970">
    <w:abstractNumId w:val="30"/>
  </w:num>
  <w:num w:numId="31" w16cid:durableId="695235142">
    <w:abstractNumId w:val="49"/>
  </w:num>
  <w:num w:numId="32" w16cid:durableId="1553536667">
    <w:abstractNumId w:val="87"/>
  </w:num>
  <w:num w:numId="33" w16cid:durableId="1760831654">
    <w:abstractNumId w:val="5"/>
  </w:num>
  <w:num w:numId="34" w16cid:durableId="2126579416">
    <w:abstractNumId w:val="25"/>
  </w:num>
  <w:num w:numId="35" w16cid:durableId="360714972">
    <w:abstractNumId w:val="106"/>
  </w:num>
  <w:num w:numId="36" w16cid:durableId="1092242480">
    <w:abstractNumId w:val="107"/>
  </w:num>
  <w:num w:numId="37" w16cid:durableId="706679110">
    <w:abstractNumId w:val="67"/>
  </w:num>
  <w:num w:numId="38" w16cid:durableId="384529505">
    <w:abstractNumId w:val="98"/>
  </w:num>
  <w:num w:numId="39" w16cid:durableId="1241527330">
    <w:abstractNumId w:val="32"/>
  </w:num>
  <w:num w:numId="40" w16cid:durableId="930818566">
    <w:abstractNumId w:val="27"/>
  </w:num>
  <w:num w:numId="41" w16cid:durableId="1401906932">
    <w:abstractNumId w:val="72"/>
  </w:num>
  <w:num w:numId="42" w16cid:durableId="1413893702">
    <w:abstractNumId w:val="35"/>
  </w:num>
  <w:num w:numId="43" w16cid:durableId="1531992179">
    <w:abstractNumId w:val="103"/>
  </w:num>
  <w:num w:numId="44" w16cid:durableId="52169209">
    <w:abstractNumId w:val="68"/>
  </w:num>
  <w:num w:numId="45" w16cid:durableId="85999615">
    <w:abstractNumId w:val="40"/>
  </w:num>
  <w:num w:numId="46" w16cid:durableId="5063888">
    <w:abstractNumId w:val="48"/>
  </w:num>
  <w:num w:numId="47" w16cid:durableId="1389264432">
    <w:abstractNumId w:val="83"/>
  </w:num>
  <w:num w:numId="48" w16cid:durableId="1513496306">
    <w:abstractNumId w:val="93"/>
  </w:num>
  <w:num w:numId="49" w16cid:durableId="1597399413">
    <w:abstractNumId w:val="84"/>
  </w:num>
  <w:num w:numId="50" w16cid:durableId="1052576305">
    <w:abstractNumId w:val="29"/>
  </w:num>
  <w:num w:numId="51" w16cid:durableId="876939905">
    <w:abstractNumId w:val="63"/>
  </w:num>
  <w:num w:numId="52" w16cid:durableId="1153252330">
    <w:abstractNumId w:val="31"/>
  </w:num>
  <w:num w:numId="53" w16cid:durableId="622879674">
    <w:abstractNumId w:val="90"/>
  </w:num>
  <w:num w:numId="54" w16cid:durableId="384842501">
    <w:abstractNumId w:val="47"/>
  </w:num>
  <w:num w:numId="55" w16cid:durableId="1802841830">
    <w:abstractNumId w:val="102"/>
  </w:num>
  <w:num w:numId="56" w16cid:durableId="133179762">
    <w:abstractNumId w:val="54"/>
  </w:num>
  <w:num w:numId="57" w16cid:durableId="1513567079">
    <w:abstractNumId w:val="55"/>
  </w:num>
  <w:num w:numId="58" w16cid:durableId="1362441336">
    <w:abstractNumId w:val="33"/>
  </w:num>
  <w:num w:numId="59" w16cid:durableId="1278296105">
    <w:abstractNumId w:val="74"/>
  </w:num>
  <w:num w:numId="60" w16cid:durableId="1800490234">
    <w:abstractNumId w:val="60"/>
  </w:num>
  <w:num w:numId="61" w16cid:durableId="2092192994">
    <w:abstractNumId w:val="78"/>
  </w:num>
  <w:num w:numId="62" w16cid:durableId="757796122">
    <w:abstractNumId w:val="99"/>
  </w:num>
  <w:num w:numId="63" w16cid:durableId="1433164041">
    <w:abstractNumId w:val="53"/>
  </w:num>
  <w:num w:numId="64" w16cid:durableId="195388525">
    <w:abstractNumId w:val="89"/>
  </w:num>
  <w:num w:numId="65" w16cid:durableId="1892232018">
    <w:abstractNumId w:val="85"/>
  </w:num>
  <w:num w:numId="66" w16cid:durableId="2006937936">
    <w:abstractNumId w:val="64"/>
  </w:num>
  <w:num w:numId="67" w16cid:durableId="235281556">
    <w:abstractNumId w:val="57"/>
  </w:num>
  <w:num w:numId="68" w16cid:durableId="1241870494">
    <w:abstractNumId w:val="56"/>
  </w:num>
  <w:num w:numId="69" w16cid:durableId="1060906918">
    <w:abstractNumId w:val="94"/>
  </w:num>
  <w:num w:numId="70" w16cid:durableId="209155028">
    <w:abstractNumId w:val="38"/>
  </w:num>
  <w:num w:numId="71" w16cid:durableId="1419474051">
    <w:abstractNumId w:val="15"/>
  </w:num>
  <w:num w:numId="72" w16cid:durableId="1758673605">
    <w:abstractNumId w:val="34"/>
  </w:num>
  <w:num w:numId="73" w16cid:durableId="2013292530">
    <w:abstractNumId w:val="19"/>
  </w:num>
  <w:num w:numId="74" w16cid:durableId="128087120">
    <w:abstractNumId w:val="44"/>
  </w:num>
  <w:num w:numId="75" w16cid:durableId="857036774">
    <w:abstractNumId w:val="75"/>
  </w:num>
  <w:num w:numId="76" w16cid:durableId="482547873">
    <w:abstractNumId w:val="51"/>
  </w:num>
  <w:num w:numId="77" w16cid:durableId="2059087129">
    <w:abstractNumId w:val="17"/>
  </w:num>
  <w:num w:numId="78" w16cid:durableId="45614673">
    <w:abstractNumId w:val="101"/>
  </w:num>
  <w:num w:numId="79" w16cid:durableId="2056003218">
    <w:abstractNumId w:val="45"/>
  </w:num>
  <w:num w:numId="80" w16cid:durableId="2070768190">
    <w:abstractNumId w:val="66"/>
  </w:num>
  <w:num w:numId="81" w16cid:durableId="44764256">
    <w:abstractNumId w:val="105"/>
  </w:num>
  <w:num w:numId="82" w16cid:durableId="315961812">
    <w:abstractNumId w:val="41"/>
  </w:num>
  <w:num w:numId="83" w16cid:durableId="746342835">
    <w:abstractNumId w:val="92"/>
  </w:num>
  <w:num w:numId="84" w16cid:durableId="1979797176">
    <w:abstractNumId w:val="28"/>
  </w:num>
  <w:numIdMacAtCleanup w:val="8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w:hdrShapeDefault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FD3"/>
    <w:rsid w:val="0000030A"/>
    <w:rsid w:val="00000547"/>
    <w:rsid w:val="00000657"/>
    <w:rsid w:val="0000096C"/>
    <w:rsid w:val="00005C70"/>
    <w:rsid w:val="000062F8"/>
    <w:rsid w:val="000070A3"/>
    <w:rsid w:val="000071F8"/>
    <w:rsid w:val="000074A7"/>
    <w:rsid w:val="00007773"/>
    <w:rsid w:val="00007D52"/>
    <w:rsid w:val="000105BD"/>
    <w:rsid w:val="00010A10"/>
    <w:rsid w:val="00010FF3"/>
    <w:rsid w:val="000118AF"/>
    <w:rsid w:val="0001207E"/>
    <w:rsid w:val="000122C5"/>
    <w:rsid w:val="000129DD"/>
    <w:rsid w:val="00012B47"/>
    <w:rsid w:val="00012D3C"/>
    <w:rsid w:val="0001371B"/>
    <w:rsid w:val="000144B0"/>
    <w:rsid w:val="00016875"/>
    <w:rsid w:val="000201B9"/>
    <w:rsid w:val="00020443"/>
    <w:rsid w:val="0002083F"/>
    <w:rsid w:val="000208C7"/>
    <w:rsid w:val="00020A3F"/>
    <w:rsid w:val="00020D3C"/>
    <w:rsid w:val="00020DC9"/>
    <w:rsid w:val="00021445"/>
    <w:rsid w:val="00024CA6"/>
    <w:rsid w:val="0002502F"/>
    <w:rsid w:val="00027722"/>
    <w:rsid w:val="000313FD"/>
    <w:rsid w:val="000324DA"/>
    <w:rsid w:val="00033191"/>
    <w:rsid w:val="00034D03"/>
    <w:rsid w:val="00035408"/>
    <w:rsid w:val="00037A0D"/>
    <w:rsid w:val="000414BA"/>
    <w:rsid w:val="00041C7B"/>
    <w:rsid w:val="00042B83"/>
    <w:rsid w:val="000431AA"/>
    <w:rsid w:val="000437B4"/>
    <w:rsid w:val="00044C29"/>
    <w:rsid w:val="00044EF4"/>
    <w:rsid w:val="00045504"/>
    <w:rsid w:val="00046709"/>
    <w:rsid w:val="000472F0"/>
    <w:rsid w:val="000504A8"/>
    <w:rsid w:val="000506F1"/>
    <w:rsid w:val="00050DB6"/>
    <w:rsid w:val="00051CBC"/>
    <w:rsid w:val="0005443C"/>
    <w:rsid w:val="000550D7"/>
    <w:rsid w:val="000559A1"/>
    <w:rsid w:val="00055D86"/>
    <w:rsid w:val="000564C7"/>
    <w:rsid w:val="0005673C"/>
    <w:rsid w:val="0005690C"/>
    <w:rsid w:val="0005727A"/>
    <w:rsid w:val="00057AE3"/>
    <w:rsid w:val="0006055D"/>
    <w:rsid w:val="00060E6F"/>
    <w:rsid w:val="00060F8D"/>
    <w:rsid w:val="00063144"/>
    <w:rsid w:val="0006332B"/>
    <w:rsid w:val="00065108"/>
    <w:rsid w:val="00066A0E"/>
    <w:rsid w:val="00070A7A"/>
    <w:rsid w:val="00071574"/>
    <w:rsid w:val="000738D4"/>
    <w:rsid w:val="000741D7"/>
    <w:rsid w:val="000800D5"/>
    <w:rsid w:val="0008095F"/>
    <w:rsid w:val="00081C5C"/>
    <w:rsid w:val="00082CBA"/>
    <w:rsid w:val="00085E1A"/>
    <w:rsid w:val="000860BB"/>
    <w:rsid w:val="00086270"/>
    <w:rsid w:val="00090AB3"/>
    <w:rsid w:val="00091019"/>
    <w:rsid w:val="00091CEE"/>
    <w:rsid w:val="00092282"/>
    <w:rsid w:val="00094AC3"/>
    <w:rsid w:val="00094BB1"/>
    <w:rsid w:val="000954AB"/>
    <w:rsid w:val="00095A43"/>
    <w:rsid w:val="00095D5F"/>
    <w:rsid w:val="00095F91"/>
    <w:rsid w:val="00095FE9"/>
    <w:rsid w:val="000964B6"/>
    <w:rsid w:val="00097225"/>
    <w:rsid w:val="00097D80"/>
    <w:rsid w:val="00097E7C"/>
    <w:rsid w:val="00097F1E"/>
    <w:rsid w:val="000A16C0"/>
    <w:rsid w:val="000A1B5C"/>
    <w:rsid w:val="000A330B"/>
    <w:rsid w:val="000A6438"/>
    <w:rsid w:val="000A6815"/>
    <w:rsid w:val="000A6845"/>
    <w:rsid w:val="000A7900"/>
    <w:rsid w:val="000B1674"/>
    <w:rsid w:val="000B20DB"/>
    <w:rsid w:val="000B2836"/>
    <w:rsid w:val="000B2C0A"/>
    <w:rsid w:val="000B32F9"/>
    <w:rsid w:val="000B439D"/>
    <w:rsid w:val="000B63DE"/>
    <w:rsid w:val="000B674F"/>
    <w:rsid w:val="000B7C0F"/>
    <w:rsid w:val="000B7DEA"/>
    <w:rsid w:val="000B7E97"/>
    <w:rsid w:val="000C1A12"/>
    <w:rsid w:val="000C1AF3"/>
    <w:rsid w:val="000C2A55"/>
    <w:rsid w:val="000C3FA1"/>
    <w:rsid w:val="000C41FA"/>
    <w:rsid w:val="000C6E78"/>
    <w:rsid w:val="000C6FD1"/>
    <w:rsid w:val="000D1963"/>
    <w:rsid w:val="000D2034"/>
    <w:rsid w:val="000D212B"/>
    <w:rsid w:val="000D21EF"/>
    <w:rsid w:val="000D3427"/>
    <w:rsid w:val="000D41D7"/>
    <w:rsid w:val="000D5744"/>
    <w:rsid w:val="000D6495"/>
    <w:rsid w:val="000D6FFD"/>
    <w:rsid w:val="000E0AC6"/>
    <w:rsid w:val="000E21F0"/>
    <w:rsid w:val="000E296A"/>
    <w:rsid w:val="000E3307"/>
    <w:rsid w:val="000E3584"/>
    <w:rsid w:val="000E3685"/>
    <w:rsid w:val="000E3E12"/>
    <w:rsid w:val="000E4B24"/>
    <w:rsid w:val="000E5196"/>
    <w:rsid w:val="000E525D"/>
    <w:rsid w:val="000E5915"/>
    <w:rsid w:val="000E71C5"/>
    <w:rsid w:val="000E7298"/>
    <w:rsid w:val="000F034F"/>
    <w:rsid w:val="000F0B38"/>
    <w:rsid w:val="000F2B0B"/>
    <w:rsid w:val="000F2C3A"/>
    <w:rsid w:val="000F3332"/>
    <w:rsid w:val="000F533D"/>
    <w:rsid w:val="000F5C5B"/>
    <w:rsid w:val="000F5F15"/>
    <w:rsid w:val="000F64A2"/>
    <w:rsid w:val="0010072B"/>
    <w:rsid w:val="001009D6"/>
    <w:rsid w:val="001012E6"/>
    <w:rsid w:val="001019B6"/>
    <w:rsid w:val="00102490"/>
    <w:rsid w:val="001032FE"/>
    <w:rsid w:val="001035B8"/>
    <w:rsid w:val="0010424D"/>
    <w:rsid w:val="0010591B"/>
    <w:rsid w:val="0011040A"/>
    <w:rsid w:val="00110896"/>
    <w:rsid w:val="00111539"/>
    <w:rsid w:val="0011398B"/>
    <w:rsid w:val="0011737B"/>
    <w:rsid w:val="001211BA"/>
    <w:rsid w:val="0012123C"/>
    <w:rsid w:val="00121DE3"/>
    <w:rsid w:val="00122371"/>
    <w:rsid w:val="00122436"/>
    <w:rsid w:val="0012244C"/>
    <w:rsid w:val="00123E68"/>
    <w:rsid w:val="00127480"/>
    <w:rsid w:val="00130249"/>
    <w:rsid w:val="00130F4A"/>
    <w:rsid w:val="00136432"/>
    <w:rsid w:val="00136BD4"/>
    <w:rsid w:val="00141EF8"/>
    <w:rsid w:val="001434AE"/>
    <w:rsid w:val="00143A3F"/>
    <w:rsid w:val="00145068"/>
    <w:rsid w:val="0014656B"/>
    <w:rsid w:val="001506AD"/>
    <w:rsid w:val="001513F0"/>
    <w:rsid w:val="00152DA9"/>
    <w:rsid w:val="0015357E"/>
    <w:rsid w:val="001540CA"/>
    <w:rsid w:val="001542B1"/>
    <w:rsid w:val="00156335"/>
    <w:rsid w:val="0015687D"/>
    <w:rsid w:val="00157D8D"/>
    <w:rsid w:val="00157EED"/>
    <w:rsid w:val="00161212"/>
    <w:rsid w:val="001613B4"/>
    <w:rsid w:val="00161D62"/>
    <w:rsid w:val="00161FFC"/>
    <w:rsid w:val="00162F82"/>
    <w:rsid w:val="001640C5"/>
    <w:rsid w:val="001647C1"/>
    <w:rsid w:val="00165925"/>
    <w:rsid w:val="00171860"/>
    <w:rsid w:val="00172409"/>
    <w:rsid w:val="00172683"/>
    <w:rsid w:val="00173191"/>
    <w:rsid w:val="00173B8D"/>
    <w:rsid w:val="00173BA0"/>
    <w:rsid w:val="00174F69"/>
    <w:rsid w:val="001750B0"/>
    <w:rsid w:val="001766CF"/>
    <w:rsid w:val="0017715E"/>
    <w:rsid w:val="00177E74"/>
    <w:rsid w:val="00180422"/>
    <w:rsid w:val="0018062D"/>
    <w:rsid w:val="00181591"/>
    <w:rsid w:val="001817F8"/>
    <w:rsid w:val="00181C47"/>
    <w:rsid w:val="00182336"/>
    <w:rsid w:val="0018325E"/>
    <w:rsid w:val="001840A7"/>
    <w:rsid w:val="00184C8A"/>
    <w:rsid w:val="00186ADE"/>
    <w:rsid w:val="0019247F"/>
    <w:rsid w:val="00193466"/>
    <w:rsid w:val="0019777D"/>
    <w:rsid w:val="00197A2D"/>
    <w:rsid w:val="00197F96"/>
    <w:rsid w:val="001A174B"/>
    <w:rsid w:val="001A3183"/>
    <w:rsid w:val="001A43FE"/>
    <w:rsid w:val="001A63E0"/>
    <w:rsid w:val="001A6DCB"/>
    <w:rsid w:val="001B3F75"/>
    <w:rsid w:val="001B577D"/>
    <w:rsid w:val="001B7697"/>
    <w:rsid w:val="001C0C6E"/>
    <w:rsid w:val="001C25C1"/>
    <w:rsid w:val="001C26B9"/>
    <w:rsid w:val="001C2728"/>
    <w:rsid w:val="001C2813"/>
    <w:rsid w:val="001C2F5B"/>
    <w:rsid w:val="001C3300"/>
    <w:rsid w:val="001C348B"/>
    <w:rsid w:val="001C3D6F"/>
    <w:rsid w:val="001C4758"/>
    <w:rsid w:val="001C6F2F"/>
    <w:rsid w:val="001D11A0"/>
    <w:rsid w:val="001E4C4F"/>
    <w:rsid w:val="001E4D6B"/>
    <w:rsid w:val="001E4E04"/>
    <w:rsid w:val="001E5102"/>
    <w:rsid w:val="001E5171"/>
    <w:rsid w:val="001E53B9"/>
    <w:rsid w:val="001E5E1A"/>
    <w:rsid w:val="001E68CC"/>
    <w:rsid w:val="001F224B"/>
    <w:rsid w:val="001F2F94"/>
    <w:rsid w:val="001F3A82"/>
    <w:rsid w:val="001F6067"/>
    <w:rsid w:val="001F66BE"/>
    <w:rsid w:val="002000CE"/>
    <w:rsid w:val="00203325"/>
    <w:rsid w:val="0020362A"/>
    <w:rsid w:val="00203836"/>
    <w:rsid w:val="0020444D"/>
    <w:rsid w:val="002059C1"/>
    <w:rsid w:val="00206130"/>
    <w:rsid w:val="00212DBF"/>
    <w:rsid w:val="00212ED2"/>
    <w:rsid w:val="00213C7D"/>
    <w:rsid w:val="00213F67"/>
    <w:rsid w:val="002142AB"/>
    <w:rsid w:val="002156BD"/>
    <w:rsid w:val="002157C9"/>
    <w:rsid w:val="002202F0"/>
    <w:rsid w:val="002209CE"/>
    <w:rsid w:val="00221033"/>
    <w:rsid w:val="002210C0"/>
    <w:rsid w:val="002222A3"/>
    <w:rsid w:val="002229BC"/>
    <w:rsid w:val="002239B1"/>
    <w:rsid w:val="00223D57"/>
    <w:rsid w:val="00223DA9"/>
    <w:rsid w:val="002267D8"/>
    <w:rsid w:val="00226FC6"/>
    <w:rsid w:val="0022798C"/>
    <w:rsid w:val="0023001B"/>
    <w:rsid w:val="00230498"/>
    <w:rsid w:val="0023164E"/>
    <w:rsid w:val="00231BF4"/>
    <w:rsid w:val="00234206"/>
    <w:rsid w:val="002342E3"/>
    <w:rsid w:val="00234DD9"/>
    <w:rsid w:val="00235BB2"/>
    <w:rsid w:val="00235BF0"/>
    <w:rsid w:val="00242A28"/>
    <w:rsid w:val="00242E5F"/>
    <w:rsid w:val="00245A35"/>
    <w:rsid w:val="00245D74"/>
    <w:rsid w:val="00247661"/>
    <w:rsid w:val="00247CE7"/>
    <w:rsid w:val="0025018C"/>
    <w:rsid w:val="00250AE3"/>
    <w:rsid w:val="00251097"/>
    <w:rsid w:val="00253A5D"/>
    <w:rsid w:val="00254A9E"/>
    <w:rsid w:val="00255680"/>
    <w:rsid w:val="00255C02"/>
    <w:rsid w:val="00255C68"/>
    <w:rsid w:val="002564E2"/>
    <w:rsid w:val="002571E8"/>
    <w:rsid w:val="00261397"/>
    <w:rsid w:val="00262DC9"/>
    <w:rsid w:val="002630F8"/>
    <w:rsid w:val="0026326C"/>
    <w:rsid w:val="002640A5"/>
    <w:rsid w:val="002701E5"/>
    <w:rsid w:val="00271B36"/>
    <w:rsid w:val="00272A28"/>
    <w:rsid w:val="002735AD"/>
    <w:rsid w:val="002736BF"/>
    <w:rsid w:val="00273DED"/>
    <w:rsid w:val="00276F99"/>
    <w:rsid w:val="00277457"/>
    <w:rsid w:val="00277850"/>
    <w:rsid w:val="00280947"/>
    <w:rsid w:val="00280A27"/>
    <w:rsid w:val="00281866"/>
    <w:rsid w:val="002832D4"/>
    <w:rsid w:val="00283611"/>
    <w:rsid w:val="00284740"/>
    <w:rsid w:val="00284BFE"/>
    <w:rsid w:val="00284F8A"/>
    <w:rsid w:val="00286164"/>
    <w:rsid w:val="00286F08"/>
    <w:rsid w:val="00290267"/>
    <w:rsid w:val="0029216A"/>
    <w:rsid w:val="00294863"/>
    <w:rsid w:val="00295759"/>
    <w:rsid w:val="00296512"/>
    <w:rsid w:val="002967FA"/>
    <w:rsid w:val="00297BD0"/>
    <w:rsid w:val="00297DB3"/>
    <w:rsid w:val="00297EF2"/>
    <w:rsid w:val="002A24CA"/>
    <w:rsid w:val="002A3258"/>
    <w:rsid w:val="002A6286"/>
    <w:rsid w:val="002A72A4"/>
    <w:rsid w:val="002B0089"/>
    <w:rsid w:val="002B0157"/>
    <w:rsid w:val="002B0B51"/>
    <w:rsid w:val="002B2482"/>
    <w:rsid w:val="002B25DE"/>
    <w:rsid w:val="002B3DB7"/>
    <w:rsid w:val="002B4078"/>
    <w:rsid w:val="002B4FAC"/>
    <w:rsid w:val="002B517B"/>
    <w:rsid w:val="002B5738"/>
    <w:rsid w:val="002B7C3D"/>
    <w:rsid w:val="002C2AB8"/>
    <w:rsid w:val="002C5473"/>
    <w:rsid w:val="002D02B8"/>
    <w:rsid w:val="002D04D5"/>
    <w:rsid w:val="002D106E"/>
    <w:rsid w:val="002D2667"/>
    <w:rsid w:val="002D3D71"/>
    <w:rsid w:val="002D5790"/>
    <w:rsid w:val="002D7BED"/>
    <w:rsid w:val="002E0EC3"/>
    <w:rsid w:val="002E2271"/>
    <w:rsid w:val="002E5433"/>
    <w:rsid w:val="002E563A"/>
    <w:rsid w:val="002E661F"/>
    <w:rsid w:val="002E6C1A"/>
    <w:rsid w:val="002E7CB8"/>
    <w:rsid w:val="002F0FC1"/>
    <w:rsid w:val="002F4CE2"/>
    <w:rsid w:val="002F5A60"/>
    <w:rsid w:val="002F7286"/>
    <w:rsid w:val="002F7F5B"/>
    <w:rsid w:val="003011FF"/>
    <w:rsid w:val="0030278D"/>
    <w:rsid w:val="00302FF5"/>
    <w:rsid w:val="003031F3"/>
    <w:rsid w:val="00303232"/>
    <w:rsid w:val="003032E0"/>
    <w:rsid w:val="00303342"/>
    <w:rsid w:val="00303ED7"/>
    <w:rsid w:val="00304B27"/>
    <w:rsid w:val="0030761A"/>
    <w:rsid w:val="00311185"/>
    <w:rsid w:val="00312CAB"/>
    <w:rsid w:val="00312F5D"/>
    <w:rsid w:val="00313956"/>
    <w:rsid w:val="00314A59"/>
    <w:rsid w:val="00315E14"/>
    <w:rsid w:val="00316EAA"/>
    <w:rsid w:val="00317980"/>
    <w:rsid w:val="00320860"/>
    <w:rsid w:val="00323782"/>
    <w:rsid w:val="003244A0"/>
    <w:rsid w:val="00324B66"/>
    <w:rsid w:val="00324E8D"/>
    <w:rsid w:val="00324EE2"/>
    <w:rsid w:val="0032535F"/>
    <w:rsid w:val="00325E9D"/>
    <w:rsid w:val="0032634B"/>
    <w:rsid w:val="00327CE2"/>
    <w:rsid w:val="00330900"/>
    <w:rsid w:val="003318B5"/>
    <w:rsid w:val="00331C62"/>
    <w:rsid w:val="00332F98"/>
    <w:rsid w:val="003341E0"/>
    <w:rsid w:val="003354A2"/>
    <w:rsid w:val="0033590A"/>
    <w:rsid w:val="00335E22"/>
    <w:rsid w:val="00340E88"/>
    <w:rsid w:val="00342756"/>
    <w:rsid w:val="003438E5"/>
    <w:rsid w:val="00345200"/>
    <w:rsid w:val="0034587C"/>
    <w:rsid w:val="00347438"/>
    <w:rsid w:val="00347A60"/>
    <w:rsid w:val="00351C7D"/>
    <w:rsid w:val="003547C3"/>
    <w:rsid w:val="003565E1"/>
    <w:rsid w:val="00357197"/>
    <w:rsid w:val="00360CAC"/>
    <w:rsid w:val="00360D3E"/>
    <w:rsid w:val="0036170B"/>
    <w:rsid w:val="00364E01"/>
    <w:rsid w:val="00366149"/>
    <w:rsid w:val="00367231"/>
    <w:rsid w:val="003709BD"/>
    <w:rsid w:val="00370CF7"/>
    <w:rsid w:val="003715EF"/>
    <w:rsid w:val="003717D6"/>
    <w:rsid w:val="003809AA"/>
    <w:rsid w:val="003811C0"/>
    <w:rsid w:val="0038121D"/>
    <w:rsid w:val="00381A26"/>
    <w:rsid w:val="00383FB1"/>
    <w:rsid w:val="00384DB7"/>
    <w:rsid w:val="00384E86"/>
    <w:rsid w:val="00384F7D"/>
    <w:rsid w:val="00385C26"/>
    <w:rsid w:val="00386822"/>
    <w:rsid w:val="003876FA"/>
    <w:rsid w:val="003877A7"/>
    <w:rsid w:val="0039008A"/>
    <w:rsid w:val="0039045D"/>
    <w:rsid w:val="003909F9"/>
    <w:rsid w:val="003945E5"/>
    <w:rsid w:val="0039529E"/>
    <w:rsid w:val="003A0C05"/>
    <w:rsid w:val="003A2112"/>
    <w:rsid w:val="003A2752"/>
    <w:rsid w:val="003A305D"/>
    <w:rsid w:val="003A5539"/>
    <w:rsid w:val="003B023D"/>
    <w:rsid w:val="003B0A5B"/>
    <w:rsid w:val="003B153C"/>
    <w:rsid w:val="003B1773"/>
    <w:rsid w:val="003B1B24"/>
    <w:rsid w:val="003B24FE"/>
    <w:rsid w:val="003B2689"/>
    <w:rsid w:val="003B2983"/>
    <w:rsid w:val="003B2E9B"/>
    <w:rsid w:val="003B6728"/>
    <w:rsid w:val="003B6DA4"/>
    <w:rsid w:val="003B7827"/>
    <w:rsid w:val="003C1B14"/>
    <w:rsid w:val="003C1D06"/>
    <w:rsid w:val="003C1F66"/>
    <w:rsid w:val="003C2151"/>
    <w:rsid w:val="003C322E"/>
    <w:rsid w:val="003C6FE1"/>
    <w:rsid w:val="003C7365"/>
    <w:rsid w:val="003C7410"/>
    <w:rsid w:val="003D3EC8"/>
    <w:rsid w:val="003D46A8"/>
    <w:rsid w:val="003D46DA"/>
    <w:rsid w:val="003D4A18"/>
    <w:rsid w:val="003D4C7A"/>
    <w:rsid w:val="003D5B44"/>
    <w:rsid w:val="003D6337"/>
    <w:rsid w:val="003D7B84"/>
    <w:rsid w:val="003E2507"/>
    <w:rsid w:val="003E2D68"/>
    <w:rsid w:val="003E3EED"/>
    <w:rsid w:val="003E3EF9"/>
    <w:rsid w:val="003E5F4D"/>
    <w:rsid w:val="003E6E93"/>
    <w:rsid w:val="003E7D67"/>
    <w:rsid w:val="003F12A9"/>
    <w:rsid w:val="003F12D3"/>
    <w:rsid w:val="003F1F3D"/>
    <w:rsid w:val="003F4783"/>
    <w:rsid w:val="003F692C"/>
    <w:rsid w:val="003F7EDE"/>
    <w:rsid w:val="0040394D"/>
    <w:rsid w:val="00404533"/>
    <w:rsid w:val="004065DF"/>
    <w:rsid w:val="0040738A"/>
    <w:rsid w:val="00412BB4"/>
    <w:rsid w:val="00413808"/>
    <w:rsid w:val="00413877"/>
    <w:rsid w:val="00413D20"/>
    <w:rsid w:val="004158AD"/>
    <w:rsid w:val="0041639D"/>
    <w:rsid w:val="00416976"/>
    <w:rsid w:val="00420020"/>
    <w:rsid w:val="00420BE6"/>
    <w:rsid w:val="00420CF7"/>
    <w:rsid w:val="00422C5C"/>
    <w:rsid w:val="0042598D"/>
    <w:rsid w:val="004260F1"/>
    <w:rsid w:val="00426E79"/>
    <w:rsid w:val="004315D1"/>
    <w:rsid w:val="004328F1"/>
    <w:rsid w:val="004329E2"/>
    <w:rsid w:val="004342DB"/>
    <w:rsid w:val="004346F6"/>
    <w:rsid w:val="004367BD"/>
    <w:rsid w:val="0044336E"/>
    <w:rsid w:val="004455D3"/>
    <w:rsid w:val="00446C43"/>
    <w:rsid w:val="00447B5E"/>
    <w:rsid w:val="004517FC"/>
    <w:rsid w:val="004521B3"/>
    <w:rsid w:val="00452B12"/>
    <w:rsid w:val="004537C7"/>
    <w:rsid w:val="0045506E"/>
    <w:rsid w:val="004554B8"/>
    <w:rsid w:val="00455672"/>
    <w:rsid w:val="00456410"/>
    <w:rsid w:val="0045686A"/>
    <w:rsid w:val="00462450"/>
    <w:rsid w:val="00463333"/>
    <w:rsid w:val="00463881"/>
    <w:rsid w:val="00465052"/>
    <w:rsid w:val="00465B3B"/>
    <w:rsid w:val="004661EE"/>
    <w:rsid w:val="004673F8"/>
    <w:rsid w:val="00470A26"/>
    <w:rsid w:val="00470B0D"/>
    <w:rsid w:val="00470C6B"/>
    <w:rsid w:val="00470D47"/>
    <w:rsid w:val="00471756"/>
    <w:rsid w:val="0047332E"/>
    <w:rsid w:val="004752F4"/>
    <w:rsid w:val="004776AF"/>
    <w:rsid w:val="00477DCD"/>
    <w:rsid w:val="00481FD2"/>
    <w:rsid w:val="004826D1"/>
    <w:rsid w:val="00483465"/>
    <w:rsid w:val="004844B1"/>
    <w:rsid w:val="0048635C"/>
    <w:rsid w:val="0048715B"/>
    <w:rsid w:val="0048750B"/>
    <w:rsid w:val="00487C30"/>
    <w:rsid w:val="0049063E"/>
    <w:rsid w:val="00492A1B"/>
    <w:rsid w:val="0049702A"/>
    <w:rsid w:val="004A0C44"/>
    <w:rsid w:val="004A1312"/>
    <w:rsid w:val="004A3A74"/>
    <w:rsid w:val="004A42B8"/>
    <w:rsid w:val="004A4ABE"/>
    <w:rsid w:val="004A5089"/>
    <w:rsid w:val="004A53EA"/>
    <w:rsid w:val="004B05EF"/>
    <w:rsid w:val="004B0BA9"/>
    <w:rsid w:val="004B5CB2"/>
    <w:rsid w:val="004B7C24"/>
    <w:rsid w:val="004B7FE7"/>
    <w:rsid w:val="004C1D1B"/>
    <w:rsid w:val="004C2194"/>
    <w:rsid w:val="004C2684"/>
    <w:rsid w:val="004C334D"/>
    <w:rsid w:val="004C38B2"/>
    <w:rsid w:val="004C48D1"/>
    <w:rsid w:val="004C58DD"/>
    <w:rsid w:val="004C5950"/>
    <w:rsid w:val="004C65CF"/>
    <w:rsid w:val="004C65F3"/>
    <w:rsid w:val="004D2236"/>
    <w:rsid w:val="004D2E19"/>
    <w:rsid w:val="004D3A51"/>
    <w:rsid w:val="004D5A9B"/>
    <w:rsid w:val="004D6743"/>
    <w:rsid w:val="004E0F9F"/>
    <w:rsid w:val="004E1825"/>
    <w:rsid w:val="004E77F3"/>
    <w:rsid w:val="004E785E"/>
    <w:rsid w:val="004F0E43"/>
    <w:rsid w:val="004F189D"/>
    <w:rsid w:val="004F2045"/>
    <w:rsid w:val="004F4C74"/>
    <w:rsid w:val="004F54E3"/>
    <w:rsid w:val="004F5989"/>
    <w:rsid w:val="004F5E20"/>
    <w:rsid w:val="004F67FF"/>
    <w:rsid w:val="005008D6"/>
    <w:rsid w:val="00500FE2"/>
    <w:rsid w:val="0050238D"/>
    <w:rsid w:val="00503016"/>
    <w:rsid w:val="00505576"/>
    <w:rsid w:val="005056B8"/>
    <w:rsid w:val="00506924"/>
    <w:rsid w:val="005164B8"/>
    <w:rsid w:val="0052204B"/>
    <w:rsid w:val="005238A8"/>
    <w:rsid w:val="00526690"/>
    <w:rsid w:val="0053015F"/>
    <w:rsid w:val="00530912"/>
    <w:rsid w:val="00531F4D"/>
    <w:rsid w:val="00532569"/>
    <w:rsid w:val="005353A4"/>
    <w:rsid w:val="00542A86"/>
    <w:rsid w:val="0054361B"/>
    <w:rsid w:val="00543BA2"/>
    <w:rsid w:val="00543EFD"/>
    <w:rsid w:val="00546120"/>
    <w:rsid w:val="0054677E"/>
    <w:rsid w:val="005475CC"/>
    <w:rsid w:val="00550E83"/>
    <w:rsid w:val="00551AD9"/>
    <w:rsid w:val="00553224"/>
    <w:rsid w:val="005534FD"/>
    <w:rsid w:val="00554CBD"/>
    <w:rsid w:val="0055533A"/>
    <w:rsid w:val="00555B9F"/>
    <w:rsid w:val="00560B9F"/>
    <w:rsid w:val="00561024"/>
    <w:rsid w:val="00562265"/>
    <w:rsid w:val="00562454"/>
    <w:rsid w:val="005626B9"/>
    <w:rsid w:val="005647D9"/>
    <w:rsid w:val="00564ABE"/>
    <w:rsid w:val="00564E8F"/>
    <w:rsid w:val="00565A22"/>
    <w:rsid w:val="005703F1"/>
    <w:rsid w:val="0057041C"/>
    <w:rsid w:val="0057194E"/>
    <w:rsid w:val="005732B5"/>
    <w:rsid w:val="005750BD"/>
    <w:rsid w:val="0057579F"/>
    <w:rsid w:val="00575DC8"/>
    <w:rsid w:val="005804D8"/>
    <w:rsid w:val="0058148F"/>
    <w:rsid w:val="005826E2"/>
    <w:rsid w:val="00582DEA"/>
    <w:rsid w:val="005850CB"/>
    <w:rsid w:val="005854FE"/>
    <w:rsid w:val="005858DF"/>
    <w:rsid w:val="00591333"/>
    <w:rsid w:val="0059202D"/>
    <w:rsid w:val="0059249B"/>
    <w:rsid w:val="005969C6"/>
    <w:rsid w:val="00597480"/>
    <w:rsid w:val="005A0EFF"/>
    <w:rsid w:val="005A3D07"/>
    <w:rsid w:val="005A3DEE"/>
    <w:rsid w:val="005A70CB"/>
    <w:rsid w:val="005B0A34"/>
    <w:rsid w:val="005B20CC"/>
    <w:rsid w:val="005B2EF0"/>
    <w:rsid w:val="005B4256"/>
    <w:rsid w:val="005B4433"/>
    <w:rsid w:val="005B4BE5"/>
    <w:rsid w:val="005B4C2B"/>
    <w:rsid w:val="005B5825"/>
    <w:rsid w:val="005B773F"/>
    <w:rsid w:val="005B7E88"/>
    <w:rsid w:val="005C2A23"/>
    <w:rsid w:val="005C2E66"/>
    <w:rsid w:val="005C4892"/>
    <w:rsid w:val="005C5F23"/>
    <w:rsid w:val="005C7BBC"/>
    <w:rsid w:val="005C7F14"/>
    <w:rsid w:val="005C7F71"/>
    <w:rsid w:val="005D04F5"/>
    <w:rsid w:val="005D2042"/>
    <w:rsid w:val="005D2905"/>
    <w:rsid w:val="005D34D0"/>
    <w:rsid w:val="005D4EB3"/>
    <w:rsid w:val="005D5E7D"/>
    <w:rsid w:val="005D63DB"/>
    <w:rsid w:val="005D6F70"/>
    <w:rsid w:val="005E01F2"/>
    <w:rsid w:val="005E0CBA"/>
    <w:rsid w:val="005E1F44"/>
    <w:rsid w:val="005E2D1A"/>
    <w:rsid w:val="005E2FAC"/>
    <w:rsid w:val="005E4ECC"/>
    <w:rsid w:val="005E5A88"/>
    <w:rsid w:val="005E742C"/>
    <w:rsid w:val="005F03F1"/>
    <w:rsid w:val="005F29BF"/>
    <w:rsid w:val="005F404D"/>
    <w:rsid w:val="005F5F2F"/>
    <w:rsid w:val="006001FF"/>
    <w:rsid w:val="00600933"/>
    <w:rsid w:val="006034DF"/>
    <w:rsid w:val="00603E99"/>
    <w:rsid w:val="006042AB"/>
    <w:rsid w:val="00606021"/>
    <w:rsid w:val="00606FAD"/>
    <w:rsid w:val="0061455B"/>
    <w:rsid w:val="006145E5"/>
    <w:rsid w:val="00614F8E"/>
    <w:rsid w:val="00615BFC"/>
    <w:rsid w:val="00616ED8"/>
    <w:rsid w:val="00617895"/>
    <w:rsid w:val="00620C0B"/>
    <w:rsid w:val="006210A4"/>
    <w:rsid w:val="00621217"/>
    <w:rsid w:val="00621CAF"/>
    <w:rsid w:val="0062219E"/>
    <w:rsid w:val="00623C80"/>
    <w:rsid w:val="00623C82"/>
    <w:rsid w:val="00624E48"/>
    <w:rsid w:val="00624EC5"/>
    <w:rsid w:val="0062557E"/>
    <w:rsid w:val="00626457"/>
    <w:rsid w:val="00630E31"/>
    <w:rsid w:val="006312AE"/>
    <w:rsid w:val="00631C8F"/>
    <w:rsid w:val="0063286A"/>
    <w:rsid w:val="00632B4B"/>
    <w:rsid w:val="00633D59"/>
    <w:rsid w:val="00636B1C"/>
    <w:rsid w:val="0063727B"/>
    <w:rsid w:val="006402B0"/>
    <w:rsid w:val="00640BEB"/>
    <w:rsid w:val="00642C5F"/>
    <w:rsid w:val="0064326B"/>
    <w:rsid w:val="00643DD9"/>
    <w:rsid w:val="00644E88"/>
    <w:rsid w:val="00645279"/>
    <w:rsid w:val="00646537"/>
    <w:rsid w:val="00646BF4"/>
    <w:rsid w:val="006470AA"/>
    <w:rsid w:val="00647107"/>
    <w:rsid w:val="00647831"/>
    <w:rsid w:val="00652BC7"/>
    <w:rsid w:val="0065333E"/>
    <w:rsid w:val="00653E57"/>
    <w:rsid w:val="00655E99"/>
    <w:rsid w:val="0065644F"/>
    <w:rsid w:val="006578E0"/>
    <w:rsid w:val="00657CF4"/>
    <w:rsid w:val="00662200"/>
    <w:rsid w:val="0066356A"/>
    <w:rsid w:val="006648A1"/>
    <w:rsid w:val="0066595E"/>
    <w:rsid w:val="00665F92"/>
    <w:rsid w:val="00667F65"/>
    <w:rsid w:val="00672480"/>
    <w:rsid w:val="00673642"/>
    <w:rsid w:val="00675D90"/>
    <w:rsid w:val="00677782"/>
    <w:rsid w:val="00680056"/>
    <w:rsid w:val="00680D5A"/>
    <w:rsid w:val="00683897"/>
    <w:rsid w:val="006859DB"/>
    <w:rsid w:val="006868D6"/>
    <w:rsid w:val="0069006B"/>
    <w:rsid w:val="00692485"/>
    <w:rsid w:val="006938BD"/>
    <w:rsid w:val="00694993"/>
    <w:rsid w:val="00694C60"/>
    <w:rsid w:val="00694CD1"/>
    <w:rsid w:val="0069543D"/>
    <w:rsid w:val="00695AA2"/>
    <w:rsid w:val="006A1093"/>
    <w:rsid w:val="006A1517"/>
    <w:rsid w:val="006A280C"/>
    <w:rsid w:val="006A3390"/>
    <w:rsid w:val="006A48F1"/>
    <w:rsid w:val="006A49E9"/>
    <w:rsid w:val="006A4A14"/>
    <w:rsid w:val="006A5B39"/>
    <w:rsid w:val="006A5FAF"/>
    <w:rsid w:val="006A694A"/>
    <w:rsid w:val="006A7E9F"/>
    <w:rsid w:val="006A7F41"/>
    <w:rsid w:val="006B21DC"/>
    <w:rsid w:val="006B338C"/>
    <w:rsid w:val="006B3A05"/>
    <w:rsid w:val="006B4924"/>
    <w:rsid w:val="006B66EE"/>
    <w:rsid w:val="006C0A16"/>
    <w:rsid w:val="006C0E9C"/>
    <w:rsid w:val="006C1B14"/>
    <w:rsid w:val="006C1B74"/>
    <w:rsid w:val="006C2CEE"/>
    <w:rsid w:val="006C2D46"/>
    <w:rsid w:val="006C3263"/>
    <w:rsid w:val="006C5C16"/>
    <w:rsid w:val="006C6596"/>
    <w:rsid w:val="006C6C6E"/>
    <w:rsid w:val="006D034B"/>
    <w:rsid w:val="006D2394"/>
    <w:rsid w:val="006D2F93"/>
    <w:rsid w:val="006D591E"/>
    <w:rsid w:val="006D59A2"/>
    <w:rsid w:val="006D7B38"/>
    <w:rsid w:val="006E3055"/>
    <w:rsid w:val="006E3AC8"/>
    <w:rsid w:val="006F1102"/>
    <w:rsid w:val="006F1C5C"/>
    <w:rsid w:val="006F31E0"/>
    <w:rsid w:val="006F5931"/>
    <w:rsid w:val="006F5DA1"/>
    <w:rsid w:val="006F5F89"/>
    <w:rsid w:val="006F65D3"/>
    <w:rsid w:val="006F75EF"/>
    <w:rsid w:val="00700A14"/>
    <w:rsid w:val="00700DF8"/>
    <w:rsid w:val="00710319"/>
    <w:rsid w:val="007127E5"/>
    <w:rsid w:val="00716C8F"/>
    <w:rsid w:val="00723545"/>
    <w:rsid w:val="00725E31"/>
    <w:rsid w:val="00732F11"/>
    <w:rsid w:val="007331DC"/>
    <w:rsid w:val="00735606"/>
    <w:rsid w:val="00735891"/>
    <w:rsid w:val="00737B8E"/>
    <w:rsid w:val="007410C4"/>
    <w:rsid w:val="00741726"/>
    <w:rsid w:val="00746B73"/>
    <w:rsid w:val="00746FCB"/>
    <w:rsid w:val="00747861"/>
    <w:rsid w:val="007502ED"/>
    <w:rsid w:val="00751CA6"/>
    <w:rsid w:val="007544D6"/>
    <w:rsid w:val="00754BB9"/>
    <w:rsid w:val="007553D6"/>
    <w:rsid w:val="00756831"/>
    <w:rsid w:val="00760DC3"/>
    <w:rsid w:val="00760DD1"/>
    <w:rsid w:val="00761139"/>
    <w:rsid w:val="0076119D"/>
    <w:rsid w:val="00764265"/>
    <w:rsid w:val="00766183"/>
    <w:rsid w:val="00766A8E"/>
    <w:rsid w:val="007734FA"/>
    <w:rsid w:val="00773CFC"/>
    <w:rsid w:val="007743E2"/>
    <w:rsid w:val="00775098"/>
    <w:rsid w:val="00776581"/>
    <w:rsid w:val="007770BA"/>
    <w:rsid w:val="007779CC"/>
    <w:rsid w:val="007813E4"/>
    <w:rsid w:val="00781728"/>
    <w:rsid w:val="0078296F"/>
    <w:rsid w:val="00783386"/>
    <w:rsid w:val="00783622"/>
    <w:rsid w:val="00783AD1"/>
    <w:rsid w:val="00783DB6"/>
    <w:rsid w:val="00784111"/>
    <w:rsid w:val="00784471"/>
    <w:rsid w:val="00785EB8"/>
    <w:rsid w:val="00786B87"/>
    <w:rsid w:val="00790C15"/>
    <w:rsid w:val="00792BA3"/>
    <w:rsid w:val="00792DA2"/>
    <w:rsid w:val="00792E37"/>
    <w:rsid w:val="00794B89"/>
    <w:rsid w:val="007A0D17"/>
    <w:rsid w:val="007A19CA"/>
    <w:rsid w:val="007A1ABC"/>
    <w:rsid w:val="007A228E"/>
    <w:rsid w:val="007A43A1"/>
    <w:rsid w:val="007A604D"/>
    <w:rsid w:val="007A675C"/>
    <w:rsid w:val="007B0144"/>
    <w:rsid w:val="007B1410"/>
    <w:rsid w:val="007B2B41"/>
    <w:rsid w:val="007B4C89"/>
    <w:rsid w:val="007B6A5F"/>
    <w:rsid w:val="007C06B5"/>
    <w:rsid w:val="007C23B8"/>
    <w:rsid w:val="007C293D"/>
    <w:rsid w:val="007C4B39"/>
    <w:rsid w:val="007C6361"/>
    <w:rsid w:val="007C6E1B"/>
    <w:rsid w:val="007D1719"/>
    <w:rsid w:val="007D2788"/>
    <w:rsid w:val="007D3904"/>
    <w:rsid w:val="007D50EF"/>
    <w:rsid w:val="007D57A4"/>
    <w:rsid w:val="007D61B6"/>
    <w:rsid w:val="007E31EA"/>
    <w:rsid w:val="007E41B8"/>
    <w:rsid w:val="007E6B83"/>
    <w:rsid w:val="007E75B5"/>
    <w:rsid w:val="007E7719"/>
    <w:rsid w:val="007E7C11"/>
    <w:rsid w:val="007F063B"/>
    <w:rsid w:val="007F2EFD"/>
    <w:rsid w:val="007F3E4C"/>
    <w:rsid w:val="008013B3"/>
    <w:rsid w:val="0080168E"/>
    <w:rsid w:val="008020A5"/>
    <w:rsid w:val="0080261A"/>
    <w:rsid w:val="00805019"/>
    <w:rsid w:val="008060AF"/>
    <w:rsid w:val="0080759F"/>
    <w:rsid w:val="008111C4"/>
    <w:rsid w:val="00811D4A"/>
    <w:rsid w:val="00811F5A"/>
    <w:rsid w:val="00812BB1"/>
    <w:rsid w:val="00812FF5"/>
    <w:rsid w:val="00813867"/>
    <w:rsid w:val="00813D1C"/>
    <w:rsid w:val="008143AB"/>
    <w:rsid w:val="00816AE2"/>
    <w:rsid w:val="008172AE"/>
    <w:rsid w:val="0082143A"/>
    <w:rsid w:val="00824D7A"/>
    <w:rsid w:val="00825B5F"/>
    <w:rsid w:val="00826B64"/>
    <w:rsid w:val="008307AF"/>
    <w:rsid w:val="008321C7"/>
    <w:rsid w:val="008331D5"/>
    <w:rsid w:val="008341B8"/>
    <w:rsid w:val="00840A6F"/>
    <w:rsid w:val="00840BF5"/>
    <w:rsid w:val="00841B0B"/>
    <w:rsid w:val="008453B2"/>
    <w:rsid w:val="00845440"/>
    <w:rsid w:val="0084661D"/>
    <w:rsid w:val="00847617"/>
    <w:rsid w:val="00850C88"/>
    <w:rsid w:val="00850FD7"/>
    <w:rsid w:val="00854DBB"/>
    <w:rsid w:val="00854F22"/>
    <w:rsid w:val="00855F00"/>
    <w:rsid w:val="008564BC"/>
    <w:rsid w:val="00856AE7"/>
    <w:rsid w:val="008606EF"/>
    <w:rsid w:val="00860FA5"/>
    <w:rsid w:val="008611EB"/>
    <w:rsid w:val="00861DDF"/>
    <w:rsid w:val="0086212B"/>
    <w:rsid w:val="0086369A"/>
    <w:rsid w:val="00865ECB"/>
    <w:rsid w:val="008666B1"/>
    <w:rsid w:val="00866A52"/>
    <w:rsid w:val="0087011D"/>
    <w:rsid w:val="00870C80"/>
    <w:rsid w:val="00871917"/>
    <w:rsid w:val="008723D8"/>
    <w:rsid w:val="00872865"/>
    <w:rsid w:val="00873D72"/>
    <w:rsid w:val="008744CF"/>
    <w:rsid w:val="008761E4"/>
    <w:rsid w:val="0087670A"/>
    <w:rsid w:val="00876798"/>
    <w:rsid w:val="00881B66"/>
    <w:rsid w:val="00882529"/>
    <w:rsid w:val="008826EF"/>
    <w:rsid w:val="008828A2"/>
    <w:rsid w:val="00882907"/>
    <w:rsid w:val="008829D2"/>
    <w:rsid w:val="00883645"/>
    <w:rsid w:val="00884FC6"/>
    <w:rsid w:val="008857A8"/>
    <w:rsid w:val="00886D82"/>
    <w:rsid w:val="008870B6"/>
    <w:rsid w:val="00887312"/>
    <w:rsid w:val="008902B6"/>
    <w:rsid w:val="0089044F"/>
    <w:rsid w:val="00891296"/>
    <w:rsid w:val="00892DEF"/>
    <w:rsid w:val="00893727"/>
    <w:rsid w:val="008938DB"/>
    <w:rsid w:val="00893B37"/>
    <w:rsid w:val="00893F05"/>
    <w:rsid w:val="00894626"/>
    <w:rsid w:val="0089474A"/>
    <w:rsid w:val="008956BD"/>
    <w:rsid w:val="008958DD"/>
    <w:rsid w:val="00895C3B"/>
    <w:rsid w:val="00895F92"/>
    <w:rsid w:val="008A0210"/>
    <w:rsid w:val="008A0EF6"/>
    <w:rsid w:val="008A1FF1"/>
    <w:rsid w:val="008A21C0"/>
    <w:rsid w:val="008A2727"/>
    <w:rsid w:val="008A2B82"/>
    <w:rsid w:val="008A2E75"/>
    <w:rsid w:val="008A38AD"/>
    <w:rsid w:val="008A4694"/>
    <w:rsid w:val="008A5BB3"/>
    <w:rsid w:val="008A6CB6"/>
    <w:rsid w:val="008A7019"/>
    <w:rsid w:val="008A7B2E"/>
    <w:rsid w:val="008B0247"/>
    <w:rsid w:val="008B1BCA"/>
    <w:rsid w:val="008B274E"/>
    <w:rsid w:val="008B2DB2"/>
    <w:rsid w:val="008B2F83"/>
    <w:rsid w:val="008B35A2"/>
    <w:rsid w:val="008B5773"/>
    <w:rsid w:val="008B6BED"/>
    <w:rsid w:val="008B6FA7"/>
    <w:rsid w:val="008B7A40"/>
    <w:rsid w:val="008C0938"/>
    <w:rsid w:val="008C0DA3"/>
    <w:rsid w:val="008C1BF2"/>
    <w:rsid w:val="008C2A1B"/>
    <w:rsid w:val="008C36DB"/>
    <w:rsid w:val="008C3CC6"/>
    <w:rsid w:val="008C6B65"/>
    <w:rsid w:val="008C6E96"/>
    <w:rsid w:val="008C78B8"/>
    <w:rsid w:val="008C7DD5"/>
    <w:rsid w:val="008D0094"/>
    <w:rsid w:val="008D01DA"/>
    <w:rsid w:val="008D0E8C"/>
    <w:rsid w:val="008D1041"/>
    <w:rsid w:val="008D1492"/>
    <w:rsid w:val="008D1E7A"/>
    <w:rsid w:val="008D2083"/>
    <w:rsid w:val="008D3160"/>
    <w:rsid w:val="008D400A"/>
    <w:rsid w:val="008D5107"/>
    <w:rsid w:val="008D5C57"/>
    <w:rsid w:val="008D627B"/>
    <w:rsid w:val="008D70A5"/>
    <w:rsid w:val="008D7663"/>
    <w:rsid w:val="008D7E76"/>
    <w:rsid w:val="008E0D4B"/>
    <w:rsid w:val="008E0E40"/>
    <w:rsid w:val="008E2EA3"/>
    <w:rsid w:val="008E3561"/>
    <w:rsid w:val="008E54B8"/>
    <w:rsid w:val="008E5561"/>
    <w:rsid w:val="008E6B09"/>
    <w:rsid w:val="008E763A"/>
    <w:rsid w:val="008F0D5F"/>
    <w:rsid w:val="008F1276"/>
    <w:rsid w:val="008F1384"/>
    <w:rsid w:val="008F147D"/>
    <w:rsid w:val="008F24EB"/>
    <w:rsid w:val="008F2E44"/>
    <w:rsid w:val="008F4CA1"/>
    <w:rsid w:val="008F68E3"/>
    <w:rsid w:val="008F6ED9"/>
    <w:rsid w:val="008F7BD8"/>
    <w:rsid w:val="009014EC"/>
    <w:rsid w:val="00901F61"/>
    <w:rsid w:val="009033DA"/>
    <w:rsid w:val="009042C7"/>
    <w:rsid w:val="00904DBC"/>
    <w:rsid w:val="0091084F"/>
    <w:rsid w:val="00910D0C"/>
    <w:rsid w:val="00911172"/>
    <w:rsid w:val="00911C10"/>
    <w:rsid w:val="00912119"/>
    <w:rsid w:val="009139E6"/>
    <w:rsid w:val="00915937"/>
    <w:rsid w:val="00916994"/>
    <w:rsid w:val="00920158"/>
    <w:rsid w:val="0092127B"/>
    <w:rsid w:val="00925089"/>
    <w:rsid w:val="00926F2E"/>
    <w:rsid w:val="00930709"/>
    <w:rsid w:val="0093170F"/>
    <w:rsid w:val="009322A3"/>
    <w:rsid w:val="00932AAE"/>
    <w:rsid w:val="00933007"/>
    <w:rsid w:val="00933DDB"/>
    <w:rsid w:val="00933FB3"/>
    <w:rsid w:val="0093452A"/>
    <w:rsid w:val="009413F0"/>
    <w:rsid w:val="009414E9"/>
    <w:rsid w:val="00941953"/>
    <w:rsid w:val="00942063"/>
    <w:rsid w:val="00942821"/>
    <w:rsid w:val="009438ED"/>
    <w:rsid w:val="009447E0"/>
    <w:rsid w:val="00944E19"/>
    <w:rsid w:val="00944EFF"/>
    <w:rsid w:val="0094656F"/>
    <w:rsid w:val="0094758F"/>
    <w:rsid w:val="00950671"/>
    <w:rsid w:val="00950F8D"/>
    <w:rsid w:val="00951539"/>
    <w:rsid w:val="00951B93"/>
    <w:rsid w:val="00953964"/>
    <w:rsid w:val="00953C90"/>
    <w:rsid w:val="00954B12"/>
    <w:rsid w:val="0095548A"/>
    <w:rsid w:val="009561F5"/>
    <w:rsid w:val="0095645A"/>
    <w:rsid w:val="0096007F"/>
    <w:rsid w:val="009613A0"/>
    <w:rsid w:val="00961714"/>
    <w:rsid w:val="00961CB7"/>
    <w:rsid w:val="00963D9B"/>
    <w:rsid w:val="0096609A"/>
    <w:rsid w:val="00966AEF"/>
    <w:rsid w:val="00970A48"/>
    <w:rsid w:val="00971E77"/>
    <w:rsid w:val="00976D63"/>
    <w:rsid w:val="0098148C"/>
    <w:rsid w:val="00982C7B"/>
    <w:rsid w:val="0098398C"/>
    <w:rsid w:val="00986367"/>
    <w:rsid w:val="0098646D"/>
    <w:rsid w:val="00986D14"/>
    <w:rsid w:val="0098788F"/>
    <w:rsid w:val="00987E15"/>
    <w:rsid w:val="00990C50"/>
    <w:rsid w:val="00990E83"/>
    <w:rsid w:val="009911B0"/>
    <w:rsid w:val="0099362A"/>
    <w:rsid w:val="00995028"/>
    <w:rsid w:val="009A0AC8"/>
    <w:rsid w:val="009A3C5E"/>
    <w:rsid w:val="009A3C62"/>
    <w:rsid w:val="009A42E5"/>
    <w:rsid w:val="009A56DD"/>
    <w:rsid w:val="009B11AE"/>
    <w:rsid w:val="009B184B"/>
    <w:rsid w:val="009B2788"/>
    <w:rsid w:val="009B2B00"/>
    <w:rsid w:val="009B41CB"/>
    <w:rsid w:val="009B47D9"/>
    <w:rsid w:val="009B5A71"/>
    <w:rsid w:val="009B5B34"/>
    <w:rsid w:val="009B6128"/>
    <w:rsid w:val="009B6311"/>
    <w:rsid w:val="009C01D3"/>
    <w:rsid w:val="009C13E5"/>
    <w:rsid w:val="009C3160"/>
    <w:rsid w:val="009C35B5"/>
    <w:rsid w:val="009C3778"/>
    <w:rsid w:val="009C56F7"/>
    <w:rsid w:val="009C5F46"/>
    <w:rsid w:val="009C666D"/>
    <w:rsid w:val="009C68BE"/>
    <w:rsid w:val="009C6F5C"/>
    <w:rsid w:val="009D13EF"/>
    <w:rsid w:val="009D35C0"/>
    <w:rsid w:val="009D4361"/>
    <w:rsid w:val="009D53AC"/>
    <w:rsid w:val="009D6F50"/>
    <w:rsid w:val="009D76B9"/>
    <w:rsid w:val="009D77C4"/>
    <w:rsid w:val="009E3BE1"/>
    <w:rsid w:val="009E4022"/>
    <w:rsid w:val="009E7621"/>
    <w:rsid w:val="009E776B"/>
    <w:rsid w:val="009E79F8"/>
    <w:rsid w:val="009F0D6A"/>
    <w:rsid w:val="009F1C8E"/>
    <w:rsid w:val="009F2900"/>
    <w:rsid w:val="009F45D2"/>
    <w:rsid w:val="009F5941"/>
    <w:rsid w:val="009F69A3"/>
    <w:rsid w:val="009F69C0"/>
    <w:rsid w:val="009F6CB1"/>
    <w:rsid w:val="009F774B"/>
    <w:rsid w:val="00A00279"/>
    <w:rsid w:val="00A00DCF"/>
    <w:rsid w:val="00A02D73"/>
    <w:rsid w:val="00A04410"/>
    <w:rsid w:val="00A06D6D"/>
    <w:rsid w:val="00A100C2"/>
    <w:rsid w:val="00A1018D"/>
    <w:rsid w:val="00A10F41"/>
    <w:rsid w:val="00A1297D"/>
    <w:rsid w:val="00A13FE7"/>
    <w:rsid w:val="00A178AE"/>
    <w:rsid w:val="00A207A5"/>
    <w:rsid w:val="00A20BEE"/>
    <w:rsid w:val="00A22C29"/>
    <w:rsid w:val="00A259EE"/>
    <w:rsid w:val="00A31821"/>
    <w:rsid w:val="00A32A13"/>
    <w:rsid w:val="00A340FE"/>
    <w:rsid w:val="00A346B7"/>
    <w:rsid w:val="00A36B85"/>
    <w:rsid w:val="00A415BA"/>
    <w:rsid w:val="00A44A11"/>
    <w:rsid w:val="00A44A32"/>
    <w:rsid w:val="00A45221"/>
    <w:rsid w:val="00A4544C"/>
    <w:rsid w:val="00A45B9F"/>
    <w:rsid w:val="00A4668C"/>
    <w:rsid w:val="00A474D6"/>
    <w:rsid w:val="00A512C8"/>
    <w:rsid w:val="00A51ACF"/>
    <w:rsid w:val="00A54113"/>
    <w:rsid w:val="00A54638"/>
    <w:rsid w:val="00A54F7D"/>
    <w:rsid w:val="00A56308"/>
    <w:rsid w:val="00A5705E"/>
    <w:rsid w:val="00A60354"/>
    <w:rsid w:val="00A61076"/>
    <w:rsid w:val="00A629BB"/>
    <w:rsid w:val="00A64692"/>
    <w:rsid w:val="00A64A1F"/>
    <w:rsid w:val="00A656A0"/>
    <w:rsid w:val="00A66A2F"/>
    <w:rsid w:val="00A6753F"/>
    <w:rsid w:val="00A6791F"/>
    <w:rsid w:val="00A70E73"/>
    <w:rsid w:val="00A711A6"/>
    <w:rsid w:val="00A71EB3"/>
    <w:rsid w:val="00A74E52"/>
    <w:rsid w:val="00A75478"/>
    <w:rsid w:val="00A812E2"/>
    <w:rsid w:val="00A815D2"/>
    <w:rsid w:val="00A81A13"/>
    <w:rsid w:val="00A85055"/>
    <w:rsid w:val="00A852CB"/>
    <w:rsid w:val="00A85F18"/>
    <w:rsid w:val="00A90184"/>
    <w:rsid w:val="00A93B58"/>
    <w:rsid w:val="00A94CF4"/>
    <w:rsid w:val="00A963D1"/>
    <w:rsid w:val="00A9668F"/>
    <w:rsid w:val="00A96CE7"/>
    <w:rsid w:val="00A979FF"/>
    <w:rsid w:val="00AA1D4A"/>
    <w:rsid w:val="00AA1E86"/>
    <w:rsid w:val="00AA3202"/>
    <w:rsid w:val="00AA484C"/>
    <w:rsid w:val="00AA5BE0"/>
    <w:rsid w:val="00AB144B"/>
    <w:rsid w:val="00AB2E62"/>
    <w:rsid w:val="00AB3ECC"/>
    <w:rsid w:val="00AB66F7"/>
    <w:rsid w:val="00AB6BFA"/>
    <w:rsid w:val="00AB73C6"/>
    <w:rsid w:val="00AC06AA"/>
    <w:rsid w:val="00AC2BF6"/>
    <w:rsid w:val="00AC3885"/>
    <w:rsid w:val="00AC61EC"/>
    <w:rsid w:val="00AC7BEB"/>
    <w:rsid w:val="00AD00A7"/>
    <w:rsid w:val="00AD0601"/>
    <w:rsid w:val="00AD1B4D"/>
    <w:rsid w:val="00AD22D4"/>
    <w:rsid w:val="00AD241A"/>
    <w:rsid w:val="00AD60A3"/>
    <w:rsid w:val="00AD60BF"/>
    <w:rsid w:val="00AD67C6"/>
    <w:rsid w:val="00AD738D"/>
    <w:rsid w:val="00AD7613"/>
    <w:rsid w:val="00AD7CEF"/>
    <w:rsid w:val="00AE2F5C"/>
    <w:rsid w:val="00AE32D4"/>
    <w:rsid w:val="00AE66E1"/>
    <w:rsid w:val="00AE77B6"/>
    <w:rsid w:val="00AF0F90"/>
    <w:rsid w:val="00AF21FD"/>
    <w:rsid w:val="00AF263F"/>
    <w:rsid w:val="00AF2AAE"/>
    <w:rsid w:val="00AF3915"/>
    <w:rsid w:val="00AF4146"/>
    <w:rsid w:val="00AF61B2"/>
    <w:rsid w:val="00AF6858"/>
    <w:rsid w:val="00AF76B6"/>
    <w:rsid w:val="00B00C4C"/>
    <w:rsid w:val="00B02A20"/>
    <w:rsid w:val="00B037BF"/>
    <w:rsid w:val="00B05129"/>
    <w:rsid w:val="00B054D8"/>
    <w:rsid w:val="00B05896"/>
    <w:rsid w:val="00B059F8"/>
    <w:rsid w:val="00B06B4B"/>
    <w:rsid w:val="00B06B9E"/>
    <w:rsid w:val="00B10347"/>
    <w:rsid w:val="00B1391F"/>
    <w:rsid w:val="00B13B17"/>
    <w:rsid w:val="00B14F39"/>
    <w:rsid w:val="00B15412"/>
    <w:rsid w:val="00B154FE"/>
    <w:rsid w:val="00B16A89"/>
    <w:rsid w:val="00B252BF"/>
    <w:rsid w:val="00B27955"/>
    <w:rsid w:val="00B30AFE"/>
    <w:rsid w:val="00B30DC6"/>
    <w:rsid w:val="00B31DFC"/>
    <w:rsid w:val="00B32331"/>
    <w:rsid w:val="00B32A01"/>
    <w:rsid w:val="00B32E43"/>
    <w:rsid w:val="00B32E8E"/>
    <w:rsid w:val="00B330AE"/>
    <w:rsid w:val="00B33DA5"/>
    <w:rsid w:val="00B34196"/>
    <w:rsid w:val="00B342A0"/>
    <w:rsid w:val="00B34E9A"/>
    <w:rsid w:val="00B3652A"/>
    <w:rsid w:val="00B36F84"/>
    <w:rsid w:val="00B37FCB"/>
    <w:rsid w:val="00B416B3"/>
    <w:rsid w:val="00B43F30"/>
    <w:rsid w:val="00B4521D"/>
    <w:rsid w:val="00B46B14"/>
    <w:rsid w:val="00B46FC0"/>
    <w:rsid w:val="00B521BC"/>
    <w:rsid w:val="00B54166"/>
    <w:rsid w:val="00B550DC"/>
    <w:rsid w:val="00B5523E"/>
    <w:rsid w:val="00B56F14"/>
    <w:rsid w:val="00B570EF"/>
    <w:rsid w:val="00B57FA1"/>
    <w:rsid w:val="00B600D5"/>
    <w:rsid w:val="00B60D55"/>
    <w:rsid w:val="00B62180"/>
    <w:rsid w:val="00B63DFE"/>
    <w:rsid w:val="00B64E35"/>
    <w:rsid w:val="00B66120"/>
    <w:rsid w:val="00B662B7"/>
    <w:rsid w:val="00B66C30"/>
    <w:rsid w:val="00B70A30"/>
    <w:rsid w:val="00B7162B"/>
    <w:rsid w:val="00B724BF"/>
    <w:rsid w:val="00B73E30"/>
    <w:rsid w:val="00B73E56"/>
    <w:rsid w:val="00B74269"/>
    <w:rsid w:val="00B74905"/>
    <w:rsid w:val="00B76DE0"/>
    <w:rsid w:val="00B81475"/>
    <w:rsid w:val="00B83125"/>
    <w:rsid w:val="00B84942"/>
    <w:rsid w:val="00B84CA5"/>
    <w:rsid w:val="00B87FD7"/>
    <w:rsid w:val="00B91BCC"/>
    <w:rsid w:val="00B91F54"/>
    <w:rsid w:val="00B9286C"/>
    <w:rsid w:val="00B95614"/>
    <w:rsid w:val="00B95FFA"/>
    <w:rsid w:val="00B960CE"/>
    <w:rsid w:val="00B9678F"/>
    <w:rsid w:val="00B96FA6"/>
    <w:rsid w:val="00B97F3F"/>
    <w:rsid w:val="00BA35D6"/>
    <w:rsid w:val="00BA4C44"/>
    <w:rsid w:val="00BA4E30"/>
    <w:rsid w:val="00BA5000"/>
    <w:rsid w:val="00BA621F"/>
    <w:rsid w:val="00BA6F39"/>
    <w:rsid w:val="00BA733B"/>
    <w:rsid w:val="00BB0DC2"/>
    <w:rsid w:val="00BB2C22"/>
    <w:rsid w:val="00BB7B2D"/>
    <w:rsid w:val="00BC02AC"/>
    <w:rsid w:val="00BC16E1"/>
    <w:rsid w:val="00BC1B28"/>
    <w:rsid w:val="00BC1CB2"/>
    <w:rsid w:val="00BC2424"/>
    <w:rsid w:val="00BC27DF"/>
    <w:rsid w:val="00BC3574"/>
    <w:rsid w:val="00BD1603"/>
    <w:rsid w:val="00BD1CEA"/>
    <w:rsid w:val="00BD26EB"/>
    <w:rsid w:val="00BD2DEA"/>
    <w:rsid w:val="00BD2F49"/>
    <w:rsid w:val="00BD347E"/>
    <w:rsid w:val="00BD37FF"/>
    <w:rsid w:val="00BD4335"/>
    <w:rsid w:val="00BD481D"/>
    <w:rsid w:val="00BD5658"/>
    <w:rsid w:val="00BD601E"/>
    <w:rsid w:val="00BE082D"/>
    <w:rsid w:val="00BE0E9D"/>
    <w:rsid w:val="00BE17FA"/>
    <w:rsid w:val="00BE2804"/>
    <w:rsid w:val="00BE3EDC"/>
    <w:rsid w:val="00BE3FE8"/>
    <w:rsid w:val="00BE4638"/>
    <w:rsid w:val="00BE67C5"/>
    <w:rsid w:val="00BF0016"/>
    <w:rsid w:val="00BF00FC"/>
    <w:rsid w:val="00BF01DB"/>
    <w:rsid w:val="00BF1FF5"/>
    <w:rsid w:val="00BF285F"/>
    <w:rsid w:val="00BF4AC6"/>
    <w:rsid w:val="00BF5631"/>
    <w:rsid w:val="00BF5894"/>
    <w:rsid w:val="00C035AA"/>
    <w:rsid w:val="00C03B29"/>
    <w:rsid w:val="00C04251"/>
    <w:rsid w:val="00C05A4D"/>
    <w:rsid w:val="00C07399"/>
    <w:rsid w:val="00C101E3"/>
    <w:rsid w:val="00C10D31"/>
    <w:rsid w:val="00C11293"/>
    <w:rsid w:val="00C12FD1"/>
    <w:rsid w:val="00C1300A"/>
    <w:rsid w:val="00C148EA"/>
    <w:rsid w:val="00C14C44"/>
    <w:rsid w:val="00C155EB"/>
    <w:rsid w:val="00C160C1"/>
    <w:rsid w:val="00C166BD"/>
    <w:rsid w:val="00C17745"/>
    <w:rsid w:val="00C20D85"/>
    <w:rsid w:val="00C21E2E"/>
    <w:rsid w:val="00C21FA8"/>
    <w:rsid w:val="00C227F1"/>
    <w:rsid w:val="00C245EE"/>
    <w:rsid w:val="00C2480C"/>
    <w:rsid w:val="00C25881"/>
    <w:rsid w:val="00C2771F"/>
    <w:rsid w:val="00C300D1"/>
    <w:rsid w:val="00C305C7"/>
    <w:rsid w:val="00C30FD3"/>
    <w:rsid w:val="00C31562"/>
    <w:rsid w:val="00C31599"/>
    <w:rsid w:val="00C3174A"/>
    <w:rsid w:val="00C32DA8"/>
    <w:rsid w:val="00C33A95"/>
    <w:rsid w:val="00C33D1B"/>
    <w:rsid w:val="00C34942"/>
    <w:rsid w:val="00C364A6"/>
    <w:rsid w:val="00C3650A"/>
    <w:rsid w:val="00C4166D"/>
    <w:rsid w:val="00C4187C"/>
    <w:rsid w:val="00C44059"/>
    <w:rsid w:val="00C44302"/>
    <w:rsid w:val="00C44FDA"/>
    <w:rsid w:val="00C45045"/>
    <w:rsid w:val="00C4652B"/>
    <w:rsid w:val="00C46809"/>
    <w:rsid w:val="00C46B2C"/>
    <w:rsid w:val="00C4778A"/>
    <w:rsid w:val="00C501FF"/>
    <w:rsid w:val="00C50BD5"/>
    <w:rsid w:val="00C52AEC"/>
    <w:rsid w:val="00C541CF"/>
    <w:rsid w:val="00C54540"/>
    <w:rsid w:val="00C55463"/>
    <w:rsid w:val="00C55E7A"/>
    <w:rsid w:val="00C56D78"/>
    <w:rsid w:val="00C60376"/>
    <w:rsid w:val="00C61054"/>
    <w:rsid w:val="00C61122"/>
    <w:rsid w:val="00C63B34"/>
    <w:rsid w:val="00C64437"/>
    <w:rsid w:val="00C645E6"/>
    <w:rsid w:val="00C647F1"/>
    <w:rsid w:val="00C655B4"/>
    <w:rsid w:val="00C6702C"/>
    <w:rsid w:val="00C67D90"/>
    <w:rsid w:val="00C71B36"/>
    <w:rsid w:val="00C71E7A"/>
    <w:rsid w:val="00C73B8E"/>
    <w:rsid w:val="00C74428"/>
    <w:rsid w:val="00C748ED"/>
    <w:rsid w:val="00C74EA6"/>
    <w:rsid w:val="00C75DEA"/>
    <w:rsid w:val="00C76096"/>
    <w:rsid w:val="00C7642F"/>
    <w:rsid w:val="00C77C59"/>
    <w:rsid w:val="00C8068F"/>
    <w:rsid w:val="00C80A88"/>
    <w:rsid w:val="00C819AE"/>
    <w:rsid w:val="00C81BD6"/>
    <w:rsid w:val="00C82676"/>
    <w:rsid w:val="00C82B77"/>
    <w:rsid w:val="00C83D93"/>
    <w:rsid w:val="00C85883"/>
    <w:rsid w:val="00C8738D"/>
    <w:rsid w:val="00C96A3D"/>
    <w:rsid w:val="00C97720"/>
    <w:rsid w:val="00CA00C9"/>
    <w:rsid w:val="00CA1818"/>
    <w:rsid w:val="00CA20F5"/>
    <w:rsid w:val="00CA271D"/>
    <w:rsid w:val="00CA72D8"/>
    <w:rsid w:val="00CB0B77"/>
    <w:rsid w:val="00CB2160"/>
    <w:rsid w:val="00CB255E"/>
    <w:rsid w:val="00CB2AF4"/>
    <w:rsid w:val="00CB4A9A"/>
    <w:rsid w:val="00CB5841"/>
    <w:rsid w:val="00CB6AEB"/>
    <w:rsid w:val="00CC00BA"/>
    <w:rsid w:val="00CC17AB"/>
    <w:rsid w:val="00CC4555"/>
    <w:rsid w:val="00CC49D9"/>
    <w:rsid w:val="00CC61E3"/>
    <w:rsid w:val="00CD128B"/>
    <w:rsid w:val="00CD1D73"/>
    <w:rsid w:val="00CD7D2F"/>
    <w:rsid w:val="00CD7E69"/>
    <w:rsid w:val="00CE09C8"/>
    <w:rsid w:val="00CE2FB4"/>
    <w:rsid w:val="00CE5E6E"/>
    <w:rsid w:val="00CE63F0"/>
    <w:rsid w:val="00CE7A74"/>
    <w:rsid w:val="00CE7F7F"/>
    <w:rsid w:val="00CF1E47"/>
    <w:rsid w:val="00CF25F4"/>
    <w:rsid w:val="00CF339B"/>
    <w:rsid w:val="00CF3853"/>
    <w:rsid w:val="00CF3E37"/>
    <w:rsid w:val="00CF54D4"/>
    <w:rsid w:val="00CF7911"/>
    <w:rsid w:val="00D0131D"/>
    <w:rsid w:val="00D01ABD"/>
    <w:rsid w:val="00D02265"/>
    <w:rsid w:val="00D022C3"/>
    <w:rsid w:val="00D02DF0"/>
    <w:rsid w:val="00D04CD8"/>
    <w:rsid w:val="00D07669"/>
    <w:rsid w:val="00D076EB"/>
    <w:rsid w:val="00D106C9"/>
    <w:rsid w:val="00D139C4"/>
    <w:rsid w:val="00D13AC3"/>
    <w:rsid w:val="00D15F24"/>
    <w:rsid w:val="00D16A7F"/>
    <w:rsid w:val="00D1747D"/>
    <w:rsid w:val="00D17D82"/>
    <w:rsid w:val="00D22C4F"/>
    <w:rsid w:val="00D253A8"/>
    <w:rsid w:val="00D25FD3"/>
    <w:rsid w:val="00D275FD"/>
    <w:rsid w:val="00D30D15"/>
    <w:rsid w:val="00D30FE0"/>
    <w:rsid w:val="00D32702"/>
    <w:rsid w:val="00D328B8"/>
    <w:rsid w:val="00D32B00"/>
    <w:rsid w:val="00D3342F"/>
    <w:rsid w:val="00D3389B"/>
    <w:rsid w:val="00D35229"/>
    <w:rsid w:val="00D3572A"/>
    <w:rsid w:val="00D36F22"/>
    <w:rsid w:val="00D41ED4"/>
    <w:rsid w:val="00D42309"/>
    <w:rsid w:val="00D425F0"/>
    <w:rsid w:val="00D43AAC"/>
    <w:rsid w:val="00D443E8"/>
    <w:rsid w:val="00D512C0"/>
    <w:rsid w:val="00D51E0F"/>
    <w:rsid w:val="00D52D0D"/>
    <w:rsid w:val="00D53711"/>
    <w:rsid w:val="00D53C91"/>
    <w:rsid w:val="00D5408F"/>
    <w:rsid w:val="00D540D2"/>
    <w:rsid w:val="00D54C06"/>
    <w:rsid w:val="00D563D1"/>
    <w:rsid w:val="00D5721F"/>
    <w:rsid w:val="00D60487"/>
    <w:rsid w:val="00D6078F"/>
    <w:rsid w:val="00D60FA9"/>
    <w:rsid w:val="00D63646"/>
    <w:rsid w:val="00D64B04"/>
    <w:rsid w:val="00D66836"/>
    <w:rsid w:val="00D66B6F"/>
    <w:rsid w:val="00D67A95"/>
    <w:rsid w:val="00D73744"/>
    <w:rsid w:val="00D76658"/>
    <w:rsid w:val="00D76CBC"/>
    <w:rsid w:val="00D77139"/>
    <w:rsid w:val="00D805FD"/>
    <w:rsid w:val="00D81A34"/>
    <w:rsid w:val="00D81F08"/>
    <w:rsid w:val="00D825E3"/>
    <w:rsid w:val="00D850E8"/>
    <w:rsid w:val="00D86BE7"/>
    <w:rsid w:val="00D922BB"/>
    <w:rsid w:val="00D930B6"/>
    <w:rsid w:val="00D939E7"/>
    <w:rsid w:val="00D93E61"/>
    <w:rsid w:val="00D966F3"/>
    <w:rsid w:val="00D969BA"/>
    <w:rsid w:val="00D979E4"/>
    <w:rsid w:val="00DA2A3B"/>
    <w:rsid w:val="00DA2A62"/>
    <w:rsid w:val="00DA68B3"/>
    <w:rsid w:val="00DA6B0B"/>
    <w:rsid w:val="00DA78BF"/>
    <w:rsid w:val="00DB11FE"/>
    <w:rsid w:val="00DB1BC5"/>
    <w:rsid w:val="00DB21E9"/>
    <w:rsid w:val="00DB265E"/>
    <w:rsid w:val="00DB3234"/>
    <w:rsid w:val="00DB4616"/>
    <w:rsid w:val="00DB662B"/>
    <w:rsid w:val="00DB7490"/>
    <w:rsid w:val="00DB749E"/>
    <w:rsid w:val="00DC1B74"/>
    <w:rsid w:val="00DC4E81"/>
    <w:rsid w:val="00DC5A7F"/>
    <w:rsid w:val="00DC7646"/>
    <w:rsid w:val="00DC7B0F"/>
    <w:rsid w:val="00DD0493"/>
    <w:rsid w:val="00DD22C6"/>
    <w:rsid w:val="00DD3D08"/>
    <w:rsid w:val="00DD4426"/>
    <w:rsid w:val="00DD4BCB"/>
    <w:rsid w:val="00DD5C37"/>
    <w:rsid w:val="00DD66AC"/>
    <w:rsid w:val="00DD7367"/>
    <w:rsid w:val="00DE0F6A"/>
    <w:rsid w:val="00DE3C04"/>
    <w:rsid w:val="00DE4056"/>
    <w:rsid w:val="00DE4281"/>
    <w:rsid w:val="00DE4505"/>
    <w:rsid w:val="00DE4FA9"/>
    <w:rsid w:val="00DE726B"/>
    <w:rsid w:val="00DE74F4"/>
    <w:rsid w:val="00DE7F3F"/>
    <w:rsid w:val="00DF15E5"/>
    <w:rsid w:val="00DF1D18"/>
    <w:rsid w:val="00DF3BC9"/>
    <w:rsid w:val="00DF4CD3"/>
    <w:rsid w:val="00DF53A2"/>
    <w:rsid w:val="00DF6061"/>
    <w:rsid w:val="00DF60A2"/>
    <w:rsid w:val="00DF6D74"/>
    <w:rsid w:val="00DF7764"/>
    <w:rsid w:val="00E033D0"/>
    <w:rsid w:val="00E0671C"/>
    <w:rsid w:val="00E106CB"/>
    <w:rsid w:val="00E12E6E"/>
    <w:rsid w:val="00E138D9"/>
    <w:rsid w:val="00E13E43"/>
    <w:rsid w:val="00E16ABB"/>
    <w:rsid w:val="00E17F83"/>
    <w:rsid w:val="00E20380"/>
    <w:rsid w:val="00E207EC"/>
    <w:rsid w:val="00E21BA7"/>
    <w:rsid w:val="00E227D9"/>
    <w:rsid w:val="00E230DC"/>
    <w:rsid w:val="00E23410"/>
    <w:rsid w:val="00E25450"/>
    <w:rsid w:val="00E25736"/>
    <w:rsid w:val="00E26327"/>
    <w:rsid w:val="00E302CF"/>
    <w:rsid w:val="00E321B4"/>
    <w:rsid w:val="00E32241"/>
    <w:rsid w:val="00E33999"/>
    <w:rsid w:val="00E34CFC"/>
    <w:rsid w:val="00E3526A"/>
    <w:rsid w:val="00E41045"/>
    <w:rsid w:val="00E413D2"/>
    <w:rsid w:val="00E41F6B"/>
    <w:rsid w:val="00E4287F"/>
    <w:rsid w:val="00E428A1"/>
    <w:rsid w:val="00E43DF6"/>
    <w:rsid w:val="00E4414B"/>
    <w:rsid w:val="00E447AA"/>
    <w:rsid w:val="00E455C7"/>
    <w:rsid w:val="00E45E07"/>
    <w:rsid w:val="00E466FF"/>
    <w:rsid w:val="00E5026E"/>
    <w:rsid w:val="00E510B5"/>
    <w:rsid w:val="00E51150"/>
    <w:rsid w:val="00E512E4"/>
    <w:rsid w:val="00E5273B"/>
    <w:rsid w:val="00E52A9A"/>
    <w:rsid w:val="00E53A07"/>
    <w:rsid w:val="00E5595C"/>
    <w:rsid w:val="00E55D81"/>
    <w:rsid w:val="00E57405"/>
    <w:rsid w:val="00E60A06"/>
    <w:rsid w:val="00E6149C"/>
    <w:rsid w:val="00E617CB"/>
    <w:rsid w:val="00E61D49"/>
    <w:rsid w:val="00E6394B"/>
    <w:rsid w:val="00E64066"/>
    <w:rsid w:val="00E646AB"/>
    <w:rsid w:val="00E66962"/>
    <w:rsid w:val="00E67DB2"/>
    <w:rsid w:val="00E71977"/>
    <w:rsid w:val="00E7263D"/>
    <w:rsid w:val="00E72B8C"/>
    <w:rsid w:val="00E748D0"/>
    <w:rsid w:val="00E761DE"/>
    <w:rsid w:val="00E7681F"/>
    <w:rsid w:val="00E776A5"/>
    <w:rsid w:val="00E77F5E"/>
    <w:rsid w:val="00E8000F"/>
    <w:rsid w:val="00E815A3"/>
    <w:rsid w:val="00E8254C"/>
    <w:rsid w:val="00E82A69"/>
    <w:rsid w:val="00E83FBA"/>
    <w:rsid w:val="00E845FE"/>
    <w:rsid w:val="00E90F1E"/>
    <w:rsid w:val="00E9326A"/>
    <w:rsid w:val="00E93562"/>
    <w:rsid w:val="00E93C42"/>
    <w:rsid w:val="00E95F4F"/>
    <w:rsid w:val="00E9640B"/>
    <w:rsid w:val="00E966E1"/>
    <w:rsid w:val="00EA0219"/>
    <w:rsid w:val="00EA12C6"/>
    <w:rsid w:val="00EA237C"/>
    <w:rsid w:val="00EA2A48"/>
    <w:rsid w:val="00EA54BB"/>
    <w:rsid w:val="00EB04B0"/>
    <w:rsid w:val="00EB0E95"/>
    <w:rsid w:val="00EB185A"/>
    <w:rsid w:val="00EB18D0"/>
    <w:rsid w:val="00EB196F"/>
    <w:rsid w:val="00EB3F4B"/>
    <w:rsid w:val="00EB792F"/>
    <w:rsid w:val="00EB79B1"/>
    <w:rsid w:val="00EC00E0"/>
    <w:rsid w:val="00EC10D9"/>
    <w:rsid w:val="00EC1B30"/>
    <w:rsid w:val="00EC342E"/>
    <w:rsid w:val="00EC373C"/>
    <w:rsid w:val="00EC4327"/>
    <w:rsid w:val="00EC54FD"/>
    <w:rsid w:val="00ED01B8"/>
    <w:rsid w:val="00ED0C24"/>
    <w:rsid w:val="00ED1073"/>
    <w:rsid w:val="00ED111C"/>
    <w:rsid w:val="00ED1476"/>
    <w:rsid w:val="00ED16C0"/>
    <w:rsid w:val="00ED19B9"/>
    <w:rsid w:val="00ED5863"/>
    <w:rsid w:val="00ED5B39"/>
    <w:rsid w:val="00EE0C90"/>
    <w:rsid w:val="00EE0DA2"/>
    <w:rsid w:val="00EE1805"/>
    <w:rsid w:val="00EE1BBE"/>
    <w:rsid w:val="00EE2347"/>
    <w:rsid w:val="00EE2AC6"/>
    <w:rsid w:val="00EE3737"/>
    <w:rsid w:val="00EE3E35"/>
    <w:rsid w:val="00EE3F0B"/>
    <w:rsid w:val="00EE4B1C"/>
    <w:rsid w:val="00EE610B"/>
    <w:rsid w:val="00EF156F"/>
    <w:rsid w:val="00EF1D38"/>
    <w:rsid w:val="00EF20EE"/>
    <w:rsid w:val="00EF2981"/>
    <w:rsid w:val="00EF48D2"/>
    <w:rsid w:val="00EF52CC"/>
    <w:rsid w:val="00EF5B40"/>
    <w:rsid w:val="00EF6FF8"/>
    <w:rsid w:val="00EF74BC"/>
    <w:rsid w:val="00EF7506"/>
    <w:rsid w:val="00F01087"/>
    <w:rsid w:val="00F0214B"/>
    <w:rsid w:val="00F02703"/>
    <w:rsid w:val="00F0288D"/>
    <w:rsid w:val="00F0319A"/>
    <w:rsid w:val="00F06B77"/>
    <w:rsid w:val="00F075B3"/>
    <w:rsid w:val="00F077E7"/>
    <w:rsid w:val="00F10245"/>
    <w:rsid w:val="00F11251"/>
    <w:rsid w:val="00F1126C"/>
    <w:rsid w:val="00F11866"/>
    <w:rsid w:val="00F11E67"/>
    <w:rsid w:val="00F13038"/>
    <w:rsid w:val="00F131F4"/>
    <w:rsid w:val="00F14DFD"/>
    <w:rsid w:val="00F16C95"/>
    <w:rsid w:val="00F16D0B"/>
    <w:rsid w:val="00F20288"/>
    <w:rsid w:val="00F2033B"/>
    <w:rsid w:val="00F20A8E"/>
    <w:rsid w:val="00F21BB5"/>
    <w:rsid w:val="00F221C3"/>
    <w:rsid w:val="00F24062"/>
    <w:rsid w:val="00F24D83"/>
    <w:rsid w:val="00F2536F"/>
    <w:rsid w:val="00F25DA8"/>
    <w:rsid w:val="00F25EF2"/>
    <w:rsid w:val="00F272A5"/>
    <w:rsid w:val="00F334B4"/>
    <w:rsid w:val="00F34F1C"/>
    <w:rsid w:val="00F359D0"/>
    <w:rsid w:val="00F35DCD"/>
    <w:rsid w:val="00F36699"/>
    <w:rsid w:val="00F36BEC"/>
    <w:rsid w:val="00F378CD"/>
    <w:rsid w:val="00F40ABD"/>
    <w:rsid w:val="00F41077"/>
    <w:rsid w:val="00F43837"/>
    <w:rsid w:val="00F44566"/>
    <w:rsid w:val="00F516A0"/>
    <w:rsid w:val="00F53F85"/>
    <w:rsid w:val="00F54016"/>
    <w:rsid w:val="00F547B9"/>
    <w:rsid w:val="00F548F8"/>
    <w:rsid w:val="00F555E7"/>
    <w:rsid w:val="00F565F9"/>
    <w:rsid w:val="00F57891"/>
    <w:rsid w:val="00F57CCE"/>
    <w:rsid w:val="00F6056D"/>
    <w:rsid w:val="00F628FE"/>
    <w:rsid w:val="00F65165"/>
    <w:rsid w:val="00F66457"/>
    <w:rsid w:val="00F664B9"/>
    <w:rsid w:val="00F66D86"/>
    <w:rsid w:val="00F67AEA"/>
    <w:rsid w:val="00F70711"/>
    <w:rsid w:val="00F70FDC"/>
    <w:rsid w:val="00F718AA"/>
    <w:rsid w:val="00F721FF"/>
    <w:rsid w:val="00F72B17"/>
    <w:rsid w:val="00F73453"/>
    <w:rsid w:val="00F75BB1"/>
    <w:rsid w:val="00F75CAF"/>
    <w:rsid w:val="00F7603A"/>
    <w:rsid w:val="00F764A4"/>
    <w:rsid w:val="00F8043F"/>
    <w:rsid w:val="00F833FF"/>
    <w:rsid w:val="00F852E4"/>
    <w:rsid w:val="00F86F59"/>
    <w:rsid w:val="00F90023"/>
    <w:rsid w:val="00F91BFB"/>
    <w:rsid w:val="00F91D55"/>
    <w:rsid w:val="00F92764"/>
    <w:rsid w:val="00F92909"/>
    <w:rsid w:val="00F95C56"/>
    <w:rsid w:val="00F96207"/>
    <w:rsid w:val="00FA2A7F"/>
    <w:rsid w:val="00FA3CD5"/>
    <w:rsid w:val="00FA5667"/>
    <w:rsid w:val="00FA69D6"/>
    <w:rsid w:val="00FA7048"/>
    <w:rsid w:val="00FA77B0"/>
    <w:rsid w:val="00FB056B"/>
    <w:rsid w:val="00FB53A6"/>
    <w:rsid w:val="00FB6C7E"/>
    <w:rsid w:val="00FB7B43"/>
    <w:rsid w:val="00FC1FFB"/>
    <w:rsid w:val="00FC367E"/>
    <w:rsid w:val="00FC64A9"/>
    <w:rsid w:val="00FC715C"/>
    <w:rsid w:val="00FD088D"/>
    <w:rsid w:val="00FD231D"/>
    <w:rsid w:val="00FD280E"/>
    <w:rsid w:val="00FD3058"/>
    <w:rsid w:val="00FD32B4"/>
    <w:rsid w:val="00FD603B"/>
    <w:rsid w:val="00FD6C8D"/>
    <w:rsid w:val="00FD6EC7"/>
    <w:rsid w:val="00FD7019"/>
    <w:rsid w:val="00FE16EB"/>
    <w:rsid w:val="00FE1908"/>
    <w:rsid w:val="00FE24B0"/>
    <w:rsid w:val="00FE6449"/>
    <w:rsid w:val="00FE77B3"/>
    <w:rsid w:val="00FF1F64"/>
    <w:rsid w:val="00FF2C38"/>
    <w:rsid w:val="00FF397D"/>
    <w:rsid w:val="00FF4A54"/>
    <w:rsid w:val="00FF6F5D"/>
    <w:rsid w:val="00FF734D"/>
    <w:rsid w:val="00FF737E"/>
    <w:rsid w:val="00FF7D6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E75AA2"/>
  <w15:docId w15:val="{94F77FEB-BDE4-4554-B5CB-8E532FA5C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semiHidden="1" w:unhideWhenUsed="1" w:qFormat="1"/>
    <w:lsdException w:name="footnote text" w:semiHidden="1" w:unhideWhenUsed="1" w:qFormat="1"/>
    <w:lsdException w:name="annotation text" w:semiHidden="1" w:unhideWhenUsed="1" w:qFormat="1"/>
    <w:lsdException w:name="header" w:semiHidden="1" w:uiPriority="99" w:unhideWhenUsed="1" w:qFormat="1"/>
    <w:lsdException w:name="footer" w:semiHidden="1" w:uiPriority="99" w:unhideWhenUsed="1" w:qFormat="1"/>
    <w:lsdException w:name="index heading" w:semiHidden="1" w:unhideWhenUsed="1" w:qFormat="1"/>
    <w:lsdException w:name="caption" w:semiHidden="1" w:unhideWhenUsed="1" w:qFormat="1"/>
    <w:lsdException w:name="table of figures" w:semiHidden="1" w:uiPriority="99" w:unhideWhenUsed="1" w:qFormat="1"/>
    <w:lsdException w:name="envelope address" w:semiHidden="1" w:unhideWhenUsed="1"/>
    <w:lsdException w:name="envelope return" w:semiHidden="1" w:unhideWhenUsed="1" w:qFormat="1"/>
    <w:lsdException w:name="footnote reference" w:semiHidden="1" w:uiPriority="99" w:unhideWhenUsed="1" w:qFormat="1"/>
    <w:lsdException w:name="annotation reference" w:semiHidden="1" w:uiPriority="99" w:unhideWhenUsed="1" w:qFormat="1"/>
    <w:lsdException w:name="line number" w:semiHidden="1" w:uiPriority="99" w:unhideWhenUsed="1"/>
    <w:lsdException w:name="page number" w:semiHidden="1" w:unhideWhenUsed="1" w:qFormat="1"/>
    <w:lsdException w:name="endnote reference" w:semiHidden="1" w:unhideWhenUsed="1" w:qFormat="1"/>
    <w:lsdException w:name="endnote text" w:semiHidden="1" w:unhideWhenUsed="1" w:qFormat="1"/>
    <w:lsdException w:name="table of authorities" w:semiHidden="1" w:unhideWhenUsed="1"/>
    <w:lsdException w:name="toa heading" w:semiHidden="1" w:unhideWhenUsed="1"/>
    <w:lsdException w:name="List" w:semiHidden="1" w:unhideWhenUsed="1" w:qFormat="1"/>
    <w:lsdException w:name="List Bullet" w:qFormat="1"/>
    <w:lsdException w:name="List Number" w:qFormat="1"/>
    <w:lsdException w:name="List 2" w:semiHidden="1" w:unhideWhenUsed="1" w:qFormat="1"/>
    <w:lsdException w:name="List 3" w:semiHidden="1" w:unhideWhenUsed="1" w:qFormat="1"/>
    <w:lsdException w:name="List 4" w:semiHidden="1" w:unhideWhenUsed="1" w:qFormat="1"/>
    <w:lsdException w:name="List 5" w:semiHidden="1" w:unhideWhenUsed="1" w:qFormat="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iPriority="99" w:unhideWhenUsed="1" w:qFormat="1"/>
    <w:lsdException w:name="List Number 3" w:semiHidden="1" w:unhideWhenUsed="1"/>
    <w:lsdException w:name="List Number 4" w:semiHidden="1" w:unhideWhenUsed="1"/>
    <w:lsdException w:name="List Number 5" w:semiHidden="1" w:uiPriority="99" w:unhideWhenUsed="1" w:qFormat="1"/>
    <w:lsdException w:name="Title" w:qFormat="1"/>
    <w:lsdException w:name="Closing" w:semiHidden="1" w:unhideWhenUsed="1" w:qFormat="1"/>
    <w:lsdException w:name="Signature" w:semiHidden="1" w:unhideWhenUsed="1" w:qFormat="1"/>
    <w:lsdException w:name="Default Paragraph Font" w:semiHidden="1" w:unhideWhenUsed="1"/>
    <w:lsdException w:name="Body Text" w:semiHidden="1" w:unhideWhenUsed="1" w:qFormat="1"/>
    <w:lsdException w:name="Body Text Indent" w:semiHidden="1" w:unhideWhenUsed="1" w:qFormat="1"/>
    <w:lsdException w:name="List Continue" w:semiHidden="1" w:unhideWhenUsed="1" w:qFormat="1"/>
    <w:lsdException w:name="List Continue 2" w:semiHidden="1" w:unhideWhenUsed="1" w:qFormat="1"/>
    <w:lsdException w:name="Subtitle" w:qFormat="1"/>
    <w:lsdException w:name="Salutation" w:semiHidden="1" w:unhideWhenUsed="1" w:qFormat="1"/>
    <w:lsdException w:name="Date" w:semiHidden="1" w:unhideWhenUsed="1" w:qFormat="1"/>
    <w:lsdException w:name="Body Text First Indent" w:semiHidden="1" w:unhideWhenUsed="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nhideWhenUsed="1" w:qFormat="1"/>
    <w:lsdException w:name="Block Text" w:semiHidden="1" w:unhideWhenUsed="1" w:qFormat="1"/>
    <w:lsdException w:name="Hyperlink" w:semiHidden="1" w:unhideWhenUsed="1" w:qFormat="1"/>
    <w:lsdException w:name="FollowedHyperlink" w:semiHidden="1" w:uiPriority="99" w:unhideWhenUsed="1" w:qFormat="1"/>
    <w:lsdException w:name="Strong" w:uiPriority="22" w:qFormat="1"/>
    <w:lsdException w:name="Emphasis" w:qFormat="1"/>
    <w:lsdException w:name="Document Map" w:semiHidden="1" w:unhideWhenUsed="1" w:qFormat="1"/>
    <w:lsdException w:name="Plain Text" w:semiHidden="1" w:uiPriority="99" w:unhideWhenUsed="1" w:qFormat="1"/>
    <w:lsdException w:name="E-mail Signature" w:semiHidden="1" w:unhideWhenUsed="1" w:qFormat="1"/>
    <w:lsdException w:name="HTML Top of Form" w:semiHidden="1" w:unhideWhenUsed="1" w:qFormat="1"/>
    <w:lsdException w:name="HTML Bottom of Form" w:semiHidden="1" w:unhideWhenUsed="1" w:qFormat="1"/>
    <w:lsdException w:name="Normal (Web)" w:semiHidden="1" w:uiPriority="99" w:unhideWhenUsed="1" w:qFormat="1"/>
    <w:lsdException w:name="HTML Acronym" w:semiHidden="1" w:uiPriority="99"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qFormat="1"/>
    <w:lsdException w:name="HTML Variable" w:semiHidden="1" w:unhideWhenUsed="1"/>
    <w:lsdException w:name="Normal Table" w:semiHidden="1" w:unhideWhenUsed="1"/>
    <w:lsdException w:name="annotation subject" w:semiHidden="1" w:uiPriority="99"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qFormat="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99" w:unhideWhenUsed="1" w:qFormat="1"/>
    <w:lsdException w:name="Table Elegant" w:semiHidden="1" w:unhideWhenUsed="1" w:qFormat="1"/>
    <w:lsdException w:name="Table Professional" w:semiHidden="1" w:unhideWhenUsed="1" w:qFormat="1"/>
    <w:lsdException w:name="Table Subtle 1" w:semiHidden="1" w:unhideWhenUsed="1"/>
    <w:lsdException w:name="Table Subtle 2" w:semiHidden="1" w:unhideWhenUsed="1"/>
    <w:lsdException w:name="Table Web 1" w:semiHidden="1" w:unhideWhenUsed="1" w:qFormat="1"/>
    <w:lsdException w:name="Table Web 2" w:semiHidden="1" w:uiPriority="99" w:unhideWhenUsed="1" w:qFormat="1"/>
    <w:lsdException w:name="Table Web 3" w:semiHidden="1" w:unhideWhenUsed="1"/>
    <w:lsdException w:name="Balloon Text" w:semiHidden="1" w:unhideWhenUsed="1" w:qFormat="1"/>
    <w:lsdException w:name="Table Grid" w:uiPriority="39" w:qFormat="1"/>
    <w:lsdException w:name="Table Theme" w:semiHidden="1" w:unhideWhenUsed="1"/>
    <w:lsdException w:name="Placeholder Text" w:semiHidden="1" w:uiPriority="99" w:qFormat="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qFormat="1"/>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99" w:qFormat="1"/>
    <w:lsdException w:name="Intense Emphasis" w:uiPriority="21" w:qFormat="1"/>
    <w:lsdException w:name="Subtle Reference" w:uiPriority="31" w:qFormat="1"/>
    <w:lsdException w:name="Intense Reference" w:uiPriority="32" w:qFormat="1"/>
    <w:lsdException w:name="Book Title" w:uiPriority="99"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99"/>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E3584"/>
    <w:pPr>
      <w:suppressAutoHyphens/>
    </w:pPr>
    <w:rPr>
      <w:sz w:val="24"/>
      <w:szCs w:val="24"/>
      <w:lang w:eastAsia="ar-SA"/>
    </w:rPr>
  </w:style>
  <w:style w:type="paragraph" w:styleId="Ttulo1">
    <w:name w:val="heading 1"/>
    <w:aliases w:val="Título Principal,heading 1,1. Texto Base,000000,CAPITULO 1"/>
    <w:basedOn w:val="Normal"/>
    <w:next w:val="Normal"/>
    <w:link w:val="Ttulo1Car"/>
    <w:qFormat/>
    <w:rsid w:val="000E3584"/>
    <w:pPr>
      <w:keepNext/>
      <w:spacing w:before="240" w:after="60"/>
      <w:outlineLvl w:val="0"/>
    </w:pPr>
    <w:rPr>
      <w:rFonts w:ascii="Arial" w:hAnsi="Arial" w:cs="Arial"/>
      <w:b/>
      <w:bCs/>
      <w:color w:val="000080"/>
      <w:kern w:val="1"/>
      <w:sz w:val="32"/>
      <w:szCs w:val="32"/>
      <w:u w:val="single"/>
    </w:rPr>
  </w:style>
  <w:style w:type="paragraph" w:styleId="Ttulo2">
    <w:name w:val="heading 2"/>
    <w:aliases w:val="Títulos de Hallazgo e Introducción,CAPITULO 2,heading 2,H21,3. Subtitulos,CAPÍTULO,Car10,TÍTULO CORTE,Heading 2 Char2 Char,Heading 2 Char Char1 Char,Headin,TITULO CORTE,CHICO,SUBTITULOS"/>
    <w:basedOn w:val="Normal"/>
    <w:next w:val="Normal"/>
    <w:link w:val="Ttulo2Car"/>
    <w:qFormat/>
    <w:rsid w:val="00A70E73"/>
    <w:pPr>
      <w:keepNext/>
      <w:spacing w:before="240" w:after="60"/>
      <w:outlineLvl w:val="1"/>
    </w:pPr>
    <w:rPr>
      <w:rFonts w:ascii="Arial" w:hAnsi="Arial" w:cs="Arial"/>
      <w:b/>
      <w:bCs/>
      <w:i/>
      <w:iCs/>
      <w:sz w:val="28"/>
      <w:szCs w:val="28"/>
    </w:rPr>
  </w:style>
  <w:style w:type="paragraph" w:styleId="Ttulo3">
    <w:name w:val="heading 3"/>
    <w:aliases w:val="Subtítulos de Hallazgo,Graficos,otros,heading 3,SUBTÍTULO CORTE,SUBTITULO CORTE,MATÍAS"/>
    <w:basedOn w:val="Normal"/>
    <w:next w:val="Normal"/>
    <w:link w:val="Ttulo3Car"/>
    <w:qFormat/>
    <w:rsid w:val="00A70E73"/>
    <w:pPr>
      <w:keepNext/>
      <w:spacing w:before="120" w:after="240"/>
      <w:jc w:val="both"/>
      <w:outlineLvl w:val="2"/>
    </w:pPr>
    <w:rPr>
      <w:rFonts w:cs="Arial"/>
      <w:b/>
      <w:bCs/>
      <w:sz w:val="28"/>
      <w:szCs w:val="26"/>
      <w:lang w:val="es-ES_tradnl"/>
    </w:rPr>
  </w:style>
  <w:style w:type="paragraph" w:styleId="Ttulo4">
    <w:name w:val="heading 4"/>
    <w:aliases w:val="h4,Título 4.2,H41,2. Titulo I-II-III ect."/>
    <w:basedOn w:val="Normal"/>
    <w:next w:val="Normal"/>
    <w:link w:val="Ttulo4Car"/>
    <w:qFormat/>
    <w:rsid w:val="00A70E73"/>
    <w:pPr>
      <w:keepNext/>
      <w:spacing w:before="240" w:after="60"/>
      <w:outlineLvl w:val="3"/>
    </w:pPr>
    <w:rPr>
      <w:b/>
      <w:bCs/>
      <w:sz w:val="28"/>
      <w:szCs w:val="28"/>
      <w:lang w:val="es-ES_tradnl"/>
    </w:rPr>
  </w:style>
  <w:style w:type="paragraph" w:styleId="Ttulo5">
    <w:name w:val="heading 5"/>
    <w:aliases w:val="4.Cuadros"/>
    <w:basedOn w:val="Normal"/>
    <w:next w:val="Normal"/>
    <w:link w:val="Ttulo5Car"/>
    <w:qFormat/>
    <w:rsid w:val="00A70E73"/>
    <w:pPr>
      <w:spacing w:before="360" w:after="240" w:line="480" w:lineRule="auto"/>
      <w:jc w:val="center"/>
      <w:outlineLvl w:val="4"/>
    </w:pPr>
    <w:rPr>
      <w:b/>
      <w:bCs/>
      <w:iCs/>
      <w:sz w:val="44"/>
      <w:szCs w:val="26"/>
      <w:u w:val="single"/>
      <w:lang w:val="es-ES_tradnl"/>
    </w:rPr>
  </w:style>
  <w:style w:type="paragraph" w:styleId="Ttulo6">
    <w:name w:val="heading 6"/>
    <w:aliases w:val="5.Fuente"/>
    <w:basedOn w:val="Normal"/>
    <w:next w:val="Normal"/>
    <w:link w:val="Ttulo6Car"/>
    <w:qFormat/>
    <w:rsid w:val="00A70E73"/>
    <w:pPr>
      <w:spacing w:before="240" w:after="60"/>
      <w:outlineLvl w:val="5"/>
    </w:pPr>
    <w:rPr>
      <w:b/>
      <w:bCs/>
      <w:sz w:val="22"/>
      <w:szCs w:val="22"/>
    </w:rPr>
  </w:style>
  <w:style w:type="paragraph" w:styleId="Ttulo7">
    <w:name w:val="heading 7"/>
    <w:basedOn w:val="Normal"/>
    <w:next w:val="Normal"/>
    <w:link w:val="Ttulo7Car1"/>
    <w:qFormat/>
    <w:rsid w:val="000E3584"/>
    <w:pPr>
      <w:keepNext/>
      <w:widowControl w:val="0"/>
      <w:numPr>
        <w:ilvl w:val="6"/>
        <w:numId w:val="1"/>
      </w:numPr>
      <w:tabs>
        <w:tab w:val="left" w:pos="0"/>
      </w:tabs>
      <w:autoSpaceDE w:val="0"/>
      <w:jc w:val="right"/>
      <w:outlineLvl w:val="6"/>
    </w:pPr>
    <w:rPr>
      <w:rFonts w:ascii="Arial" w:hAnsi="Arial"/>
      <w:b/>
      <w:bCs/>
      <w:u w:val="single"/>
      <w:shd w:val="clear" w:color="auto" w:fill="FFFFFF"/>
    </w:rPr>
  </w:style>
  <w:style w:type="paragraph" w:styleId="Ttulo8">
    <w:name w:val="heading 8"/>
    <w:basedOn w:val="Normal"/>
    <w:next w:val="Normal"/>
    <w:link w:val="Ttulo8Car"/>
    <w:qFormat/>
    <w:rsid w:val="00A70E73"/>
    <w:pPr>
      <w:spacing w:before="240" w:after="60"/>
      <w:outlineLvl w:val="7"/>
    </w:pPr>
    <w:rPr>
      <w:rFonts w:ascii="Calibri" w:hAnsi="Calibri"/>
      <w:i/>
      <w:iCs/>
    </w:rPr>
  </w:style>
  <w:style w:type="paragraph" w:styleId="Ttulo9">
    <w:name w:val="heading 9"/>
    <w:basedOn w:val="Normal"/>
    <w:next w:val="Normal"/>
    <w:link w:val="Ttulo9Car"/>
    <w:qFormat/>
    <w:rsid w:val="00A70E73"/>
    <w:pPr>
      <w:spacing w:before="240" w:after="60"/>
      <w:outlineLvl w:val="8"/>
    </w:pPr>
    <w:rPr>
      <w:rFonts w:ascii="Arial" w:hAnsi="Arial" w:cs="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Principal Car,heading 1 Car,1. Texto Base Car,000000 Car,CAPITULO 1 Car"/>
    <w:link w:val="Ttulo1"/>
    <w:qFormat/>
    <w:rsid w:val="00A70E73"/>
    <w:rPr>
      <w:rFonts w:ascii="Arial" w:hAnsi="Arial" w:cs="Arial"/>
      <w:b/>
      <w:bCs/>
      <w:color w:val="000080"/>
      <w:kern w:val="1"/>
      <w:sz w:val="32"/>
      <w:szCs w:val="32"/>
      <w:u w:val="single"/>
      <w:lang w:val="es-ES" w:eastAsia="ar-SA" w:bidi="ar-SA"/>
    </w:rPr>
  </w:style>
  <w:style w:type="character" w:customStyle="1" w:styleId="TDC1Car">
    <w:name w:val="TDC 1 Car"/>
    <w:link w:val="TDC1"/>
    <w:uiPriority w:val="39"/>
    <w:qFormat/>
    <w:rsid w:val="00A70E73"/>
    <w:rPr>
      <w:b/>
      <w:color w:val="000080"/>
      <w:sz w:val="28"/>
      <w:u w:val="single"/>
      <w:lang w:val="es-ES_tradnl" w:eastAsia="ar-SA" w:bidi="ar-SA"/>
    </w:rPr>
  </w:style>
  <w:style w:type="paragraph" w:customStyle="1" w:styleId="Car">
    <w:name w:val="Car"/>
    <w:basedOn w:val="Normal"/>
    <w:semiHidden/>
    <w:rsid w:val="00294863"/>
    <w:pPr>
      <w:suppressAutoHyphens w:val="0"/>
      <w:spacing w:after="160" w:line="240" w:lineRule="exact"/>
    </w:pPr>
    <w:rPr>
      <w:rFonts w:ascii="Verdana" w:hAnsi="Verdana"/>
      <w:sz w:val="20"/>
      <w:szCs w:val="21"/>
      <w:lang w:val="en-AU" w:eastAsia="en-US"/>
    </w:rPr>
  </w:style>
  <w:style w:type="paragraph" w:styleId="TDC1">
    <w:name w:val="toc 1"/>
    <w:basedOn w:val="Normal"/>
    <w:next w:val="Normal"/>
    <w:link w:val="TDC1Car"/>
    <w:autoRedefine/>
    <w:uiPriority w:val="39"/>
    <w:qFormat/>
    <w:rsid w:val="00A70E73"/>
    <w:pPr>
      <w:spacing w:before="120" w:after="120"/>
      <w:jc w:val="both"/>
    </w:pPr>
    <w:rPr>
      <w:b/>
      <w:color w:val="000080"/>
      <w:sz w:val="28"/>
      <w:szCs w:val="20"/>
      <w:u w:val="single"/>
      <w:lang w:val="es-ES_tradnl"/>
    </w:rPr>
  </w:style>
  <w:style w:type="character" w:customStyle="1" w:styleId="Ttulo2Car">
    <w:name w:val="Título 2 Car"/>
    <w:aliases w:val="Títulos de Hallazgo e Introducción Car,CAPITULO 2 Car,heading 2 Car,H21 Car,3. Subtitulos Car,CAPÍTULO Car,Car10 Car,TÍTULO CORTE Car,Heading 2 Char2 Char Car,Heading 2 Char Char1 Char Car,Headin Car,TITULO CORTE Car,CHICO Car"/>
    <w:link w:val="Ttulo2"/>
    <w:qFormat/>
    <w:rsid w:val="00A70E73"/>
    <w:rPr>
      <w:rFonts w:ascii="Arial" w:hAnsi="Arial" w:cs="Arial"/>
      <w:b/>
      <w:bCs/>
      <w:i/>
      <w:iCs/>
      <w:sz w:val="28"/>
      <w:szCs w:val="28"/>
      <w:lang w:val="es-ES" w:eastAsia="ar-SA" w:bidi="ar-SA"/>
    </w:rPr>
  </w:style>
  <w:style w:type="character" w:customStyle="1" w:styleId="Ttulo3Car">
    <w:name w:val="Título 3 Car"/>
    <w:aliases w:val="Subtítulos de Hallazgo Car,Graficos Car,otros Car,heading 3 Car,SUBTÍTULO CORTE Car,SUBTITULO CORTE Car,MATÍAS Car"/>
    <w:link w:val="Ttulo3"/>
    <w:qFormat/>
    <w:rsid w:val="00A70E73"/>
    <w:rPr>
      <w:rFonts w:cs="Arial"/>
      <w:b/>
      <w:bCs/>
      <w:sz w:val="28"/>
      <w:szCs w:val="26"/>
      <w:lang w:val="es-ES_tradnl" w:eastAsia="ar-SA" w:bidi="ar-SA"/>
    </w:rPr>
  </w:style>
  <w:style w:type="character" w:customStyle="1" w:styleId="Ttulo7Car1">
    <w:name w:val="Título 7 Car1"/>
    <w:link w:val="Ttulo7"/>
    <w:qFormat/>
    <w:rsid w:val="00A70E73"/>
    <w:rPr>
      <w:rFonts w:ascii="Arial" w:hAnsi="Arial"/>
      <w:b/>
      <w:bCs/>
      <w:sz w:val="24"/>
      <w:szCs w:val="24"/>
      <w:u w:val="single"/>
      <w:lang w:eastAsia="ar-SA"/>
    </w:rPr>
  </w:style>
  <w:style w:type="character" w:customStyle="1" w:styleId="Ttulo8Car">
    <w:name w:val="Título 8 Car"/>
    <w:link w:val="Ttulo8"/>
    <w:qFormat/>
    <w:rsid w:val="00A70E73"/>
    <w:rPr>
      <w:rFonts w:ascii="Calibri" w:hAnsi="Calibri"/>
      <w:i/>
      <w:iCs/>
      <w:sz w:val="24"/>
      <w:szCs w:val="24"/>
      <w:lang w:val="es-ES" w:eastAsia="ar-SA" w:bidi="ar-SA"/>
    </w:rPr>
  </w:style>
  <w:style w:type="character" w:customStyle="1" w:styleId="Absatz-Standardschriftart">
    <w:name w:val="Absatz-Standardschriftart"/>
    <w:qFormat/>
    <w:rsid w:val="000E3584"/>
  </w:style>
  <w:style w:type="character" w:customStyle="1" w:styleId="WW-Absatz-Standardschriftart">
    <w:name w:val="WW-Absatz-Standardschriftart"/>
    <w:qFormat/>
    <w:rsid w:val="000E3584"/>
  </w:style>
  <w:style w:type="character" w:customStyle="1" w:styleId="WW-Absatz-Standardschriftart1">
    <w:name w:val="WW-Absatz-Standardschriftart1"/>
    <w:qFormat/>
    <w:rsid w:val="000E3584"/>
  </w:style>
  <w:style w:type="character" w:customStyle="1" w:styleId="WW-Absatz-Standardschriftart11">
    <w:name w:val="WW-Absatz-Standardschriftart11"/>
    <w:rsid w:val="000E3584"/>
  </w:style>
  <w:style w:type="character" w:customStyle="1" w:styleId="WW-Absatz-Standardschriftart111">
    <w:name w:val="WW-Absatz-Standardschriftart111"/>
    <w:rsid w:val="000E3584"/>
  </w:style>
  <w:style w:type="character" w:customStyle="1" w:styleId="WW-Absatz-Standardschriftart1111">
    <w:name w:val="WW-Absatz-Standardschriftart1111"/>
    <w:rsid w:val="000E3584"/>
  </w:style>
  <w:style w:type="character" w:customStyle="1" w:styleId="WW-Absatz-Standardschriftart11111">
    <w:name w:val="WW-Absatz-Standardschriftart11111"/>
    <w:rsid w:val="000E3584"/>
  </w:style>
  <w:style w:type="character" w:customStyle="1" w:styleId="WW-Absatz-Standardschriftart111111">
    <w:name w:val="WW-Absatz-Standardschriftart111111"/>
    <w:rsid w:val="000E3584"/>
  </w:style>
  <w:style w:type="character" w:customStyle="1" w:styleId="WW-Absatz-Standardschriftart1111111">
    <w:name w:val="WW-Absatz-Standardschriftart1111111"/>
    <w:rsid w:val="000E3584"/>
  </w:style>
  <w:style w:type="character" w:customStyle="1" w:styleId="WW-Absatz-Standardschriftart11111111">
    <w:name w:val="WW-Absatz-Standardschriftart11111111"/>
    <w:rsid w:val="000E3584"/>
  </w:style>
  <w:style w:type="character" w:customStyle="1" w:styleId="WW-Absatz-Standardschriftart111111111">
    <w:name w:val="WW-Absatz-Standardschriftart111111111"/>
    <w:rsid w:val="000E3584"/>
  </w:style>
  <w:style w:type="character" w:customStyle="1" w:styleId="WW-Absatz-Standardschriftart1111111111">
    <w:name w:val="WW-Absatz-Standardschriftart1111111111"/>
    <w:rsid w:val="000E3584"/>
  </w:style>
  <w:style w:type="character" w:customStyle="1" w:styleId="WW-Absatz-Standardschriftart11111111111">
    <w:name w:val="WW-Absatz-Standardschriftart11111111111"/>
    <w:rsid w:val="000E3584"/>
  </w:style>
  <w:style w:type="character" w:customStyle="1" w:styleId="WW-Absatz-Standardschriftart111111111111">
    <w:name w:val="WW-Absatz-Standardschriftart111111111111"/>
    <w:rsid w:val="000E3584"/>
  </w:style>
  <w:style w:type="character" w:customStyle="1" w:styleId="WW-Absatz-Standardschriftart1111111111111">
    <w:name w:val="WW-Absatz-Standardschriftart1111111111111"/>
    <w:rsid w:val="000E3584"/>
  </w:style>
  <w:style w:type="character" w:customStyle="1" w:styleId="WW-Absatz-Standardschriftart11111111111111">
    <w:name w:val="WW-Absatz-Standardschriftart11111111111111"/>
    <w:rsid w:val="000E3584"/>
  </w:style>
  <w:style w:type="character" w:customStyle="1" w:styleId="WW-Absatz-Standardschriftart111111111111111">
    <w:name w:val="WW-Absatz-Standardschriftart111111111111111"/>
    <w:rsid w:val="000E3584"/>
  </w:style>
  <w:style w:type="character" w:customStyle="1" w:styleId="WW-Absatz-Standardschriftart1111111111111111">
    <w:name w:val="WW-Absatz-Standardschriftart1111111111111111"/>
    <w:rsid w:val="000E3584"/>
  </w:style>
  <w:style w:type="character" w:customStyle="1" w:styleId="WW-Absatz-Standardschriftart11111111111111111">
    <w:name w:val="WW-Absatz-Standardschriftart11111111111111111"/>
    <w:rsid w:val="000E3584"/>
  </w:style>
  <w:style w:type="character" w:customStyle="1" w:styleId="WW-Absatz-Standardschriftart111111111111111111">
    <w:name w:val="WW-Absatz-Standardschriftart111111111111111111"/>
    <w:rsid w:val="000E3584"/>
  </w:style>
  <w:style w:type="character" w:customStyle="1" w:styleId="WW-Absatz-Standardschriftart1111111111111111111">
    <w:name w:val="WW-Absatz-Standardschriftart1111111111111111111"/>
    <w:rsid w:val="000E3584"/>
  </w:style>
  <w:style w:type="character" w:customStyle="1" w:styleId="WW-Absatz-Standardschriftart11111111111111111111">
    <w:name w:val="WW-Absatz-Standardschriftart11111111111111111111"/>
    <w:rsid w:val="000E3584"/>
  </w:style>
  <w:style w:type="character" w:customStyle="1" w:styleId="WW-Absatz-Standardschriftart111111111111111111111">
    <w:name w:val="WW-Absatz-Standardschriftart111111111111111111111"/>
    <w:rsid w:val="000E3584"/>
  </w:style>
  <w:style w:type="character" w:customStyle="1" w:styleId="WW-Absatz-Standardschriftart1111111111111111111111">
    <w:name w:val="WW-Absatz-Standardschriftart1111111111111111111111"/>
    <w:rsid w:val="000E3584"/>
  </w:style>
  <w:style w:type="character" w:customStyle="1" w:styleId="WW-Absatz-Standardschriftart11111111111111111111111">
    <w:name w:val="WW-Absatz-Standardschriftart11111111111111111111111"/>
    <w:rsid w:val="000E3584"/>
  </w:style>
  <w:style w:type="character" w:customStyle="1" w:styleId="WW-Absatz-Standardschriftart111111111111111111111111">
    <w:name w:val="WW-Absatz-Standardschriftart111111111111111111111111"/>
    <w:rsid w:val="000E3584"/>
  </w:style>
  <w:style w:type="character" w:customStyle="1" w:styleId="WW-Absatz-Standardschriftart1111111111111111111111111">
    <w:name w:val="WW-Absatz-Standardschriftart1111111111111111111111111"/>
    <w:rsid w:val="000E3584"/>
  </w:style>
  <w:style w:type="character" w:customStyle="1" w:styleId="WW-Absatz-Standardschriftart11111111111111111111111111">
    <w:name w:val="WW-Absatz-Standardschriftart11111111111111111111111111"/>
    <w:rsid w:val="000E3584"/>
  </w:style>
  <w:style w:type="character" w:customStyle="1" w:styleId="WW-Absatz-Standardschriftart111111111111111111111111111">
    <w:name w:val="WW-Absatz-Standardschriftart111111111111111111111111111"/>
    <w:rsid w:val="000E3584"/>
  </w:style>
  <w:style w:type="character" w:customStyle="1" w:styleId="WW-Absatz-Standardschriftart1111111111111111111111111111">
    <w:name w:val="WW-Absatz-Standardschriftart1111111111111111111111111111"/>
    <w:rsid w:val="000E3584"/>
  </w:style>
  <w:style w:type="character" w:customStyle="1" w:styleId="WW-Absatz-Standardschriftart11111111111111111111111111111">
    <w:name w:val="WW-Absatz-Standardschriftart11111111111111111111111111111"/>
    <w:rsid w:val="000E3584"/>
  </w:style>
  <w:style w:type="character" w:customStyle="1" w:styleId="WW-Absatz-Standardschriftart111111111111111111111111111111">
    <w:name w:val="WW-Absatz-Standardschriftart111111111111111111111111111111"/>
    <w:rsid w:val="000E3584"/>
  </w:style>
  <w:style w:type="character" w:customStyle="1" w:styleId="WW-Absatz-Standardschriftart1111111111111111111111111111111">
    <w:name w:val="WW-Absatz-Standardschriftart1111111111111111111111111111111"/>
    <w:rsid w:val="000E3584"/>
  </w:style>
  <w:style w:type="character" w:customStyle="1" w:styleId="WW-Absatz-Standardschriftart11111111111111111111111111111111">
    <w:name w:val="WW-Absatz-Standardschriftart11111111111111111111111111111111"/>
    <w:rsid w:val="000E3584"/>
  </w:style>
  <w:style w:type="character" w:customStyle="1" w:styleId="WW-Absatz-Standardschriftart111111111111111111111111111111111">
    <w:name w:val="WW-Absatz-Standardschriftart111111111111111111111111111111111"/>
    <w:rsid w:val="000E3584"/>
  </w:style>
  <w:style w:type="character" w:customStyle="1" w:styleId="WW-Absatz-Standardschriftart1111111111111111111111111111111111">
    <w:name w:val="WW-Absatz-Standardschriftart1111111111111111111111111111111111"/>
    <w:rsid w:val="000E3584"/>
  </w:style>
  <w:style w:type="character" w:customStyle="1" w:styleId="WW-Absatz-Standardschriftart11111111111111111111111111111111111">
    <w:name w:val="WW-Absatz-Standardschriftart11111111111111111111111111111111111"/>
    <w:rsid w:val="000E3584"/>
  </w:style>
  <w:style w:type="character" w:customStyle="1" w:styleId="WW-Absatz-Standardschriftart111111111111111111111111111111111111">
    <w:name w:val="WW-Absatz-Standardschriftart111111111111111111111111111111111111"/>
    <w:rsid w:val="000E3584"/>
  </w:style>
  <w:style w:type="character" w:customStyle="1" w:styleId="WW-Absatz-Standardschriftart1111111111111111111111111111111111111">
    <w:name w:val="WW-Absatz-Standardschriftart1111111111111111111111111111111111111"/>
    <w:rsid w:val="000E3584"/>
  </w:style>
  <w:style w:type="character" w:customStyle="1" w:styleId="WW-Absatz-Standardschriftart11111111111111111111111111111111111111">
    <w:name w:val="WW-Absatz-Standardschriftart11111111111111111111111111111111111111"/>
    <w:rsid w:val="000E3584"/>
  </w:style>
  <w:style w:type="character" w:customStyle="1" w:styleId="WW-Absatz-Standardschriftart111111111111111111111111111111111111111">
    <w:name w:val="WW-Absatz-Standardschriftart111111111111111111111111111111111111111"/>
    <w:rsid w:val="000E3584"/>
  </w:style>
  <w:style w:type="character" w:customStyle="1" w:styleId="WW-Absatz-Standardschriftart1111111111111111111111111111111111111111">
    <w:name w:val="WW-Absatz-Standardschriftart1111111111111111111111111111111111111111"/>
    <w:rsid w:val="000E3584"/>
  </w:style>
  <w:style w:type="character" w:customStyle="1" w:styleId="WW-Absatz-Standardschriftart11111111111111111111111111111111111111111">
    <w:name w:val="WW-Absatz-Standardschriftart11111111111111111111111111111111111111111"/>
    <w:rsid w:val="000E3584"/>
  </w:style>
  <w:style w:type="character" w:customStyle="1" w:styleId="WW-Absatz-Standardschriftart111111111111111111111111111111111111111111">
    <w:name w:val="WW-Absatz-Standardschriftart111111111111111111111111111111111111111111"/>
    <w:rsid w:val="000E3584"/>
  </w:style>
  <w:style w:type="character" w:customStyle="1" w:styleId="WW-Absatz-Standardschriftart1111111111111111111111111111111111111111111">
    <w:name w:val="WW-Absatz-Standardschriftart1111111111111111111111111111111111111111111"/>
    <w:rsid w:val="000E3584"/>
  </w:style>
  <w:style w:type="character" w:customStyle="1" w:styleId="WW-Absatz-Standardschriftart11111111111111111111111111111111111111111111">
    <w:name w:val="WW-Absatz-Standardschriftart11111111111111111111111111111111111111111111"/>
    <w:rsid w:val="000E3584"/>
  </w:style>
  <w:style w:type="character" w:customStyle="1" w:styleId="WW-Absatz-Standardschriftart111111111111111111111111111111111111111111111">
    <w:name w:val="WW-Absatz-Standardschriftart111111111111111111111111111111111111111111111"/>
    <w:rsid w:val="000E3584"/>
  </w:style>
  <w:style w:type="character" w:customStyle="1" w:styleId="WW-Absatz-Standardschriftart1111111111111111111111111111111111111111111111">
    <w:name w:val="WW-Absatz-Standardschriftart1111111111111111111111111111111111111111111111"/>
    <w:rsid w:val="000E3584"/>
  </w:style>
  <w:style w:type="character" w:customStyle="1" w:styleId="WW-Absatz-Standardschriftart11111111111111111111111111111111111111111111111">
    <w:name w:val="WW-Absatz-Standardschriftart11111111111111111111111111111111111111111111111"/>
    <w:rsid w:val="000E3584"/>
  </w:style>
  <w:style w:type="character" w:customStyle="1" w:styleId="WW-Absatz-Standardschriftart111111111111111111111111111111111111111111111111">
    <w:name w:val="WW-Absatz-Standardschriftart111111111111111111111111111111111111111111111111"/>
    <w:rsid w:val="000E3584"/>
  </w:style>
  <w:style w:type="character" w:customStyle="1" w:styleId="WW-Absatz-Standardschriftart1111111111111111111111111111111111111111111111111">
    <w:name w:val="WW-Absatz-Standardschriftart1111111111111111111111111111111111111111111111111"/>
    <w:rsid w:val="000E3584"/>
  </w:style>
  <w:style w:type="character" w:customStyle="1" w:styleId="WW-Absatz-Standardschriftart11111111111111111111111111111111111111111111111111">
    <w:name w:val="WW-Absatz-Standardschriftart11111111111111111111111111111111111111111111111111"/>
    <w:rsid w:val="000E3584"/>
  </w:style>
  <w:style w:type="character" w:customStyle="1" w:styleId="WW-Absatz-Standardschriftart111111111111111111111111111111111111111111111111111">
    <w:name w:val="WW-Absatz-Standardschriftart111111111111111111111111111111111111111111111111111"/>
    <w:rsid w:val="000E3584"/>
  </w:style>
  <w:style w:type="character" w:customStyle="1" w:styleId="WW-Absatz-Standardschriftart1111111111111111111111111111111111111111111111111111">
    <w:name w:val="WW-Absatz-Standardschriftart1111111111111111111111111111111111111111111111111111"/>
    <w:rsid w:val="000E3584"/>
  </w:style>
  <w:style w:type="character" w:customStyle="1" w:styleId="WW-Absatz-Standardschriftart11111111111111111111111111111111111111111111111111111">
    <w:name w:val="WW-Absatz-Standardschriftart11111111111111111111111111111111111111111111111111111"/>
    <w:rsid w:val="000E3584"/>
  </w:style>
  <w:style w:type="character" w:customStyle="1" w:styleId="WW-Absatz-Standardschriftart111111111111111111111111111111111111111111111111111111">
    <w:name w:val="WW-Absatz-Standardschriftart111111111111111111111111111111111111111111111111111111"/>
    <w:rsid w:val="000E3584"/>
  </w:style>
  <w:style w:type="character" w:customStyle="1" w:styleId="WW-Absatz-Standardschriftart1111111111111111111111111111111111111111111111111111111">
    <w:name w:val="WW-Absatz-Standardschriftart1111111111111111111111111111111111111111111111111111111"/>
    <w:rsid w:val="000E3584"/>
  </w:style>
  <w:style w:type="character" w:customStyle="1" w:styleId="WW-Absatz-Standardschriftart11111111111111111111111111111111111111111111111111111111">
    <w:name w:val="WW-Absatz-Standardschriftart11111111111111111111111111111111111111111111111111111111"/>
    <w:rsid w:val="000E3584"/>
  </w:style>
  <w:style w:type="character" w:customStyle="1" w:styleId="WW-Absatz-Standardschriftart111111111111111111111111111111111111111111111111111111111">
    <w:name w:val="WW-Absatz-Standardschriftart111111111111111111111111111111111111111111111111111111111"/>
    <w:rsid w:val="000E3584"/>
  </w:style>
  <w:style w:type="character" w:customStyle="1" w:styleId="WW-Absatz-Standardschriftart1111111111111111111111111111111111111111111111111111111111">
    <w:name w:val="WW-Absatz-Standardschriftart1111111111111111111111111111111111111111111111111111111111"/>
    <w:qFormat/>
    <w:rsid w:val="000E3584"/>
  </w:style>
  <w:style w:type="character" w:customStyle="1" w:styleId="WW-Absatz-Standardschriftart11111111111111111111111111111111111111111111111111111111111">
    <w:name w:val="WW-Absatz-Standardschriftart11111111111111111111111111111111111111111111111111111111111"/>
    <w:qFormat/>
    <w:rsid w:val="000E3584"/>
  </w:style>
  <w:style w:type="character" w:customStyle="1" w:styleId="WW-Absatz-Standardschriftart111111111111111111111111111111111111111111111111111111111111">
    <w:name w:val="WW-Absatz-Standardschriftart111111111111111111111111111111111111111111111111111111111111"/>
    <w:qFormat/>
    <w:rsid w:val="000E3584"/>
  </w:style>
  <w:style w:type="character" w:customStyle="1" w:styleId="WW-Absatz-Standardschriftart1111111111111111111111111111111111111111111111111111111111111">
    <w:name w:val="WW-Absatz-Standardschriftart1111111111111111111111111111111111111111111111111111111111111"/>
    <w:rsid w:val="000E3584"/>
  </w:style>
  <w:style w:type="character" w:customStyle="1" w:styleId="WW-Absatz-Standardschriftart11111111111111111111111111111111111111111111111111111111111111">
    <w:name w:val="WW-Absatz-Standardschriftart11111111111111111111111111111111111111111111111111111111111111"/>
    <w:rsid w:val="000E3584"/>
  </w:style>
  <w:style w:type="character" w:customStyle="1" w:styleId="WW-Absatz-Standardschriftart111111111111111111111111111111111111111111111111111111111111111">
    <w:name w:val="WW-Absatz-Standardschriftart111111111111111111111111111111111111111111111111111111111111111"/>
    <w:rsid w:val="000E3584"/>
  </w:style>
  <w:style w:type="character" w:customStyle="1" w:styleId="WW-Absatz-Standardschriftart1111111111111111111111111111111111111111111111111111111111111111">
    <w:name w:val="WW-Absatz-Standardschriftart1111111111111111111111111111111111111111111111111111111111111111"/>
    <w:rsid w:val="000E3584"/>
  </w:style>
  <w:style w:type="character" w:customStyle="1" w:styleId="WW-Absatz-Standardschriftart11111111111111111111111111111111111111111111111111111111111111111">
    <w:name w:val="WW-Absatz-Standardschriftart11111111111111111111111111111111111111111111111111111111111111111"/>
    <w:rsid w:val="000E3584"/>
  </w:style>
  <w:style w:type="character" w:customStyle="1" w:styleId="WW-Absatz-Standardschriftart111111111111111111111111111111111111111111111111111111111111111111">
    <w:name w:val="WW-Absatz-Standardschriftart111111111111111111111111111111111111111111111111111111111111111111"/>
    <w:rsid w:val="000E3584"/>
  </w:style>
  <w:style w:type="character" w:customStyle="1" w:styleId="WW-Absatz-Standardschriftart1111111111111111111111111111111111111111111111111111111111111111111">
    <w:name w:val="WW-Absatz-Standardschriftart1111111111111111111111111111111111111111111111111111111111111111111"/>
    <w:rsid w:val="000E3584"/>
  </w:style>
  <w:style w:type="character" w:customStyle="1" w:styleId="WW-Absatz-Standardschriftart11111111111111111111111111111111111111111111111111111111111111111111">
    <w:name w:val="WW-Absatz-Standardschriftart11111111111111111111111111111111111111111111111111111111111111111111"/>
    <w:rsid w:val="000E3584"/>
  </w:style>
  <w:style w:type="character" w:customStyle="1" w:styleId="WW-Absatz-Standardschriftart111111111111111111111111111111111111111111111111111111111111111111111">
    <w:name w:val="WW-Absatz-Standardschriftart111111111111111111111111111111111111111111111111111111111111111111111"/>
    <w:rsid w:val="000E3584"/>
  </w:style>
  <w:style w:type="character" w:customStyle="1" w:styleId="WW-Absatz-Standardschriftart1111111111111111111111111111111111111111111111111111111111111111111111">
    <w:name w:val="WW-Absatz-Standardschriftart1111111111111111111111111111111111111111111111111111111111111111111111"/>
    <w:rsid w:val="000E3584"/>
  </w:style>
  <w:style w:type="character" w:customStyle="1" w:styleId="WW-Absatz-Standardschriftart11111111111111111111111111111111111111111111111111111111111111111111111">
    <w:name w:val="WW-Absatz-Standardschriftart11111111111111111111111111111111111111111111111111111111111111111111111"/>
    <w:rsid w:val="000E3584"/>
  </w:style>
  <w:style w:type="character" w:customStyle="1" w:styleId="WW-Absatz-Standardschriftart111111111111111111111111111111111111111111111111111111111111111111111111">
    <w:name w:val="WW-Absatz-Standardschriftart111111111111111111111111111111111111111111111111111111111111111111111111"/>
    <w:rsid w:val="000E3584"/>
  </w:style>
  <w:style w:type="character" w:customStyle="1" w:styleId="WW-Absatz-Standardschriftart1111111111111111111111111111111111111111111111111111111111111111111111111">
    <w:name w:val="WW-Absatz-Standardschriftart1111111111111111111111111111111111111111111111111111111111111111111111111"/>
    <w:rsid w:val="000E3584"/>
  </w:style>
  <w:style w:type="character" w:customStyle="1" w:styleId="WW-Absatz-Standardschriftart11111111111111111111111111111111111111111111111111111111111111111111111111">
    <w:name w:val="WW-Absatz-Standardschriftart11111111111111111111111111111111111111111111111111111111111111111111111111"/>
    <w:rsid w:val="000E3584"/>
  </w:style>
  <w:style w:type="character" w:customStyle="1" w:styleId="WW-Absatz-Standardschriftart111111111111111111111111111111111111111111111111111111111111111111111111111">
    <w:name w:val="WW-Absatz-Standardschriftart111111111111111111111111111111111111111111111111111111111111111111111111111"/>
    <w:rsid w:val="000E3584"/>
  </w:style>
  <w:style w:type="character" w:customStyle="1" w:styleId="WW-Absatz-Standardschriftart1111111111111111111111111111111111111111111111111111111111111111111111111111">
    <w:name w:val="WW-Absatz-Standardschriftart1111111111111111111111111111111111111111111111111111111111111111111111111111"/>
    <w:rsid w:val="000E3584"/>
  </w:style>
  <w:style w:type="character" w:customStyle="1" w:styleId="WW-Absatz-Standardschriftart11111111111111111111111111111111111111111111111111111111111111111111111111111">
    <w:name w:val="WW-Absatz-Standardschriftart11111111111111111111111111111111111111111111111111111111111111111111111111111"/>
    <w:rsid w:val="000E3584"/>
  </w:style>
  <w:style w:type="character" w:customStyle="1" w:styleId="WW-Absatz-Standardschriftart111111111111111111111111111111111111111111111111111111111111111111111111111111">
    <w:name w:val="WW-Absatz-Standardschriftart111111111111111111111111111111111111111111111111111111111111111111111111111111"/>
    <w:rsid w:val="000E3584"/>
  </w:style>
  <w:style w:type="character" w:customStyle="1" w:styleId="WW-Absatz-Standardschriftart1111111111111111111111111111111111111111111111111111111111111111111111111111111">
    <w:name w:val="WW-Absatz-Standardschriftart1111111111111111111111111111111111111111111111111111111111111111111111111111111"/>
    <w:rsid w:val="000E3584"/>
  </w:style>
  <w:style w:type="character" w:customStyle="1" w:styleId="WW-Absatz-Standardschriftart11111111111111111111111111111111111111111111111111111111111111111111111111111111">
    <w:name w:val="WW-Absatz-Standardschriftart11111111111111111111111111111111111111111111111111111111111111111111111111111111"/>
    <w:rsid w:val="000E3584"/>
  </w:style>
  <w:style w:type="character" w:customStyle="1" w:styleId="WW-Absatz-Standardschriftart111111111111111111111111111111111111111111111111111111111111111111111111111111111">
    <w:name w:val="WW-Absatz-Standardschriftart111111111111111111111111111111111111111111111111111111111111111111111111111111111"/>
    <w:rsid w:val="000E3584"/>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rsid w:val="000E3584"/>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rsid w:val="000E3584"/>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rsid w:val="000E3584"/>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rsid w:val="000E3584"/>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rsid w:val="000E3584"/>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rsid w:val="000E3584"/>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rsid w:val="000E3584"/>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rsid w:val="000E3584"/>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rsid w:val="000E3584"/>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0">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2">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3">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4">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5">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6">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7">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8">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2">
    <w:name w:val="Fuente de párrafo predeter.2"/>
    <w:qFormat/>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9">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a">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WW-Absatz-Standardschriftart111111111111111111111111111111111111111111111111111111111111111111111111111111111111111111111111111111111111111111111111111111111111111111111111111111111111111111111111111111111111111111111111111111111111111111111111111111b">
    <w:name w:val="WW-Absatz-Standardschriftart111111111111111111111111111111111111111111111111111111111111111111111111111111111111111111111111111111111111111111111111111111111111111111111111111111111111111111111111111111111111111111111111111111111111111111111111111111111"/>
    <w:rsid w:val="000E3584"/>
  </w:style>
  <w:style w:type="character" w:customStyle="1" w:styleId="Fuentedeprrafopredeter1">
    <w:name w:val="Fuente de párrafo predeter.1"/>
    <w:qFormat/>
    <w:rsid w:val="000E3584"/>
  </w:style>
  <w:style w:type="character" w:styleId="Hipervnculo">
    <w:name w:val="Hyperlink"/>
    <w:qFormat/>
    <w:rsid w:val="000E3584"/>
    <w:rPr>
      <w:color w:val="000080"/>
      <w:u w:val="single"/>
    </w:rPr>
  </w:style>
  <w:style w:type="character" w:customStyle="1" w:styleId="Carcterdenumeracin">
    <w:name w:val="Carácter de numeración"/>
    <w:rsid w:val="000E3584"/>
  </w:style>
  <w:style w:type="character" w:customStyle="1" w:styleId="Vietas">
    <w:name w:val="Viñetas"/>
    <w:qFormat/>
    <w:rsid w:val="000E3584"/>
    <w:rPr>
      <w:rFonts w:ascii="StarSymbol" w:eastAsia="StarSymbol" w:hAnsi="StarSymbol" w:cs="StarSymbol"/>
      <w:sz w:val="18"/>
      <w:szCs w:val="18"/>
    </w:rPr>
  </w:style>
  <w:style w:type="paragraph" w:customStyle="1" w:styleId="Encabezado2">
    <w:name w:val="Encabezado2"/>
    <w:basedOn w:val="Normal"/>
    <w:next w:val="Textoindependiente"/>
    <w:qFormat/>
    <w:rsid w:val="000E3584"/>
    <w:pPr>
      <w:keepNext/>
      <w:spacing w:before="240" w:after="120"/>
    </w:pPr>
    <w:rPr>
      <w:rFonts w:ascii="Arial" w:eastAsia="Arial Unicode MS" w:hAnsi="Arial" w:cs="Tahoma"/>
      <w:sz w:val="28"/>
      <w:szCs w:val="28"/>
    </w:rPr>
  </w:style>
  <w:style w:type="paragraph" w:styleId="Textoindependiente">
    <w:name w:val="Body Text"/>
    <w:basedOn w:val="Normal"/>
    <w:qFormat/>
    <w:rsid w:val="000E3584"/>
    <w:pPr>
      <w:spacing w:after="120"/>
    </w:pPr>
  </w:style>
  <w:style w:type="paragraph" w:styleId="Lista">
    <w:name w:val="List"/>
    <w:basedOn w:val="Textoindependiente"/>
    <w:qFormat/>
    <w:rsid w:val="000E3584"/>
    <w:rPr>
      <w:rFonts w:cs="Tahoma"/>
    </w:rPr>
  </w:style>
  <w:style w:type="paragraph" w:customStyle="1" w:styleId="Etiqueta">
    <w:name w:val="Etiqueta"/>
    <w:basedOn w:val="Normal"/>
    <w:qFormat/>
    <w:rsid w:val="000E3584"/>
    <w:pPr>
      <w:suppressLineNumbers/>
      <w:spacing w:before="120" w:after="120"/>
    </w:pPr>
    <w:rPr>
      <w:rFonts w:cs="Tahoma"/>
      <w:i/>
      <w:iCs/>
    </w:rPr>
  </w:style>
  <w:style w:type="paragraph" w:customStyle="1" w:styleId="ndice">
    <w:name w:val="Índice"/>
    <w:basedOn w:val="Normal"/>
    <w:qFormat/>
    <w:rsid w:val="000E3584"/>
    <w:pPr>
      <w:suppressLineNumbers/>
    </w:pPr>
    <w:rPr>
      <w:rFonts w:cs="Tahoma"/>
    </w:rPr>
  </w:style>
  <w:style w:type="paragraph" w:customStyle="1" w:styleId="Encabezado1">
    <w:name w:val="Encabezado1"/>
    <w:basedOn w:val="Normal"/>
    <w:next w:val="Textoindependiente"/>
    <w:qFormat/>
    <w:rsid w:val="000E3584"/>
    <w:pPr>
      <w:keepNext/>
      <w:spacing w:before="240" w:after="120"/>
    </w:pPr>
    <w:rPr>
      <w:rFonts w:ascii="Arial" w:eastAsia="Arial Unicode MS" w:hAnsi="Arial" w:cs="Tahoma"/>
      <w:sz w:val="28"/>
      <w:szCs w:val="28"/>
    </w:rPr>
  </w:style>
  <w:style w:type="paragraph" w:styleId="Encabezado">
    <w:name w:val="header"/>
    <w:aliases w:val="encabezado,h,header"/>
    <w:basedOn w:val="Normal"/>
    <w:link w:val="EncabezadoCar1"/>
    <w:uiPriority w:val="99"/>
    <w:qFormat/>
    <w:rsid w:val="000E3584"/>
    <w:pPr>
      <w:widowControl w:val="0"/>
      <w:tabs>
        <w:tab w:val="center" w:pos="4320"/>
        <w:tab w:val="right" w:pos="8640"/>
      </w:tabs>
      <w:autoSpaceDE w:val="0"/>
    </w:pPr>
    <w:rPr>
      <w:rFonts w:ascii="Arial" w:hAnsi="Arial" w:cs="Arial"/>
      <w:u w:val="single"/>
      <w:shd w:val="clear" w:color="auto" w:fill="FFFFFF"/>
    </w:rPr>
  </w:style>
  <w:style w:type="character" w:customStyle="1" w:styleId="EncabezadoCar1">
    <w:name w:val="Encabezado Car1"/>
    <w:aliases w:val="encabezado Car1,h Car,header Car"/>
    <w:link w:val="Encabezado"/>
    <w:qFormat/>
    <w:rsid w:val="00455672"/>
    <w:rPr>
      <w:rFonts w:ascii="Arial" w:hAnsi="Arial" w:cs="Arial"/>
      <w:sz w:val="24"/>
      <w:szCs w:val="24"/>
      <w:u w:val="single"/>
      <w:shd w:val="clear" w:color="auto" w:fill="FFFFFF"/>
      <w:lang w:val="es-ES" w:eastAsia="ar-SA" w:bidi="ar-SA"/>
    </w:rPr>
  </w:style>
  <w:style w:type="paragraph" w:styleId="Piedepgina">
    <w:name w:val="footer"/>
    <w:basedOn w:val="Normal"/>
    <w:link w:val="PiedepginaCar"/>
    <w:uiPriority w:val="99"/>
    <w:qFormat/>
    <w:rsid w:val="000E3584"/>
    <w:pPr>
      <w:widowControl w:val="0"/>
      <w:tabs>
        <w:tab w:val="center" w:pos="4320"/>
        <w:tab w:val="right" w:pos="8640"/>
      </w:tabs>
      <w:autoSpaceDE w:val="0"/>
    </w:pPr>
    <w:rPr>
      <w:rFonts w:ascii="Arial" w:hAnsi="Arial" w:cs="Arial"/>
      <w:u w:val="single"/>
      <w:shd w:val="clear" w:color="auto" w:fill="FFFFFF"/>
    </w:rPr>
  </w:style>
  <w:style w:type="paragraph" w:customStyle="1" w:styleId="T3fulo7">
    <w:name w:val="T稚3fulo 7"/>
    <w:next w:val="Normal"/>
    <w:uiPriority w:val="99"/>
    <w:rsid w:val="000E3584"/>
    <w:pPr>
      <w:keepNext/>
      <w:widowControl w:val="0"/>
      <w:suppressAutoHyphens/>
      <w:autoSpaceDE w:val="0"/>
      <w:jc w:val="both"/>
    </w:pPr>
    <w:rPr>
      <w:rFonts w:ascii="Arial" w:eastAsia="Arial" w:hAnsi="Arial"/>
      <w:b/>
      <w:bCs/>
      <w:sz w:val="24"/>
      <w:szCs w:val="24"/>
      <w:u w:val="single"/>
      <w:shd w:val="clear" w:color="auto" w:fill="FFFFFF"/>
      <w:lang w:eastAsia="ar-SA"/>
    </w:rPr>
  </w:style>
  <w:style w:type="paragraph" w:customStyle="1" w:styleId="Autocorrecci3f0">
    <w:name w:val="Autocorrecci3f"/>
    <w:rsid w:val="000E3584"/>
    <w:pPr>
      <w:widowControl w:val="0"/>
      <w:suppressAutoHyphens/>
      <w:autoSpaceDE w:val="0"/>
    </w:pPr>
    <w:rPr>
      <w:rFonts w:ascii="Arial" w:eastAsia="Arial" w:hAnsi="Arial"/>
      <w:u w:val="single"/>
      <w:shd w:val="clear" w:color="auto" w:fill="FFFFFF"/>
      <w:lang w:eastAsia="ar-SA"/>
    </w:rPr>
  </w:style>
  <w:style w:type="paragraph" w:customStyle="1" w:styleId="Tulo1">
    <w:name w:val="T稚ulo 1"/>
    <w:next w:val="Normal"/>
    <w:qFormat/>
    <w:rsid w:val="000E3584"/>
    <w:pPr>
      <w:keepNext/>
      <w:widowControl w:val="0"/>
      <w:suppressAutoHyphens/>
      <w:autoSpaceDE w:val="0"/>
      <w:jc w:val="both"/>
    </w:pPr>
    <w:rPr>
      <w:rFonts w:ascii="Arial" w:eastAsia="Arial" w:hAnsi="Arial" w:cs="Arial"/>
      <w:b/>
      <w:bCs/>
      <w:sz w:val="22"/>
      <w:szCs w:val="22"/>
      <w:u w:val="single"/>
      <w:shd w:val="clear" w:color="auto" w:fill="FFFFFF"/>
      <w:lang w:eastAsia="ar-SA"/>
    </w:rPr>
  </w:style>
  <w:style w:type="paragraph" w:customStyle="1" w:styleId="Normal1">
    <w:name w:val="Normal1"/>
    <w:qFormat/>
    <w:rsid w:val="000E3584"/>
    <w:pPr>
      <w:widowControl w:val="0"/>
      <w:suppressAutoHyphens/>
    </w:pPr>
    <w:rPr>
      <w:rFonts w:eastAsia="Arial Unicode MS"/>
      <w:sz w:val="28"/>
      <w:szCs w:val="28"/>
      <w:lang w:val="es-ES_tradnl" w:eastAsia="ar-SA"/>
    </w:rPr>
  </w:style>
  <w:style w:type="paragraph" w:customStyle="1" w:styleId="Ttulo51">
    <w:name w:val="Título 51"/>
    <w:next w:val="Normal"/>
    <w:qFormat/>
    <w:rsid w:val="000E3584"/>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Contenidodelmarco">
    <w:name w:val="Contenido del marco"/>
    <w:basedOn w:val="Textoindependiente"/>
    <w:qFormat/>
    <w:rsid w:val="000E3584"/>
  </w:style>
  <w:style w:type="paragraph" w:customStyle="1" w:styleId="Contenidodelatabla">
    <w:name w:val="Contenido de la tabla"/>
    <w:basedOn w:val="Normal"/>
    <w:qFormat/>
    <w:rsid w:val="000E3584"/>
    <w:pPr>
      <w:suppressLineNumbers/>
    </w:pPr>
  </w:style>
  <w:style w:type="paragraph" w:customStyle="1" w:styleId="Encabezadodelatabla">
    <w:name w:val="Encabezado de la tabla"/>
    <w:basedOn w:val="Contenidodelatabla"/>
    <w:qFormat/>
    <w:rsid w:val="000E3584"/>
    <w:pPr>
      <w:jc w:val="center"/>
    </w:pPr>
    <w:rPr>
      <w:b/>
      <w:bCs/>
    </w:rPr>
  </w:style>
  <w:style w:type="paragraph" w:customStyle="1" w:styleId="style3">
    <w:name w:val="style3"/>
    <w:basedOn w:val="Normal"/>
    <w:qFormat/>
    <w:rsid w:val="000E3584"/>
    <w:pPr>
      <w:spacing w:before="280" w:after="280"/>
    </w:pPr>
    <w:rPr>
      <w:b/>
      <w:bCs/>
      <w:color w:val="000000"/>
    </w:rPr>
  </w:style>
  <w:style w:type="paragraph" w:styleId="NormalWeb">
    <w:name w:val="Normal (Web)"/>
    <w:basedOn w:val="Normal"/>
    <w:link w:val="NormalWebCar"/>
    <w:uiPriority w:val="99"/>
    <w:qFormat/>
    <w:rsid w:val="000E3584"/>
    <w:pPr>
      <w:spacing w:before="280" w:after="280"/>
    </w:pPr>
  </w:style>
  <w:style w:type="paragraph" w:customStyle="1" w:styleId="Ttulo31">
    <w:name w:val="Título 31"/>
    <w:next w:val="Normal"/>
    <w:qFormat/>
    <w:rsid w:val="000E3584"/>
    <w:pPr>
      <w:widowControl w:val="0"/>
      <w:numPr>
        <w:ilvl w:val="2"/>
        <w:numId w:val="1"/>
      </w:numPr>
      <w:suppressAutoHyphens/>
      <w:outlineLvl w:val="2"/>
    </w:pPr>
    <w:rPr>
      <w:rFonts w:eastAsia="Arial Unicode MS"/>
      <w:sz w:val="24"/>
      <w:szCs w:val="24"/>
      <w:u w:val="single"/>
      <w:shd w:val="clear" w:color="auto" w:fill="FFFFFF"/>
      <w:lang w:val="es-ES_tradnl"/>
    </w:rPr>
  </w:style>
  <w:style w:type="paragraph" w:styleId="Textonotapie">
    <w:name w:val="footnote text"/>
    <w:aliases w:val="nota,pie,Ref.,al,Footnote reference,FA Fu,Footnote Text Char Char Char Char Char,Footnote Text Char Char Char Char,Footnote Text Char Char Char,Footnote Text Cha,FA Fußnotentext,FA Fuﬂnotentext,Footnote Text Char Char,Texto,Ca,Footnote Te"/>
    <w:basedOn w:val="Normal"/>
    <w:link w:val="TextonotapieCar"/>
    <w:qFormat/>
    <w:rsid w:val="000E3584"/>
    <w:pPr>
      <w:widowControl w:val="0"/>
      <w:ind w:left="283" w:hanging="283"/>
    </w:pPr>
    <w:rPr>
      <w:sz w:val="20"/>
      <w:szCs w:val="20"/>
    </w:rPr>
  </w:style>
  <w:style w:type="character" w:customStyle="1" w:styleId="TextonotapieCar">
    <w:name w:val="Texto nota pie Car"/>
    <w:aliases w:val="nota Car,pie Car,Ref. Car,al Car,Footnote reference Car,FA Fu Car,Footnote Text Char Char Char Char Char Car,Footnote Text Char Char Char Char Car,Footnote Text Char Char Char Car,Footnote Text Cha Car,FA Fußnotentext Car,Texto Car"/>
    <w:link w:val="Textonotapie"/>
    <w:qFormat/>
    <w:locked/>
    <w:rsid w:val="00A70E73"/>
    <w:rPr>
      <w:lang w:val="es-ES" w:eastAsia="ar-SA" w:bidi="ar-SA"/>
    </w:rPr>
  </w:style>
  <w:style w:type="paragraph" w:customStyle="1" w:styleId="CharChar">
    <w:name w:val="Char Char"/>
    <w:basedOn w:val="Normal"/>
    <w:semiHidden/>
    <w:rsid w:val="0069543D"/>
    <w:pPr>
      <w:suppressAutoHyphens w:val="0"/>
      <w:spacing w:after="160" w:line="240" w:lineRule="exact"/>
    </w:pPr>
    <w:rPr>
      <w:rFonts w:ascii="Verdana" w:hAnsi="Verdana"/>
      <w:sz w:val="20"/>
      <w:szCs w:val="21"/>
      <w:lang w:val="en-AU" w:eastAsia="en-US"/>
    </w:rPr>
  </w:style>
  <w:style w:type="paragraph" w:customStyle="1" w:styleId="CharChar0">
    <w:name w:val="Char Char"/>
    <w:basedOn w:val="Normal"/>
    <w:qFormat/>
    <w:rsid w:val="00384DB7"/>
    <w:pPr>
      <w:suppressAutoHyphens w:val="0"/>
      <w:spacing w:after="160" w:line="240" w:lineRule="exact"/>
    </w:pPr>
    <w:rPr>
      <w:rFonts w:ascii="Verdana" w:hAnsi="Verdana" w:cs="Verdana"/>
      <w:sz w:val="20"/>
      <w:szCs w:val="20"/>
      <w:lang w:val="en-AU" w:eastAsia="en-US"/>
    </w:rPr>
  </w:style>
  <w:style w:type="paragraph" w:styleId="Sangradetextonormal">
    <w:name w:val="Body Text Indent"/>
    <w:aliases w:val="Sangría de t. independiente"/>
    <w:basedOn w:val="Normal"/>
    <w:link w:val="SangradetextonormalCar"/>
    <w:qFormat/>
    <w:rsid w:val="00455672"/>
    <w:pPr>
      <w:spacing w:after="120"/>
      <w:ind w:left="283"/>
    </w:pPr>
    <w:rPr>
      <w:sz w:val="20"/>
      <w:szCs w:val="20"/>
      <w:lang w:val="es-ES_tradnl"/>
    </w:rPr>
  </w:style>
  <w:style w:type="character" w:customStyle="1" w:styleId="SangradetextonormalCar">
    <w:name w:val="Sangría de texto normal Car"/>
    <w:aliases w:val="Sangría de t. independiente Car"/>
    <w:link w:val="Sangradetextonormal"/>
    <w:qFormat/>
    <w:locked/>
    <w:rsid w:val="00455672"/>
    <w:rPr>
      <w:lang w:val="es-ES_tradnl" w:eastAsia="ar-SA" w:bidi="ar-SA"/>
    </w:rPr>
  </w:style>
  <w:style w:type="paragraph" w:customStyle="1" w:styleId="Normalprueba1">
    <w:name w:val="Normal.prueba1"/>
    <w:qFormat/>
    <w:rsid w:val="00455672"/>
    <w:pPr>
      <w:widowControl w:val="0"/>
    </w:pPr>
    <w:rPr>
      <w:sz w:val="28"/>
      <w:szCs w:val="28"/>
      <w:lang w:val="es-ES_tradnl"/>
    </w:rPr>
  </w:style>
  <w:style w:type="paragraph" w:styleId="Textodeglobo">
    <w:name w:val="Balloon Text"/>
    <w:basedOn w:val="Normal"/>
    <w:link w:val="TextodegloboCar"/>
    <w:qFormat/>
    <w:rsid w:val="007D50EF"/>
    <w:rPr>
      <w:rFonts w:ascii="Tahoma" w:hAnsi="Tahoma" w:cs="Tahoma"/>
      <w:sz w:val="16"/>
      <w:szCs w:val="16"/>
    </w:rPr>
  </w:style>
  <w:style w:type="character" w:customStyle="1" w:styleId="Fuentedeprrafopredeter3">
    <w:name w:val="Fuente de párrafo predeter.3"/>
    <w:qFormat/>
    <w:rsid w:val="00A70E73"/>
  </w:style>
  <w:style w:type="character" w:customStyle="1" w:styleId="WW8Num1z0">
    <w:name w:val="WW8Num1z0"/>
    <w:qFormat/>
    <w:rsid w:val="00A70E73"/>
    <w:rPr>
      <w:rFonts w:ascii="Symbol" w:hAnsi="Symbol"/>
    </w:rPr>
  </w:style>
  <w:style w:type="paragraph" w:customStyle="1" w:styleId="Encabezado3">
    <w:name w:val="Encabezado3"/>
    <w:basedOn w:val="Normal"/>
    <w:next w:val="Textoindependiente"/>
    <w:qFormat/>
    <w:rsid w:val="00A70E73"/>
    <w:pPr>
      <w:keepNext/>
      <w:spacing w:before="240" w:after="120"/>
    </w:pPr>
    <w:rPr>
      <w:rFonts w:ascii="Arial" w:eastAsia="Arial Unicode MS" w:hAnsi="Arial" w:cs="Tahoma"/>
      <w:sz w:val="28"/>
      <w:szCs w:val="28"/>
      <w:lang w:val="es-ES_tradnl"/>
    </w:rPr>
  </w:style>
  <w:style w:type="paragraph" w:styleId="Subttulo">
    <w:name w:val="Subtitle"/>
    <w:aliases w:val="Cuadros"/>
    <w:basedOn w:val="Normal"/>
    <w:next w:val="Textoindependiente"/>
    <w:link w:val="SubttuloCar"/>
    <w:qFormat/>
    <w:rsid w:val="00A70E73"/>
    <w:pPr>
      <w:jc w:val="center"/>
    </w:pPr>
    <w:rPr>
      <w:rFonts w:ascii="Arial" w:hAnsi="Arial" w:cs="Arial"/>
      <w:b/>
      <w:bCs/>
      <w:sz w:val="28"/>
      <w:szCs w:val="28"/>
      <w:u w:val="single"/>
    </w:rPr>
  </w:style>
  <w:style w:type="paragraph" w:customStyle="1" w:styleId="Car0">
    <w:name w:val="Car"/>
    <w:basedOn w:val="Normal"/>
    <w:qFormat/>
    <w:rsid w:val="00A70E73"/>
    <w:pPr>
      <w:spacing w:after="160" w:line="240" w:lineRule="exact"/>
    </w:pPr>
    <w:rPr>
      <w:rFonts w:ascii="Verdana" w:hAnsi="Verdana" w:cs="Verdana"/>
      <w:sz w:val="20"/>
      <w:szCs w:val="20"/>
      <w:lang w:val="en-AU"/>
    </w:rPr>
  </w:style>
  <w:style w:type="paragraph" w:styleId="Prrafodelista">
    <w:name w:val="List Paragraph"/>
    <w:aliases w:val="Bullet 1,Use Case List Paragraph,Lista vistosa - Énfasis 11,Párrafo de lista Car Car Car,Informe,FooterText,numbered,Paragraphe de liste1,Bulletr List Paragraph,列出段落,列出段落1,lp1,lp11,List Paragraph 1,Bullets,List_Paragraph,Footnote,Bulle"/>
    <w:basedOn w:val="Normal"/>
    <w:link w:val="PrrafodelistaCar1"/>
    <w:uiPriority w:val="34"/>
    <w:qFormat/>
    <w:rsid w:val="00A70E73"/>
    <w:pPr>
      <w:ind w:left="708"/>
    </w:pPr>
  </w:style>
  <w:style w:type="paragraph" w:styleId="Sangra2detindependiente">
    <w:name w:val="Body Text Indent 2"/>
    <w:basedOn w:val="Normal"/>
    <w:link w:val="Sangra2detindependienteCar"/>
    <w:qFormat/>
    <w:rsid w:val="00A70E73"/>
    <w:pPr>
      <w:spacing w:after="120" w:line="480" w:lineRule="auto"/>
      <w:ind w:left="283"/>
    </w:pPr>
    <w:rPr>
      <w:sz w:val="20"/>
      <w:szCs w:val="20"/>
      <w:lang w:val="es-ES_tradnl"/>
    </w:rPr>
  </w:style>
  <w:style w:type="character" w:styleId="Refdenotaalpie">
    <w:name w:val="footnote reference"/>
    <w:aliases w:val="ƒ89,^ƒ89,Footnotes refss,Texto de nota al pie,Appel note de bas de page,Referencia nota al pie,Footnote number,referencia nota al pie,BVI fnr,f,Ref,de nota al pie,FC,Footnote Reference,ftref,16 Point,Superscript 6 Point,titulo 2"/>
    <w:uiPriority w:val="99"/>
    <w:qFormat/>
    <w:rsid w:val="00A70E73"/>
    <w:rPr>
      <w:vertAlign w:val="superscript"/>
    </w:rPr>
  </w:style>
  <w:style w:type="paragraph" w:styleId="Listaconvietas">
    <w:name w:val="List Bullet"/>
    <w:aliases w:val="UL"/>
    <w:basedOn w:val="Normal"/>
    <w:qFormat/>
    <w:rsid w:val="00A70E73"/>
    <w:pPr>
      <w:tabs>
        <w:tab w:val="num" w:pos="1080"/>
      </w:tabs>
      <w:suppressAutoHyphens w:val="0"/>
      <w:ind w:left="1080" w:hanging="360"/>
    </w:pPr>
    <w:rPr>
      <w:rFonts w:ascii="Arial" w:hAnsi="Arial" w:cs="Arial"/>
      <w:lang w:val="es-CR" w:eastAsia="es-ES"/>
    </w:rPr>
  </w:style>
  <w:style w:type="character" w:styleId="Textoennegrita">
    <w:name w:val="Strong"/>
    <w:aliases w:val="apartados,Texto tabla Informe"/>
    <w:uiPriority w:val="22"/>
    <w:qFormat/>
    <w:rsid w:val="00A70E73"/>
    <w:rPr>
      <w:rFonts w:cs="Times New Roman"/>
      <w:b/>
      <w:bCs/>
    </w:rPr>
  </w:style>
  <w:style w:type="character" w:customStyle="1" w:styleId="WW8Num46z0">
    <w:name w:val="WW8Num46z0"/>
    <w:qFormat/>
    <w:rsid w:val="00A70E73"/>
    <w:rPr>
      <w:rFonts w:ascii="Symbol" w:hAnsi="Symbol" w:cs="Symbol"/>
    </w:rPr>
  </w:style>
  <w:style w:type="character" w:customStyle="1" w:styleId="Caracteresdenotaalpie">
    <w:name w:val="Caracteres de nota al pie"/>
    <w:qFormat/>
    <w:rsid w:val="00A70E73"/>
    <w:rPr>
      <w:vertAlign w:val="superscript"/>
    </w:rPr>
  </w:style>
  <w:style w:type="paragraph" w:styleId="Textocomentario">
    <w:name w:val="annotation text"/>
    <w:basedOn w:val="Normal"/>
    <w:link w:val="TextocomentarioCar"/>
    <w:qFormat/>
    <w:rsid w:val="00A70E73"/>
    <w:rPr>
      <w:sz w:val="20"/>
      <w:szCs w:val="20"/>
    </w:rPr>
  </w:style>
  <w:style w:type="character" w:customStyle="1" w:styleId="TextocomentarioCar">
    <w:name w:val="Texto comentario Car"/>
    <w:link w:val="Textocomentario"/>
    <w:qFormat/>
    <w:rsid w:val="00A70E73"/>
    <w:rPr>
      <w:lang w:val="es-ES" w:eastAsia="ar-SA" w:bidi="ar-SA"/>
    </w:rPr>
  </w:style>
  <w:style w:type="paragraph" w:styleId="Sinespaciado">
    <w:name w:val="No Spacing"/>
    <w:aliases w:val="Pilares"/>
    <w:link w:val="SinespaciadoCar"/>
    <w:qFormat/>
    <w:rsid w:val="00A70E73"/>
    <w:pPr>
      <w:suppressAutoHyphens/>
    </w:pPr>
    <w:rPr>
      <w:rFonts w:ascii="Calibri" w:eastAsia="Calibri" w:hAnsi="Calibri" w:cs="Calibri"/>
      <w:sz w:val="22"/>
      <w:szCs w:val="22"/>
      <w:lang w:eastAsia="ar-SA"/>
    </w:rPr>
  </w:style>
  <w:style w:type="character" w:customStyle="1" w:styleId="SinespaciadoCar">
    <w:name w:val="Sin espaciado Car"/>
    <w:aliases w:val="Pilares Car"/>
    <w:link w:val="Sinespaciado"/>
    <w:uiPriority w:val="1"/>
    <w:qFormat/>
    <w:rsid w:val="00A70E73"/>
    <w:rPr>
      <w:rFonts w:ascii="Calibri" w:eastAsia="Calibri" w:hAnsi="Calibri" w:cs="Calibri"/>
      <w:sz w:val="22"/>
      <w:szCs w:val="22"/>
      <w:lang w:val="es-ES" w:eastAsia="ar-SA" w:bidi="ar-SA"/>
    </w:rPr>
  </w:style>
  <w:style w:type="paragraph" w:customStyle="1" w:styleId="BodyText22">
    <w:name w:val="Body Text 22"/>
    <w:basedOn w:val="Normal"/>
    <w:qFormat/>
    <w:rsid w:val="00A70E73"/>
    <w:pPr>
      <w:widowControl w:val="0"/>
      <w:suppressAutoHyphens w:val="0"/>
      <w:overflowPunct w:val="0"/>
      <w:autoSpaceDE w:val="0"/>
      <w:autoSpaceDN w:val="0"/>
      <w:adjustRightInd w:val="0"/>
      <w:jc w:val="both"/>
      <w:textAlignment w:val="baseline"/>
    </w:pPr>
    <w:rPr>
      <w:lang w:val="es-ES_tradnl" w:eastAsia="es-ES"/>
    </w:rPr>
  </w:style>
  <w:style w:type="paragraph" w:customStyle="1" w:styleId="predeterminado">
    <w:name w:val="predeterminado"/>
    <w:basedOn w:val="Normal"/>
    <w:qFormat/>
    <w:rsid w:val="00A70E73"/>
    <w:pPr>
      <w:suppressAutoHyphens w:val="0"/>
      <w:spacing w:before="100" w:beforeAutospacing="1" w:after="100" w:afterAutospacing="1"/>
    </w:pPr>
    <w:rPr>
      <w:lang w:eastAsia="es-ES"/>
    </w:rPr>
  </w:style>
  <w:style w:type="paragraph" w:styleId="Textodebloque">
    <w:name w:val="Block Text"/>
    <w:basedOn w:val="Normal"/>
    <w:qFormat/>
    <w:rsid w:val="00A70E73"/>
    <w:pPr>
      <w:widowControl w:val="0"/>
      <w:suppressAutoHyphens w:val="0"/>
      <w:ind w:left="851" w:right="851" w:firstLine="709"/>
      <w:jc w:val="both"/>
    </w:pPr>
    <w:rPr>
      <w:lang w:eastAsia="es-ES"/>
    </w:rPr>
  </w:style>
  <w:style w:type="paragraph" w:customStyle="1" w:styleId="Predeterminado0">
    <w:name w:val="Predeterminado"/>
    <w:link w:val="PredeterminadoCar"/>
    <w:qFormat/>
    <w:rsid w:val="00A70E73"/>
    <w:pPr>
      <w:widowControl w:val="0"/>
      <w:autoSpaceDE w:val="0"/>
      <w:autoSpaceDN w:val="0"/>
      <w:adjustRightInd w:val="0"/>
    </w:pPr>
    <w:rPr>
      <w:rFonts w:ascii="Trebuchet MS" w:hAnsi="Trebuchet MS" w:cs="Trebuchet MS"/>
      <w:color w:val="000000"/>
      <w:sz w:val="48"/>
      <w:szCs w:val="48"/>
    </w:rPr>
  </w:style>
  <w:style w:type="paragraph" w:customStyle="1" w:styleId="EstiloTtulo3Rojo">
    <w:name w:val="Estilo Título 3 + Rojo"/>
    <w:basedOn w:val="Ttulo3"/>
    <w:link w:val="EstiloTtulo3RojoCar"/>
    <w:qFormat/>
    <w:rsid w:val="00A70E73"/>
    <w:pPr>
      <w:spacing w:before="240" w:after="60"/>
    </w:pPr>
    <w:rPr>
      <w:color w:val="000080"/>
    </w:rPr>
  </w:style>
  <w:style w:type="character" w:customStyle="1" w:styleId="EstiloTtulo3RojoCar">
    <w:name w:val="Estilo Título 3 + Rojo Car"/>
    <w:link w:val="EstiloTtulo3Rojo"/>
    <w:qFormat/>
    <w:rsid w:val="00A70E73"/>
    <w:rPr>
      <w:rFonts w:cs="Arial"/>
      <w:b/>
      <w:bCs/>
      <w:color w:val="000080"/>
      <w:sz w:val="28"/>
      <w:szCs w:val="26"/>
      <w:lang w:val="es-ES_tradnl" w:eastAsia="ar-SA" w:bidi="ar-SA"/>
    </w:rPr>
  </w:style>
  <w:style w:type="paragraph" w:customStyle="1" w:styleId="Estilo14ptNegritaCentrado">
    <w:name w:val="Estilo 14 pt Negrita Centrado"/>
    <w:basedOn w:val="Normal"/>
    <w:qFormat/>
    <w:rsid w:val="00A70E73"/>
    <w:pPr>
      <w:spacing w:line="480" w:lineRule="auto"/>
      <w:jc w:val="center"/>
    </w:pPr>
    <w:rPr>
      <w:b/>
      <w:bCs/>
      <w:sz w:val="32"/>
      <w:szCs w:val="20"/>
      <w:u w:val="single"/>
      <w:lang w:val="es-ES_tradnl"/>
    </w:rPr>
  </w:style>
  <w:style w:type="paragraph" w:customStyle="1" w:styleId="Estilo14ptNegritaCentradoInterlineadoDoble">
    <w:name w:val="Estilo 14 pt Negrita Centrado Interlineado:  Doble"/>
    <w:basedOn w:val="Normal"/>
    <w:qFormat/>
    <w:rsid w:val="00A70E73"/>
    <w:pPr>
      <w:spacing w:line="480" w:lineRule="auto"/>
      <w:jc w:val="center"/>
    </w:pPr>
    <w:rPr>
      <w:b/>
      <w:bCs/>
      <w:sz w:val="40"/>
      <w:szCs w:val="20"/>
      <w:u w:val="single"/>
      <w:lang w:val="es-ES_tradnl"/>
    </w:rPr>
  </w:style>
  <w:style w:type="paragraph" w:customStyle="1" w:styleId="Textoindependiente21">
    <w:name w:val="Texto independiente 21"/>
    <w:basedOn w:val="Normal"/>
    <w:qFormat/>
    <w:rsid w:val="00A70E73"/>
    <w:pPr>
      <w:jc w:val="both"/>
    </w:pPr>
    <w:rPr>
      <w:rFonts w:ascii="Verdana" w:hAnsi="Verdana"/>
      <w:i/>
      <w:szCs w:val="20"/>
      <w:lang w:val="es-ES_tradnl"/>
    </w:rPr>
  </w:style>
  <w:style w:type="paragraph" w:customStyle="1" w:styleId="Titulo6">
    <w:name w:val="Titulo 6"/>
    <w:basedOn w:val="TDC1"/>
    <w:qFormat/>
    <w:rsid w:val="00A70E73"/>
    <w:pPr>
      <w:tabs>
        <w:tab w:val="right" w:leader="dot" w:pos="8828"/>
      </w:tabs>
    </w:pPr>
    <w:rPr>
      <w:b w:val="0"/>
      <w:bCs/>
      <w:caps/>
      <w:noProof/>
    </w:rPr>
  </w:style>
  <w:style w:type="paragraph" w:customStyle="1" w:styleId="Estilo18ptNegritaSubrayadoCentrado">
    <w:name w:val="Estilo 18 pt Negrita Subrayado Centrado"/>
    <w:basedOn w:val="Normal"/>
    <w:qFormat/>
    <w:rsid w:val="00A70E73"/>
    <w:pPr>
      <w:jc w:val="both"/>
    </w:pPr>
    <w:rPr>
      <w:b/>
      <w:bCs/>
      <w:sz w:val="36"/>
      <w:szCs w:val="20"/>
      <w:u w:val="single"/>
      <w:lang w:val="es-ES_tradnl"/>
    </w:rPr>
  </w:style>
  <w:style w:type="paragraph" w:customStyle="1" w:styleId="Estilo14ptAzuloscuroJustificadoPrimeralnea125cmAnt">
    <w:name w:val="Estilo 14 pt Azul oscuro Justificado Primera línea:  125 cm Ant..."/>
    <w:basedOn w:val="Normal"/>
    <w:qFormat/>
    <w:rsid w:val="00A70E73"/>
    <w:pPr>
      <w:spacing w:before="100" w:after="100" w:line="480" w:lineRule="auto"/>
      <w:ind w:firstLine="708"/>
      <w:jc w:val="both"/>
    </w:pPr>
    <w:rPr>
      <w:color w:val="000080"/>
      <w:sz w:val="28"/>
      <w:szCs w:val="20"/>
      <w:lang w:val="es-ES_tradnl"/>
    </w:rPr>
  </w:style>
  <w:style w:type="paragraph" w:customStyle="1" w:styleId="Estilo14ptJustificadoPrimeralnea125cmInterlineadoD">
    <w:name w:val="Estilo 14 pt Justificado Primera línea:  125 cm Interlineado:  D..."/>
    <w:basedOn w:val="Normal"/>
    <w:qFormat/>
    <w:rsid w:val="00A70E73"/>
    <w:pPr>
      <w:spacing w:line="480" w:lineRule="auto"/>
      <w:ind w:firstLine="708"/>
      <w:jc w:val="both"/>
    </w:pPr>
    <w:rPr>
      <w:sz w:val="28"/>
      <w:szCs w:val="20"/>
      <w:lang w:val="es-ES_tradnl"/>
    </w:rPr>
  </w:style>
  <w:style w:type="character" w:styleId="Nmerodepgina">
    <w:name w:val="page number"/>
    <w:basedOn w:val="Fuentedeprrafopredeter"/>
    <w:qFormat/>
    <w:rsid w:val="00A70E73"/>
  </w:style>
  <w:style w:type="paragraph" w:customStyle="1" w:styleId="Prrafodelista1">
    <w:name w:val="Párrafo de lista1"/>
    <w:basedOn w:val="Normal"/>
    <w:qFormat/>
    <w:rsid w:val="00A70E73"/>
    <w:pPr>
      <w:suppressAutoHyphens w:val="0"/>
      <w:ind w:left="720"/>
      <w:contextualSpacing/>
    </w:pPr>
    <w:rPr>
      <w:lang w:eastAsia="es-ES"/>
    </w:rPr>
  </w:style>
  <w:style w:type="paragraph" w:styleId="HTMLconformatoprevio">
    <w:name w:val="HTML Preformatted"/>
    <w:basedOn w:val="Normal"/>
    <w:link w:val="HTMLconformatoprevioCar"/>
    <w:qFormat/>
    <w:rsid w:val="00A70E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pPr>
    <w:rPr>
      <w:rFonts w:ascii="Courier New" w:hAnsi="Courier New" w:cs="Courier New"/>
      <w:color w:val="000000"/>
      <w:sz w:val="20"/>
      <w:szCs w:val="20"/>
      <w:lang w:eastAsia="es-ES"/>
    </w:rPr>
  </w:style>
  <w:style w:type="paragraph" w:styleId="Textoindependiente2">
    <w:name w:val="Body Text 2"/>
    <w:basedOn w:val="Normal"/>
    <w:link w:val="Textoindependiente2Car"/>
    <w:qFormat/>
    <w:rsid w:val="00A70E73"/>
    <w:pPr>
      <w:spacing w:after="120" w:line="480" w:lineRule="auto"/>
    </w:pPr>
    <w:rPr>
      <w:sz w:val="20"/>
      <w:szCs w:val="20"/>
    </w:rPr>
  </w:style>
  <w:style w:type="paragraph" w:customStyle="1" w:styleId="western">
    <w:name w:val="western"/>
    <w:basedOn w:val="Normal"/>
    <w:link w:val="westernCar"/>
    <w:uiPriority w:val="99"/>
    <w:qFormat/>
    <w:rsid w:val="00A70E73"/>
    <w:pPr>
      <w:suppressAutoHyphens w:val="0"/>
      <w:spacing w:before="100" w:beforeAutospacing="1"/>
    </w:pPr>
    <w:rPr>
      <w:sz w:val="18"/>
      <w:szCs w:val="18"/>
      <w:lang w:eastAsia="es-ES"/>
    </w:rPr>
  </w:style>
  <w:style w:type="character" w:customStyle="1" w:styleId="Refdenotaalpie1">
    <w:name w:val="Ref. de nota al pie1"/>
    <w:qFormat/>
    <w:rsid w:val="00A70E73"/>
    <w:rPr>
      <w:vertAlign w:val="superscript"/>
    </w:rPr>
  </w:style>
  <w:style w:type="paragraph" w:styleId="Textosinformato">
    <w:name w:val="Plain Text"/>
    <w:basedOn w:val="Normal"/>
    <w:uiPriority w:val="99"/>
    <w:qFormat/>
    <w:rsid w:val="00A70E73"/>
    <w:pPr>
      <w:suppressAutoHyphens w:val="0"/>
    </w:pPr>
    <w:rPr>
      <w:rFonts w:ascii="Bookman Old Style" w:hAnsi="Bookman Old Style"/>
      <w:i/>
      <w:iCs/>
      <w:lang w:eastAsia="es-ES"/>
    </w:rPr>
  </w:style>
  <w:style w:type="paragraph" w:customStyle="1" w:styleId="Normal2">
    <w:name w:val="Normal2"/>
    <w:qFormat/>
    <w:rsid w:val="00A70E73"/>
    <w:pPr>
      <w:suppressAutoHyphens/>
    </w:pPr>
    <w:rPr>
      <w:sz w:val="24"/>
      <w:lang w:val="es-CR" w:eastAsia="ar-SA"/>
    </w:rPr>
  </w:style>
  <w:style w:type="paragraph" w:customStyle="1" w:styleId="Sangra3detindependiente1">
    <w:name w:val="Sangría 3 de t. independiente1"/>
    <w:basedOn w:val="Normal"/>
    <w:qFormat/>
    <w:rsid w:val="00A70E73"/>
    <w:pPr>
      <w:spacing w:after="120"/>
      <w:ind w:left="283"/>
    </w:pPr>
    <w:rPr>
      <w:sz w:val="16"/>
      <w:szCs w:val="16"/>
    </w:rPr>
  </w:style>
  <w:style w:type="paragraph" w:styleId="Remitedesobre">
    <w:name w:val="envelope return"/>
    <w:basedOn w:val="Normal"/>
    <w:qFormat/>
    <w:rsid w:val="00A70E73"/>
    <w:pPr>
      <w:widowControl w:val="0"/>
      <w:suppressAutoHyphens w:val="0"/>
      <w:autoSpaceDE w:val="0"/>
      <w:autoSpaceDN w:val="0"/>
      <w:adjustRightInd w:val="0"/>
    </w:pPr>
    <w:rPr>
      <w:rFonts w:ascii="Arial" w:hAnsi="Arial" w:cs="Arial"/>
      <w:spacing w:val="-3"/>
      <w:lang w:val="es-CR" w:eastAsia="es-CR"/>
    </w:rPr>
  </w:style>
  <w:style w:type="paragraph" w:customStyle="1" w:styleId="lcon">
    <w:name w:val="lcon"/>
    <w:qFormat/>
    <w:rsid w:val="00A70E73"/>
    <w:pPr>
      <w:widowControl w:val="0"/>
      <w:autoSpaceDE w:val="0"/>
      <w:autoSpaceDN w:val="0"/>
      <w:adjustRightInd w:val="0"/>
      <w:jc w:val="both"/>
    </w:pPr>
    <w:rPr>
      <w:rFonts w:ascii="Courier New" w:hAnsi="Courier New" w:cs="Courier New"/>
      <w:spacing w:val="-3"/>
      <w:sz w:val="24"/>
      <w:szCs w:val="24"/>
      <w:lang w:val="es-CR" w:eastAsia="es-CR"/>
    </w:rPr>
  </w:style>
  <w:style w:type="paragraph" w:customStyle="1" w:styleId="CaracterCaracterCharCharCaracterCaracterCarCarCarCarChar">
    <w:name w:val="Caracter Caracter Char Char Caracter Caracter Car Car Car Car Char"/>
    <w:basedOn w:val="Normal"/>
    <w:qFormat/>
    <w:rsid w:val="00A70E73"/>
    <w:pPr>
      <w:suppressAutoHyphens w:val="0"/>
      <w:jc w:val="both"/>
    </w:pPr>
    <w:rPr>
      <w:rFonts w:ascii="Arial" w:hAnsi="Arial" w:cs="Arial"/>
      <w:lang w:val="pl-PL" w:eastAsia="pl-PL"/>
    </w:rPr>
  </w:style>
  <w:style w:type="paragraph" w:customStyle="1" w:styleId="H5">
    <w:name w:val="H5"/>
    <w:next w:val="Normal"/>
    <w:qFormat/>
    <w:rsid w:val="00A70E73"/>
    <w:pPr>
      <w:keepNext/>
      <w:widowControl w:val="0"/>
      <w:autoSpaceDE w:val="0"/>
      <w:autoSpaceDN w:val="0"/>
      <w:adjustRightInd w:val="0"/>
      <w:spacing w:before="100" w:after="100"/>
      <w:outlineLvl w:val="5"/>
    </w:pPr>
    <w:rPr>
      <w:rFonts w:ascii="Arial" w:hAnsi="Arial" w:cs="Arial"/>
      <w:b/>
      <w:bCs/>
    </w:rPr>
  </w:style>
  <w:style w:type="paragraph" w:customStyle="1" w:styleId="estilo2">
    <w:name w:val="estilo2"/>
    <w:qFormat/>
    <w:rsid w:val="00A70E73"/>
    <w:pPr>
      <w:widowControl w:val="0"/>
      <w:autoSpaceDE w:val="0"/>
      <w:autoSpaceDN w:val="0"/>
      <w:adjustRightInd w:val="0"/>
      <w:spacing w:before="100" w:after="100"/>
    </w:pPr>
    <w:rPr>
      <w:rFonts w:ascii="Verdana" w:hAnsi="Verdana" w:cs="Verdana"/>
      <w:sz w:val="24"/>
      <w:szCs w:val="24"/>
    </w:rPr>
  </w:style>
  <w:style w:type="paragraph" w:customStyle="1" w:styleId="Estilo1">
    <w:name w:val="Estilo1"/>
    <w:link w:val="Estilo1Car"/>
    <w:qFormat/>
    <w:rsid w:val="00A70E73"/>
    <w:pPr>
      <w:autoSpaceDE w:val="0"/>
      <w:autoSpaceDN w:val="0"/>
      <w:adjustRightInd w:val="0"/>
    </w:pPr>
    <w:rPr>
      <w:sz w:val="24"/>
      <w:szCs w:val="24"/>
      <w:lang w:val="en-US"/>
    </w:rPr>
  </w:style>
  <w:style w:type="paragraph" w:styleId="Textoindependiente3">
    <w:name w:val="Body Text 3"/>
    <w:basedOn w:val="Normal"/>
    <w:link w:val="Textoindependiente3Car"/>
    <w:qFormat/>
    <w:rsid w:val="00A70E73"/>
    <w:pPr>
      <w:tabs>
        <w:tab w:val="left" w:pos="1134"/>
      </w:tabs>
      <w:suppressAutoHyphens w:val="0"/>
      <w:jc w:val="both"/>
    </w:pPr>
    <w:rPr>
      <w:rFonts w:ascii="Arial" w:hAnsi="Arial"/>
      <w:szCs w:val="20"/>
      <w:lang w:val="es-ES_tradnl" w:eastAsia="es-ES"/>
    </w:rPr>
  </w:style>
  <w:style w:type="character" w:customStyle="1" w:styleId="Textoindependiente3Car">
    <w:name w:val="Texto independiente 3 Car"/>
    <w:link w:val="Textoindependiente3"/>
    <w:qFormat/>
    <w:locked/>
    <w:rsid w:val="00A70E73"/>
    <w:rPr>
      <w:rFonts w:ascii="Arial" w:hAnsi="Arial"/>
      <w:sz w:val="24"/>
      <w:lang w:val="es-ES_tradnl" w:eastAsia="es-ES" w:bidi="ar-SA"/>
    </w:rPr>
  </w:style>
  <w:style w:type="paragraph" w:customStyle="1" w:styleId="Textoindependiente22">
    <w:name w:val="Texto independiente 22"/>
    <w:basedOn w:val="Normal"/>
    <w:rsid w:val="00A70E73"/>
    <w:pPr>
      <w:widowControl w:val="0"/>
      <w:suppressAutoHyphens w:val="0"/>
      <w:jc w:val="both"/>
    </w:pPr>
    <w:rPr>
      <w:szCs w:val="20"/>
      <w:lang w:val="en-US" w:eastAsia="es-ES"/>
    </w:rPr>
  </w:style>
  <w:style w:type="paragraph" w:styleId="Sangra3detindependiente">
    <w:name w:val="Body Text Indent 3"/>
    <w:basedOn w:val="Normal"/>
    <w:link w:val="Sangra3detindependienteCar"/>
    <w:qFormat/>
    <w:rsid w:val="00A70E73"/>
    <w:pPr>
      <w:suppressAutoHyphens w:val="0"/>
      <w:spacing w:after="120"/>
      <w:ind w:left="283"/>
    </w:pPr>
    <w:rPr>
      <w:sz w:val="16"/>
      <w:szCs w:val="16"/>
      <w:lang w:val="es-CR" w:eastAsia="es-ES"/>
    </w:rPr>
  </w:style>
  <w:style w:type="paragraph" w:customStyle="1" w:styleId="Style1">
    <w:name w:val="Style 1"/>
    <w:basedOn w:val="Normal"/>
    <w:qFormat/>
    <w:rsid w:val="00A70E73"/>
    <w:pPr>
      <w:widowControl w:val="0"/>
      <w:suppressAutoHyphens w:val="0"/>
      <w:autoSpaceDE w:val="0"/>
      <w:autoSpaceDN w:val="0"/>
      <w:adjustRightInd w:val="0"/>
    </w:pPr>
    <w:rPr>
      <w:lang w:val="en-US" w:eastAsia="es-ES"/>
    </w:rPr>
  </w:style>
  <w:style w:type="paragraph" w:customStyle="1" w:styleId="bodytext2">
    <w:name w:val="bodytext2"/>
    <w:basedOn w:val="Normal"/>
    <w:qFormat/>
    <w:rsid w:val="00A70E73"/>
    <w:pPr>
      <w:suppressAutoHyphens w:val="0"/>
      <w:ind w:right="334" w:hanging="283"/>
      <w:jc w:val="both"/>
    </w:pPr>
    <w:rPr>
      <w:rFonts w:ascii="Arial" w:hAnsi="Arial" w:cs="Arial"/>
      <w:lang w:eastAsia="es-ES"/>
    </w:rPr>
  </w:style>
  <w:style w:type="paragraph" w:styleId="Ttulo">
    <w:name w:val="Title"/>
    <w:aliases w:val="artículo,Título niv 3"/>
    <w:basedOn w:val="Normal"/>
    <w:link w:val="TtuloCar1"/>
    <w:qFormat/>
    <w:rsid w:val="00A70E73"/>
    <w:pPr>
      <w:widowControl w:val="0"/>
      <w:suppressAutoHyphens w:val="0"/>
      <w:autoSpaceDE w:val="0"/>
      <w:autoSpaceDN w:val="0"/>
      <w:adjustRightInd w:val="0"/>
      <w:jc w:val="center"/>
    </w:pPr>
    <w:rPr>
      <w:rFonts w:ascii="Arial" w:hAnsi="Arial" w:cs="Arial"/>
      <w:b/>
      <w:bCs/>
      <w:sz w:val="28"/>
      <w:szCs w:val="28"/>
      <w:shd w:val="clear" w:color="auto" w:fill="FFFFFF"/>
      <w:lang w:eastAsia="es-ES"/>
    </w:rPr>
  </w:style>
  <w:style w:type="paragraph" w:customStyle="1" w:styleId="WW-Predeterminado">
    <w:name w:val="WW-Predeterminado"/>
    <w:qFormat/>
    <w:rsid w:val="00A70E73"/>
    <w:pPr>
      <w:widowControl w:val="0"/>
      <w:autoSpaceDE w:val="0"/>
      <w:autoSpaceDN w:val="0"/>
      <w:adjustRightInd w:val="0"/>
    </w:pPr>
    <w:rPr>
      <w:rFonts w:ascii="Arial" w:hAnsi="Arial" w:cs="Arial"/>
      <w:color w:val="000000"/>
      <w:sz w:val="24"/>
      <w:szCs w:val="24"/>
    </w:rPr>
  </w:style>
  <w:style w:type="paragraph" w:customStyle="1" w:styleId="WW-Predeterminado1">
    <w:name w:val="WW-Predeterminado1"/>
    <w:qFormat/>
    <w:rsid w:val="00A70E73"/>
    <w:pPr>
      <w:widowControl w:val="0"/>
      <w:autoSpaceDE w:val="0"/>
      <w:autoSpaceDN w:val="0"/>
      <w:adjustRightInd w:val="0"/>
    </w:pPr>
    <w:rPr>
      <w:rFonts w:ascii="Arial" w:hAnsi="Arial" w:cs="Arial"/>
      <w:color w:val="000000"/>
      <w:sz w:val="24"/>
      <w:szCs w:val="24"/>
    </w:rPr>
  </w:style>
  <w:style w:type="paragraph" w:customStyle="1" w:styleId="Sangra2detindependiente1">
    <w:name w:val="Sangría 2 de t. independiente1"/>
    <w:rsid w:val="00A70E73"/>
    <w:pPr>
      <w:widowControl w:val="0"/>
      <w:suppressAutoHyphens/>
      <w:autoSpaceDE w:val="0"/>
      <w:spacing w:line="480" w:lineRule="auto"/>
      <w:ind w:firstLine="708"/>
      <w:jc w:val="both"/>
    </w:pPr>
    <w:rPr>
      <w:rFonts w:ascii="Arial" w:eastAsia="Arial" w:hAnsi="Arial" w:cs="Arial"/>
      <w:sz w:val="24"/>
      <w:szCs w:val="24"/>
      <w:u w:val="single"/>
      <w:lang w:bidi="es-ES"/>
    </w:rPr>
  </w:style>
  <w:style w:type="paragraph" w:customStyle="1" w:styleId="Cuerpodetexto">
    <w:name w:val="Cuerpo de texto"/>
    <w:basedOn w:val="Predeterminado0"/>
    <w:qFormat/>
    <w:rsid w:val="00A70E73"/>
    <w:pPr>
      <w:autoSpaceDE/>
      <w:autoSpaceDN/>
      <w:adjustRightInd/>
    </w:pPr>
    <w:rPr>
      <w:rFonts w:ascii="Times New Roman" w:hAnsi="Times New Roman" w:cs="Times New Roman"/>
      <w:snapToGrid w:val="0"/>
      <w:color w:val="auto"/>
      <w:sz w:val="20"/>
      <w:szCs w:val="20"/>
    </w:rPr>
  </w:style>
  <w:style w:type="paragraph" w:customStyle="1" w:styleId="Default">
    <w:name w:val="Default"/>
    <w:qFormat/>
    <w:rsid w:val="00A70E73"/>
    <w:pPr>
      <w:widowControl w:val="0"/>
      <w:autoSpaceDE w:val="0"/>
      <w:autoSpaceDN w:val="0"/>
      <w:adjustRightInd w:val="0"/>
    </w:pPr>
    <w:rPr>
      <w:rFonts w:ascii="Verdana" w:hAnsi="Verdana" w:cs="Verdana"/>
      <w:color w:val="000000"/>
      <w:sz w:val="24"/>
      <w:szCs w:val="24"/>
    </w:rPr>
  </w:style>
  <w:style w:type="paragraph" w:customStyle="1" w:styleId="CM1">
    <w:name w:val="CM1"/>
    <w:basedOn w:val="Default"/>
    <w:next w:val="Default"/>
    <w:qFormat/>
    <w:rsid w:val="00A70E73"/>
    <w:pPr>
      <w:spacing w:after="225"/>
    </w:pPr>
    <w:rPr>
      <w:rFonts w:cs="Times New Roman"/>
      <w:color w:val="auto"/>
    </w:rPr>
  </w:style>
  <w:style w:type="paragraph" w:customStyle="1" w:styleId="Prrafodelista2">
    <w:name w:val="Párrafo de lista2"/>
    <w:basedOn w:val="Normal"/>
    <w:link w:val="PrrafodelistaCar"/>
    <w:uiPriority w:val="99"/>
    <w:qFormat/>
    <w:rsid w:val="00A70E73"/>
    <w:pPr>
      <w:suppressAutoHyphens w:val="0"/>
      <w:spacing w:line="276" w:lineRule="auto"/>
      <w:ind w:left="720"/>
      <w:contextualSpacing/>
      <w:jc w:val="both"/>
    </w:pPr>
    <w:rPr>
      <w:rFonts w:ascii="Calibri" w:hAnsi="Calibri"/>
      <w:lang w:val="es-CR" w:eastAsia="es-ES"/>
    </w:rPr>
  </w:style>
  <w:style w:type="character" w:customStyle="1" w:styleId="PrrafodelistaCar">
    <w:name w:val="Párrafo de lista Car"/>
    <w:aliases w:val="Informe Car,Párrafo de lista3 Car,Párrafo de lista3 Car1,FooterText Car,numbered Car,列出段落 Car,列出段落1 Car,List Paragraph Car,Footnote Car,List Paragraph2 Car,Paragraphe de liste1 Car,List Paragraph 1 Car,Numbered List Paragraph Car"/>
    <w:link w:val="Prrafodelista2"/>
    <w:uiPriority w:val="34"/>
    <w:qFormat/>
    <w:rsid w:val="00A70E73"/>
    <w:rPr>
      <w:rFonts w:ascii="Calibri" w:hAnsi="Calibri"/>
      <w:sz w:val="24"/>
      <w:szCs w:val="24"/>
      <w:lang w:val="es-CR" w:eastAsia="es-ES" w:bidi="ar-SA"/>
    </w:rPr>
  </w:style>
  <w:style w:type="paragraph" w:customStyle="1" w:styleId="prrafodelista0">
    <w:name w:val="prrafodelista"/>
    <w:basedOn w:val="Normal"/>
    <w:qFormat/>
    <w:rsid w:val="00A70E73"/>
    <w:pPr>
      <w:suppressAutoHyphens w:val="0"/>
      <w:spacing w:before="100" w:beforeAutospacing="1" w:after="100" w:afterAutospacing="1"/>
    </w:pPr>
    <w:rPr>
      <w:lang w:eastAsia="es-ES"/>
    </w:rPr>
  </w:style>
  <w:style w:type="paragraph" w:customStyle="1" w:styleId="normalprueba10">
    <w:name w:val="normalprueba1"/>
    <w:basedOn w:val="Normal"/>
    <w:qFormat/>
    <w:rsid w:val="00A70E73"/>
    <w:pPr>
      <w:suppressAutoHyphens w:val="0"/>
      <w:spacing w:before="100" w:beforeAutospacing="1" w:after="100" w:afterAutospacing="1"/>
    </w:pPr>
    <w:rPr>
      <w:lang w:eastAsia="es-ES"/>
    </w:rPr>
  </w:style>
  <w:style w:type="character" w:customStyle="1" w:styleId="Nivel4Char">
    <w:name w:val="Nivel 4 Char"/>
    <w:link w:val="Nivel4"/>
    <w:qFormat/>
    <w:locked/>
    <w:rsid w:val="00A70E73"/>
    <w:rPr>
      <w:lang w:val="es-ES" w:bidi="ar-SA"/>
    </w:rPr>
  </w:style>
  <w:style w:type="paragraph" w:customStyle="1" w:styleId="Nivel4">
    <w:name w:val="Nivel 4"/>
    <w:basedOn w:val="Normal"/>
    <w:link w:val="Nivel4Char"/>
    <w:qFormat/>
    <w:rsid w:val="00A70E73"/>
    <w:pPr>
      <w:suppressAutoHyphens w:val="0"/>
      <w:spacing w:before="240" w:after="240" w:line="276" w:lineRule="auto"/>
      <w:jc w:val="both"/>
    </w:pPr>
    <w:rPr>
      <w:sz w:val="20"/>
      <w:szCs w:val="20"/>
    </w:rPr>
  </w:style>
  <w:style w:type="paragraph" w:customStyle="1" w:styleId="Body1">
    <w:name w:val="Body 1"/>
    <w:qFormat/>
    <w:rsid w:val="00A70E73"/>
    <w:rPr>
      <w:rFonts w:ascii="Helvetica" w:eastAsia="Arial Unicode MS" w:hAnsi="Helvetica"/>
      <w:color w:val="000000"/>
      <w:sz w:val="24"/>
      <w:lang w:val="es-CR" w:eastAsia="es-CR"/>
    </w:rPr>
  </w:style>
  <w:style w:type="character" w:customStyle="1" w:styleId="Destacado">
    <w:name w:val="Destacado"/>
    <w:qFormat/>
    <w:rsid w:val="00A70E73"/>
    <w:rPr>
      <w:i/>
      <w:iCs/>
    </w:rPr>
  </w:style>
  <w:style w:type="character" w:customStyle="1" w:styleId="CarCar2">
    <w:name w:val="Car Car2"/>
    <w:qFormat/>
    <w:locked/>
    <w:rsid w:val="00A70E73"/>
    <w:rPr>
      <w:lang w:val="es-ES" w:eastAsia="es-ES" w:bidi="ar-SA"/>
    </w:rPr>
  </w:style>
  <w:style w:type="character" w:styleId="nfasis">
    <w:name w:val="Emphasis"/>
    <w:qFormat/>
    <w:rsid w:val="00A70E73"/>
    <w:rPr>
      <w:i/>
      <w:iCs/>
    </w:rPr>
  </w:style>
  <w:style w:type="paragraph" w:customStyle="1" w:styleId="bodytext220">
    <w:name w:val="bodytext22"/>
    <w:basedOn w:val="Normal"/>
    <w:qFormat/>
    <w:rsid w:val="00A70E73"/>
    <w:pPr>
      <w:suppressAutoHyphens w:val="0"/>
      <w:autoSpaceDE w:val="0"/>
      <w:autoSpaceDN w:val="0"/>
      <w:jc w:val="both"/>
    </w:pPr>
    <w:rPr>
      <w:rFonts w:ascii="Arial" w:hAnsi="Arial" w:cs="Arial"/>
      <w:lang w:eastAsia="es-ES"/>
    </w:rPr>
  </w:style>
  <w:style w:type="character" w:customStyle="1" w:styleId="tittextos1">
    <w:name w:val="tittextos1"/>
    <w:qFormat/>
    <w:rsid w:val="00A70E73"/>
    <w:rPr>
      <w:rFonts w:ascii="Arial" w:hAnsi="Arial" w:cs="Arial" w:hint="default"/>
      <w:b/>
      <w:bCs/>
      <w:strike w:val="0"/>
      <w:dstrike w:val="0"/>
      <w:color w:val="4C2E24"/>
      <w:sz w:val="20"/>
      <w:szCs w:val="20"/>
      <w:u w:val="none"/>
      <w:effect w:val="none"/>
    </w:rPr>
  </w:style>
  <w:style w:type="character" w:customStyle="1" w:styleId="apple-style-span">
    <w:name w:val="apple-style-span"/>
    <w:qFormat/>
    <w:rsid w:val="00A70E73"/>
  </w:style>
  <w:style w:type="character" w:customStyle="1" w:styleId="apple-converted-space">
    <w:name w:val="apple-converted-space"/>
    <w:qFormat/>
    <w:rsid w:val="00A70E73"/>
  </w:style>
  <w:style w:type="character" w:customStyle="1" w:styleId="Carcterdecarcter">
    <w:name w:val="Carácter de carácter"/>
    <w:qFormat/>
    <w:rsid w:val="00A70E73"/>
    <w:rPr>
      <w:rFonts w:ascii="Tahoma" w:hAnsi="Tahoma" w:cs="Tahoma"/>
      <w:b/>
      <w:bCs/>
      <w:color w:val="FFFFFF"/>
    </w:rPr>
  </w:style>
  <w:style w:type="character" w:customStyle="1" w:styleId="Programa">
    <w:name w:val="Programa"/>
    <w:qFormat/>
    <w:rsid w:val="00A70E73"/>
    <w:rPr>
      <w:rFonts w:ascii="Tahoma" w:hAnsi="Tahoma" w:cs="Tahoma"/>
      <w:color w:val="000000"/>
    </w:rPr>
  </w:style>
  <w:style w:type="character" w:customStyle="1" w:styleId="WW8Num1z1">
    <w:name w:val="WW8Num1z1"/>
    <w:qFormat/>
    <w:rsid w:val="00A70E73"/>
    <w:rPr>
      <w:rFonts w:ascii="Courier New" w:hAnsi="Courier New" w:cs="Courier New"/>
    </w:rPr>
  </w:style>
  <w:style w:type="character" w:customStyle="1" w:styleId="WW8Num1z2">
    <w:name w:val="WW8Num1z2"/>
    <w:qFormat/>
    <w:rsid w:val="00A70E73"/>
    <w:rPr>
      <w:rFonts w:ascii="Wingdings" w:hAnsi="Wingdings" w:cs="Wingdings"/>
    </w:rPr>
  </w:style>
  <w:style w:type="character" w:customStyle="1" w:styleId="WW8Num1z3">
    <w:name w:val="WW8Num1z3"/>
    <w:qFormat/>
    <w:rsid w:val="00A70E73"/>
    <w:rPr>
      <w:rFonts w:ascii="Symbol" w:hAnsi="Symbol" w:cs="Symbol"/>
    </w:rPr>
  </w:style>
  <w:style w:type="paragraph" w:customStyle="1" w:styleId="DefinitionTerm">
    <w:name w:val="Definition Term"/>
    <w:next w:val="DefinitionList"/>
    <w:qFormat/>
    <w:rsid w:val="00A70E73"/>
    <w:pPr>
      <w:widowControl w:val="0"/>
      <w:autoSpaceDE w:val="0"/>
      <w:autoSpaceDN w:val="0"/>
      <w:adjustRightInd w:val="0"/>
    </w:pPr>
    <w:rPr>
      <w:rFonts w:ascii="Arial" w:hAnsi="Arial" w:cs="Arial"/>
      <w:sz w:val="24"/>
      <w:szCs w:val="24"/>
    </w:rPr>
  </w:style>
  <w:style w:type="paragraph" w:customStyle="1" w:styleId="DefinitionList">
    <w:name w:val="Definition List"/>
    <w:next w:val="DefinitionTerm"/>
    <w:qFormat/>
    <w:rsid w:val="00A70E73"/>
    <w:pPr>
      <w:widowControl w:val="0"/>
      <w:autoSpaceDE w:val="0"/>
      <w:autoSpaceDN w:val="0"/>
      <w:adjustRightInd w:val="0"/>
      <w:ind w:left="360"/>
    </w:pPr>
    <w:rPr>
      <w:rFonts w:ascii="Arial" w:hAnsi="Arial" w:cs="Arial"/>
      <w:sz w:val="24"/>
      <w:szCs w:val="24"/>
    </w:rPr>
  </w:style>
  <w:style w:type="character" w:customStyle="1" w:styleId="Definition">
    <w:name w:val="Definition"/>
    <w:qFormat/>
    <w:rsid w:val="00A70E73"/>
    <w:rPr>
      <w:i/>
      <w:iCs/>
    </w:rPr>
  </w:style>
  <w:style w:type="paragraph" w:customStyle="1" w:styleId="H1">
    <w:name w:val="H1"/>
    <w:next w:val="Normal"/>
    <w:qFormat/>
    <w:rsid w:val="00A70E73"/>
    <w:pPr>
      <w:keepNext/>
      <w:widowControl w:val="0"/>
      <w:autoSpaceDE w:val="0"/>
      <w:autoSpaceDN w:val="0"/>
      <w:adjustRightInd w:val="0"/>
      <w:spacing w:before="100" w:after="100"/>
      <w:outlineLvl w:val="1"/>
    </w:pPr>
    <w:rPr>
      <w:rFonts w:ascii="Arial" w:hAnsi="Arial" w:cs="Arial"/>
      <w:b/>
      <w:bCs/>
      <w:sz w:val="48"/>
      <w:szCs w:val="48"/>
    </w:rPr>
  </w:style>
  <w:style w:type="paragraph" w:customStyle="1" w:styleId="H2">
    <w:name w:val="H2"/>
    <w:next w:val="Normal"/>
    <w:qFormat/>
    <w:rsid w:val="00A70E73"/>
    <w:pPr>
      <w:keepNext/>
      <w:widowControl w:val="0"/>
      <w:autoSpaceDE w:val="0"/>
      <w:autoSpaceDN w:val="0"/>
      <w:adjustRightInd w:val="0"/>
      <w:spacing w:before="100" w:after="100"/>
      <w:outlineLvl w:val="2"/>
    </w:pPr>
    <w:rPr>
      <w:rFonts w:ascii="Arial" w:hAnsi="Arial" w:cs="Arial"/>
      <w:b/>
      <w:bCs/>
      <w:sz w:val="36"/>
      <w:szCs w:val="36"/>
    </w:rPr>
  </w:style>
  <w:style w:type="paragraph" w:customStyle="1" w:styleId="H3">
    <w:name w:val="H3"/>
    <w:next w:val="Normal"/>
    <w:qFormat/>
    <w:rsid w:val="00A70E73"/>
    <w:pPr>
      <w:keepNext/>
      <w:widowControl w:val="0"/>
      <w:autoSpaceDE w:val="0"/>
      <w:autoSpaceDN w:val="0"/>
      <w:adjustRightInd w:val="0"/>
      <w:spacing w:before="100" w:after="100"/>
      <w:outlineLvl w:val="3"/>
    </w:pPr>
    <w:rPr>
      <w:rFonts w:ascii="Arial" w:hAnsi="Arial" w:cs="Arial"/>
      <w:b/>
      <w:bCs/>
      <w:sz w:val="28"/>
      <w:szCs w:val="28"/>
    </w:rPr>
  </w:style>
  <w:style w:type="paragraph" w:customStyle="1" w:styleId="H4">
    <w:name w:val="H4"/>
    <w:next w:val="Normal"/>
    <w:qFormat/>
    <w:rsid w:val="00A70E73"/>
    <w:pPr>
      <w:keepNext/>
      <w:widowControl w:val="0"/>
      <w:autoSpaceDE w:val="0"/>
      <w:autoSpaceDN w:val="0"/>
      <w:adjustRightInd w:val="0"/>
      <w:spacing w:before="100" w:after="100"/>
      <w:outlineLvl w:val="4"/>
    </w:pPr>
    <w:rPr>
      <w:rFonts w:ascii="Arial" w:hAnsi="Arial" w:cs="Arial"/>
      <w:b/>
      <w:bCs/>
      <w:sz w:val="24"/>
      <w:szCs w:val="24"/>
    </w:rPr>
  </w:style>
  <w:style w:type="paragraph" w:customStyle="1" w:styleId="H6">
    <w:name w:val="H6"/>
    <w:next w:val="Normal"/>
    <w:qFormat/>
    <w:rsid w:val="00A70E73"/>
    <w:pPr>
      <w:keepNext/>
      <w:widowControl w:val="0"/>
      <w:autoSpaceDE w:val="0"/>
      <w:autoSpaceDN w:val="0"/>
      <w:adjustRightInd w:val="0"/>
      <w:spacing w:before="100" w:after="100"/>
      <w:outlineLvl w:val="6"/>
    </w:pPr>
    <w:rPr>
      <w:rFonts w:ascii="Arial" w:hAnsi="Arial" w:cs="Arial"/>
      <w:b/>
      <w:bCs/>
      <w:sz w:val="16"/>
      <w:szCs w:val="16"/>
    </w:rPr>
  </w:style>
  <w:style w:type="paragraph" w:customStyle="1" w:styleId="Address">
    <w:name w:val="Address"/>
    <w:next w:val="Normal"/>
    <w:qFormat/>
    <w:rsid w:val="00A70E73"/>
    <w:pPr>
      <w:widowControl w:val="0"/>
      <w:autoSpaceDE w:val="0"/>
      <w:autoSpaceDN w:val="0"/>
      <w:adjustRightInd w:val="0"/>
    </w:pPr>
    <w:rPr>
      <w:rFonts w:ascii="Arial" w:hAnsi="Arial" w:cs="Arial"/>
      <w:i/>
      <w:iCs/>
      <w:sz w:val="24"/>
      <w:szCs w:val="24"/>
    </w:rPr>
  </w:style>
  <w:style w:type="paragraph" w:customStyle="1" w:styleId="Blockquote">
    <w:name w:val="Blockquote"/>
    <w:next w:val="Normal"/>
    <w:qFormat/>
    <w:rsid w:val="00A70E73"/>
    <w:pPr>
      <w:widowControl w:val="0"/>
      <w:autoSpaceDE w:val="0"/>
      <w:autoSpaceDN w:val="0"/>
      <w:adjustRightInd w:val="0"/>
      <w:spacing w:before="100" w:after="100"/>
      <w:ind w:left="360" w:right="360"/>
    </w:pPr>
    <w:rPr>
      <w:rFonts w:ascii="Arial" w:hAnsi="Arial" w:cs="Arial"/>
      <w:sz w:val="24"/>
      <w:szCs w:val="24"/>
    </w:rPr>
  </w:style>
  <w:style w:type="character" w:customStyle="1" w:styleId="CITE">
    <w:name w:val="CITE"/>
    <w:qFormat/>
    <w:rsid w:val="00A70E73"/>
    <w:rPr>
      <w:i/>
      <w:iCs/>
    </w:rPr>
  </w:style>
  <w:style w:type="character" w:customStyle="1" w:styleId="CODE">
    <w:name w:val="CODE"/>
    <w:qFormat/>
    <w:rsid w:val="00A70E73"/>
    <w:rPr>
      <w:rFonts w:ascii="Courier New" w:hAnsi="Courier New" w:cs="Courier New"/>
      <w:sz w:val="20"/>
      <w:szCs w:val="20"/>
    </w:rPr>
  </w:style>
  <w:style w:type="character" w:styleId="Hipervnculovisitado">
    <w:name w:val="FollowedHyperlink"/>
    <w:uiPriority w:val="99"/>
    <w:qFormat/>
    <w:rsid w:val="00A70E73"/>
    <w:rPr>
      <w:color w:val="800080"/>
      <w:u w:val="single"/>
    </w:rPr>
  </w:style>
  <w:style w:type="character" w:customStyle="1" w:styleId="Keyboard">
    <w:name w:val="Keyboard"/>
    <w:qFormat/>
    <w:rsid w:val="00A70E73"/>
    <w:rPr>
      <w:rFonts w:ascii="Courier New" w:hAnsi="Courier New" w:cs="Courier New"/>
      <w:b/>
      <w:bCs/>
      <w:sz w:val="20"/>
      <w:szCs w:val="20"/>
    </w:rPr>
  </w:style>
  <w:style w:type="paragraph" w:customStyle="1" w:styleId="Preformatted">
    <w:name w:val="Preformatted"/>
    <w:next w:val="Normal"/>
    <w:qFormat/>
    <w:rsid w:val="00A70E73"/>
    <w:pPr>
      <w:widowControl w:val="0"/>
      <w:autoSpaceDE w:val="0"/>
      <w:autoSpaceDN w:val="0"/>
      <w:adjustRightInd w:val="0"/>
    </w:pPr>
    <w:rPr>
      <w:rFonts w:ascii="Courier New" w:hAnsi="Courier New" w:cs="Courier New"/>
    </w:rPr>
  </w:style>
  <w:style w:type="paragraph" w:customStyle="1" w:styleId="z-BottomofForm">
    <w:name w:val="z-Bottom of Form"/>
    <w:next w:val="Normal"/>
    <w:qFormat/>
    <w:rsid w:val="00A70E73"/>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
    <w:name w:val="z-Top of Form"/>
    <w:next w:val="Normal"/>
    <w:qFormat/>
    <w:rsid w:val="00A70E73"/>
    <w:pPr>
      <w:widowControl w:val="0"/>
      <w:pBdr>
        <w:bottom w:val="double" w:sz="6" w:space="0" w:color="000000"/>
      </w:pBdr>
      <w:autoSpaceDE w:val="0"/>
      <w:autoSpaceDN w:val="0"/>
      <w:adjustRightInd w:val="0"/>
      <w:jc w:val="center"/>
    </w:pPr>
    <w:rPr>
      <w:rFonts w:ascii="Arial" w:hAnsi="Arial" w:cs="Arial"/>
      <w:vanish/>
      <w:sz w:val="16"/>
      <w:szCs w:val="16"/>
    </w:rPr>
  </w:style>
  <w:style w:type="character" w:customStyle="1" w:styleId="Sample">
    <w:name w:val="Sample"/>
    <w:qFormat/>
    <w:rsid w:val="00A70E73"/>
    <w:rPr>
      <w:rFonts w:ascii="Courier New" w:hAnsi="Courier New" w:cs="Courier New"/>
    </w:rPr>
  </w:style>
  <w:style w:type="character" w:customStyle="1" w:styleId="Typewriter">
    <w:name w:val="Typewriter"/>
    <w:qFormat/>
    <w:rsid w:val="00A70E73"/>
    <w:rPr>
      <w:rFonts w:ascii="Courier New" w:hAnsi="Courier New" w:cs="Courier New"/>
      <w:sz w:val="20"/>
      <w:szCs w:val="20"/>
    </w:rPr>
  </w:style>
  <w:style w:type="character" w:customStyle="1" w:styleId="Variable">
    <w:name w:val="Variable"/>
    <w:qFormat/>
    <w:rsid w:val="00A70E73"/>
    <w:rPr>
      <w:i/>
      <w:iCs/>
    </w:rPr>
  </w:style>
  <w:style w:type="character" w:customStyle="1" w:styleId="HTMLMarkup">
    <w:name w:val="HTML Markup"/>
    <w:qFormat/>
    <w:rsid w:val="00A70E73"/>
    <w:rPr>
      <w:vanish/>
      <w:color w:val="FF0000"/>
    </w:rPr>
  </w:style>
  <w:style w:type="character" w:customStyle="1" w:styleId="Comment">
    <w:name w:val="Comment"/>
    <w:qFormat/>
    <w:rsid w:val="00A70E73"/>
    <w:rPr>
      <w:vanish/>
    </w:rPr>
  </w:style>
  <w:style w:type="paragraph" w:customStyle="1" w:styleId="Estilo">
    <w:name w:val="Estilo"/>
    <w:next w:val="Normal"/>
    <w:qFormat/>
    <w:rsid w:val="00A70E73"/>
    <w:pPr>
      <w:widowControl w:val="0"/>
      <w:autoSpaceDE w:val="0"/>
      <w:autoSpaceDN w:val="0"/>
      <w:adjustRightInd w:val="0"/>
    </w:pPr>
    <w:rPr>
      <w:rFonts w:ascii="Arial" w:hAnsi="Arial" w:cs="Arial"/>
      <w:color w:val="000000"/>
      <w:sz w:val="24"/>
      <w:szCs w:val="24"/>
    </w:rPr>
  </w:style>
  <w:style w:type="paragraph" w:customStyle="1" w:styleId="TableContents">
    <w:name w:val="Table Contents"/>
    <w:qFormat/>
    <w:rsid w:val="00A70E73"/>
    <w:pPr>
      <w:widowControl w:val="0"/>
      <w:autoSpaceDE w:val="0"/>
      <w:autoSpaceDN w:val="0"/>
      <w:adjustRightInd w:val="0"/>
    </w:pPr>
    <w:rPr>
      <w:rFonts w:ascii="Arial" w:hAnsi="Arial" w:cs="Arial"/>
      <w:color w:val="000000"/>
      <w:sz w:val="24"/>
      <w:szCs w:val="24"/>
    </w:rPr>
  </w:style>
  <w:style w:type="paragraph" w:customStyle="1" w:styleId="TableHeading">
    <w:name w:val="Table Heading"/>
    <w:qFormat/>
    <w:rsid w:val="00A70E73"/>
    <w:pPr>
      <w:widowControl w:val="0"/>
      <w:autoSpaceDE w:val="0"/>
      <w:autoSpaceDN w:val="0"/>
      <w:adjustRightInd w:val="0"/>
      <w:jc w:val="center"/>
    </w:pPr>
    <w:rPr>
      <w:rFonts w:ascii="Arial" w:hAnsi="Arial" w:cs="Arial"/>
      <w:b/>
      <w:bCs/>
      <w:color w:val="000000"/>
      <w:sz w:val="24"/>
      <w:szCs w:val="24"/>
    </w:rPr>
  </w:style>
  <w:style w:type="paragraph" w:customStyle="1" w:styleId="titulomembrete">
    <w:name w:val="titulomembrete"/>
    <w:qFormat/>
    <w:rsid w:val="00A70E73"/>
    <w:pPr>
      <w:keepNext/>
      <w:widowControl w:val="0"/>
      <w:autoSpaceDE w:val="0"/>
      <w:autoSpaceDN w:val="0"/>
      <w:adjustRightInd w:val="0"/>
      <w:jc w:val="center"/>
    </w:pPr>
    <w:rPr>
      <w:rFonts w:ascii="Arial" w:hAnsi="Arial" w:cs="Arial"/>
      <w:b/>
      <w:bCs/>
    </w:rPr>
  </w:style>
  <w:style w:type="paragraph" w:customStyle="1" w:styleId="membrete">
    <w:name w:val="membrete"/>
    <w:qFormat/>
    <w:rsid w:val="00A70E73"/>
    <w:pPr>
      <w:widowControl w:val="0"/>
      <w:autoSpaceDE w:val="0"/>
      <w:autoSpaceDN w:val="0"/>
      <w:adjustRightInd w:val="0"/>
      <w:jc w:val="center"/>
    </w:pPr>
    <w:rPr>
      <w:rFonts w:ascii="Arial" w:hAnsi="Arial" w:cs="Arial"/>
      <w:sz w:val="18"/>
      <w:szCs w:val="18"/>
    </w:rPr>
  </w:style>
  <w:style w:type="paragraph" w:customStyle="1" w:styleId="fomulas">
    <w:name w:val="fomulas"/>
    <w:qFormat/>
    <w:rsid w:val="00A70E73"/>
    <w:pPr>
      <w:widowControl w:val="0"/>
      <w:autoSpaceDE w:val="0"/>
      <w:autoSpaceDN w:val="0"/>
      <w:adjustRightInd w:val="0"/>
      <w:spacing w:line="432" w:lineRule="auto"/>
      <w:jc w:val="both"/>
    </w:pPr>
    <w:rPr>
      <w:rFonts w:ascii="Arial" w:hAnsi="Arial" w:cs="Arial"/>
      <w:b/>
      <w:bCs/>
      <w:sz w:val="22"/>
      <w:szCs w:val="22"/>
    </w:rPr>
  </w:style>
  <w:style w:type="paragraph" w:customStyle="1" w:styleId="WW-TableContents12345">
    <w:name w:val="WW-Table Contents12345"/>
    <w:basedOn w:val="Normal"/>
    <w:qFormat/>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Prrafodelista10">
    <w:name w:val="Párrafo de lista1"/>
    <w:basedOn w:val="Normal"/>
    <w:link w:val="ListParagraphChar"/>
    <w:qFormat/>
    <w:rsid w:val="00A70E73"/>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Ttulo41">
    <w:name w:val="Título 41"/>
    <w:next w:val="Normal"/>
    <w:qFormat/>
    <w:rsid w:val="00A70E73"/>
    <w:pPr>
      <w:keepNext/>
      <w:widowControl w:val="0"/>
      <w:tabs>
        <w:tab w:val="num" w:pos="2880"/>
      </w:tabs>
      <w:suppressAutoHyphens/>
      <w:autoSpaceDE w:val="0"/>
      <w:spacing w:line="480" w:lineRule="auto"/>
      <w:ind w:left="2880" w:hanging="360"/>
      <w:jc w:val="center"/>
      <w:outlineLvl w:val="3"/>
    </w:pPr>
    <w:rPr>
      <w:rFonts w:ascii="Arial" w:hAnsi="Arial"/>
      <w:b/>
      <w:bCs/>
      <w:sz w:val="24"/>
      <w:szCs w:val="24"/>
      <w:u w:val="single"/>
      <w:shd w:val="clear" w:color="auto" w:fill="FFFFFF"/>
      <w:lang w:eastAsia="en-US"/>
    </w:rPr>
  </w:style>
  <w:style w:type="character" w:customStyle="1" w:styleId="hps">
    <w:name w:val="hps"/>
    <w:basedOn w:val="Fuentedeprrafopredeter"/>
    <w:qFormat/>
    <w:rsid w:val="00A70E73"/>
  </w:style>
  <w:style w:type="paragraph" w:customStyle="1" w:styleId="arial">
    <w:name w:val="arial"/>
    <w:qFormat/>
    <w:rsid w:val="00A70E73"/>
    <w:pPr>
      <w:keepNext/>
      <w:widowControl w:val="0"/>
      <w:autoSpaceDE w:val="0"/>
      <w:autoSpaceDN w:val="0"/>
      <w:adjustRightInd w:val="0"/>
      <w:jc w:val="both"/>
    </w:pPr>
    <w:rPr>
      <w:rFonts w:ascii="Arial" w:hAnsi="Arial"/>
      <w:i/>
      <w:iCs/>
      <w:sz w:val="28"/>
      <w:szCs w:val="28"/>
    </w:rPr>
  </w:style>
  <w:style w:type="paragraph" w:customStyle="1" w:styleId="standard">
    <w:name w:val="standard"/>
    <w:basedOn w:val="Normal"/>
    <w:qFormat/>
    <w:rsid w:val="00A70E73"/>
    <w:pPr>
      <w:suppressAutoHyphens w:val="0"/>
      <w:autoSpaceDN w:val="0"/>
    </w:pPr>
    <w:rPr>
      <w:lang w:eastAsia="es-ES"/>
    </w:rPr>
  </w:style>
  <w:style w:type="paragraph" w:customStyle="1" w:styleId="heading11">
    <w:name w:val="heading11"/>
    <w:basedOn w:val="Normal"/>
    <w:qFormat/>
    <w:rsid w:val="00A70E73"/>
    <w:pPr>
      <w:keepNext/>
      <w:suppressAutoHyphens w:val="0"/>
      <w:autoSpaceDN w:val="0"/>
      <w:jc w:val="right"/>
    </w:pPr>
    <w:rPr>
      <w:b/>
      <w:bCs/>
      <w:sz w:val="21"/>
      <w:szCs w:val="21"/>
      <w:lang w:eastAsia="es-ES"/>
    </w:rPr>
  </w:style>
  <w:style w:type="paragraph" w:styleId="Lista2">
    <w:name w:val="List 2"/>
    <w:basedOn w:val="Normal"/>
    <w:qFormat/>
    <w:rsid w:val="00A70E73"/>
    <w:pPr>
      <w:ind w:left="566" w:hanging="283"/>
    </w:pPr>
    <w:rPr>
      <w:sz w:val="20"/>
      <w:szCs w:val="20"/>
      <w:lang w:val="es-ES_tradnl"/>
    </w:rPr>
  </w:style>
  <w:style w:type="paragraph" w:styleId="Textoindependienteprimerasangra">
    <w:name w:val="Body Text First Indent"/>
    <w:basedOn w:val="Textoindependiente"/>
    <w:link w:val="TextoindependienteprimerasangraCar"/>
    <w:qFormat/>
    <w:rsid w:val="00A70E73"/>
    <w:pPr>
      <w:ind w:firstLine="210"/>
    </w:pPr>
    <w:rPr>
      <w:sz w:val="20"/>
      <w:szCs w:val="20"/>
      <w:lang w:val="es-ES_tradnl"/>
    </w:rPr>
  </w:style>
  <w:style w:type="paragraph" w:styleId="Textoindependienteprimerasangra2">
    <w:name w:val="Body Text First Indent 2"/>
    <w:basedOn w:val="Sangradetextonormal"/>
    <w:link w:val="Textoindependienteprimerasangra2Car"/>
    <w:qFormat/>
    <w:rsid w:val="00A70E73"/>
    <w:pPr>
      <w:ind w:firstLine="210"/>
    </w:pPr>
  </w:style>
  <w:style w:type="paragraph" w:styleId="Lista3">
    <w:name w:val="List 3"/>
    <w:basedOn w:val="Normal"/>
    <w:qFormat/>
    <w:rsid w:val="00A70E73"/>
    <w:pPr>
      <w:ind w:left="849" w:hanging="283"/>
    </w:pPr>
    <w:rPr>
      <w:sz w:val="20"/>
      <w:szCs w:val="20"/>
      <w:lang w:val="es-ES_tradnl"/>
    </w:rPr>
  </w:style>
  <w:style w:type="character" w:customStyle="1" w:styleId="CarCar6">
    <w:name w:val="Car Car6"/>
    <w:qFormat/>
    <w:locked/>
    <w:rsid w:val="00A70E73"/>
    <w:rPr>
      <w:rFonts w:cs="Arial"/>
      <w:color w:val="000000"/>
      <w:lang w:val="es-ES_tradnl" w:eastAsia="es-ES" w:bidi="ar-SA"/>
    </w:rPr>
  </w:style>
  <w:style w:type="paragraph" w:customStyle="1" w:styleId="xl63">
    <w:name w:val="xl63"/>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64">
    <w:name w:val="xl64"/>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65">
    <w:name w:val="xl65"/>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6">
    <w:name w:val="xl66"/>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7">
    <w:name w:val="xl67"/>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lang w:val="en-US" w:eastAsia="en-US"/>
    </w:rPr>
  </w:style>
  <w:style w:type="paragraph" w:customStyle="1" w:styleId="xl68">
    <w:name w:val="xl68"/>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rFonts w:ascii="Arial" w:hAnsi="Arial" w:cs="Arial"/>
      <w:lang w:val="en-US" w:eastAsia="en-US"/>
    </w:rPr>
  </w:style>
  <w:style w:type="paragraph" w:customStyle="1" w:styleId="xl69">
    <w:name w:val="xl69"/>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0">
    <w:name w:val="xl70"/>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lang w:val="en-US" w:eastAsia="en-US"/>
    </w:rPr>
  </w:style>
  <w:style w:type="paragraph" w:customStyle="1" w:styleId="xl71">
    <w:name w:val="xl71"/>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textAlignment w:val="top"/>
    </w:pPr>
    <w:rPr>
      <w:b/>
      <w:bCs/>
      <w:color w:val="000000"/>
      <w:lang w:val="en-US" w:eastAsia="en-US"/>
    </w:rPr>
  </w:style>
  <w:style w:type="paragraph" w:customStyle="1" w:styleId="xl72">
    <w:name w:val="xl72"/>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rFonts w:ascii="Arial" w:hAnsi="Arial" w:cs="Arial"/>
      <w:b/>
      <w:bCs/>
      <w:sz w:val="20"/>
      <w:szCs w:val="20"/>
      <w:lang w:val="en-US" w:eastAsia="en-US"/>
    </w:rPr>
  </w:style>
  <w:style w:type="paragraph" w:customStyle="1" w:styleId="xl73">
    <w:name w:val="xl73"/>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center"/>
    </w:pPr>
    <w:rPr>
      <w:b/>
      <w:bCs/>
      <w:lang w:val="en-US" w:eastAsia="en-US"/>
    </w:rPr>
  </w:style>
  <w:style w:type="paragraph" w:customStyle="1" w:styleId="xl74">
    <w:name w:val="xl74"/>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lang w:val="en-US" w:eastAsia="en-US"/>
    </w:rPr>
  </w:style>
  <w:style w:type="paragraph" w:customStyle="1" w:styleId="xl75">
    <w:name w:val="xl75"/>
    <w:basedOn w:val="Normal"/>
    <w:qFormat/>
    <w:rsid w:val="00A70E73"/>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pPr>
    <w:rPr>
      <w:b/>
      <w:bCs/>
      <w:sz w:val="28"/>
      <w:szCs w:val="28"/>
      <w:lang w:val="en-US" w:eastAsia="en-US"/>
    </w:rPr>
  </w:style>
  <w:style w:type="character" w:customStyle="1" w:styleId="spelle">
    <w:name w:val="spelle"/>
    <w:qFormat/>
    <w:rsid w:val="00A70E73"/>
  </w:style>
  <w:style w:type="paragraph" w:customStyle="1" w:styleId="Pa3">
    <w:name w:val="Pa3"/>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Pa5">
    <w:name w:val="Pa5"/>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Pa6">
    <w:name w:val="Pa6"/>
    <w:basedOn w:val="Normal"/>
    <w:next w:val="Normal"/>
    <w:qFormat/>
    <w:rsid w:val="00A70E73"/>
    <w:pPr>
      <w:suppressAutoHyphens w:val="0"/>
      <w:autoSpaceDE w:val="0"/>
      <w:autoSpaceDN w:val="0"/>
      <w:adjustRightInd w:val="0"/>
      <w:spacing w:line="181" w:lineRule="atLeast"/>
    </w:pPr>
    <w:rPr>
      <w:rFonts w:eastAsia="Calibri"/>
      <w:lang w:val="es-CR" w:eastAsia="es-CR"/>
    </w:rPr>
  </w:style>
  <w:style w:type="paragraph" w:customStyle="1" w:styleId="Textodebloque1">
    <w:name w:val="Texto de bloque1"/>
    <w:rsid w:val="00A70E73"/>
    <w:pPr>
      <w:widowControl w:val="0"/>
      <w:suppressAutoHyphens/>
      <w:autoSpaceDE w:val="0"/>
      <w:ind w:firstLine="709"/>
      <w:jc w:val="both"/>
    </w:pPr>
    <w:rPr>
      <w:rFonts w:ascii="Century" w:eastAsia="Century" w:hAnsi="Century"/>
      <w:color w:val="000000"/>
      <w:kern w:val="1"/>
      <w:sz w:val="24"/>
      <w:szCs w:val="24"/>
      <w:u w:val="single"/>
      <w:lang w:val="es-CR"/>
    </w:rPr>
  </w:style>
  <w:style w:type="paragraph" w:customStyle="1" w:styleId="Ttulo30">
    <w:name w:val="TÍtulo 3"/>
    <w:next w:val="Normal"/>
    <w:qFormat/>
    <w:rsid w:val="00A70E73"/>
    <w:pPr>
      <w:keepNext/>
      <w:widowControl w:val="0"/>
      <w:autoSpaceDE w:val="0"/>
      <w:autoSpaceDN w:val="0"/>
      <w:adjustRightInd w:val="0"/>
      <w:jc w:val="both"/>
    </w:pPr>
    <w:rPr>
      <w:rFonts w:ascii="Arial" w:hAnsi="Arial" w:cs="Arial"/>
      <w:sz w:val="24"/>
      <w:szCs w:val="24"/>
    </w:rPr>
  </w:style>
  <w:style w:type="paragraph" w:customStyle="1" w:styleId="textos">
    <w:name w:val="textos"/>
    <w:basedOn w:val="Normal"/>
    <w:qFormat/>
    <w:rsid w:val="00A70E73"/>
    <w:pPr>
      <w:suppressAutoHyphens w:val="0"/>
      <w:spacing w:before="100" w:beforeAutospacing="1" w:after="100" w:afterAutospacing="1"/>
    </w:pPr>
    <w:rPr>
      <w:rFonts w:ascii="Arial" w:hAnsi="Arial" w:cs="Arial"/>
      <w:color w:val="000066"/>
      <w:sz w:val="28"/>
      <w:szCs w:val="28"/>
      <w:lang w:eastAsia="es-ES"/>
    </w:rPr>
  </w:style>
  <w:style w:type="paragraph" w:customStyle="1" w:styleId="subtitulo">
    <w:name w:val="subtitulo"/>
    <w:basedOn w:val="Normal"/>
    <w:qFormat/>
    <w:rsid w:val="00A70E73"/>
    <w:pPr>
      <w:suppressAutoHyphens w:val="0"/>
      <w:spacing w:before="100" w:beforeAutospacing="1" w:after="100" w:afterAutospacing="1"/>
    </w:pPr>
    <w:rPr>
      <w:rFonts w:ascii="Arial" w:hAnsi="Arial" w:cs="Arial"/>
      <w:b/>
      <w:bCs/>
      <w:i/>
      <w:iCs/>
      <w:color w:val="333300"/>
      <w:sz w:val="23"/>
      <w:szCs w:val="23"/>
      <w:lang w:eastAsia="es-ES"/>
    </w:rPr>
  </w:style>
  <w:style w:type="paragraph" w:customStyle="1" w:styleId="Textoindependiente31">
    <w:name w:val="Texto independiente 31"/>
    <w:qFormat/>
    <w:rsid w:val="00A70E73"/>
    <w:pPr>
      <w:widowControl w:val="0"/>
      <w:autoSpaceDE w:val="0"/>
      <w:autoSpaceDN w:val="0"/>
      <w:adjustRightInd w:val="0"/>
      <w:jc w:val="both"/>
    </w:pPr>
    <w:rPr>
      <w:rFonts w:ascii="Arial" w:hAnsi="Arial" w:cs="Arial"/>
      <w:sz w:val="24"/>
      <w:szCs w:val="24"/>
    </w:rPr>
  </w:style>
  <w:style w:type="paragraph" w:customStyle="1" w:styleId="ecxjuris">
    <w:name w:val="ecxjuris"/>
    <w:qFormat/>
    <w:rsid w:val="00A70E73"/>
    <w:pPr>
      <w:widowControl w:val="0"/>
      <w:autoSpaceDE w:val="0"/>
      <w:autoSpaceDN w:val="0"/>
      <w:adjustRightInd w:val="0"/>
      <w:spacing w:after="324"/>
    </w:pPr>
    <w:rPr>
      <w:rFonts w:ascii="Arial" w:hAnsi="Arial"/>
      <w:sz w:val="24"/>
      <w:szCs w:val="24"/>
    </w:rPr>
  </w:style>
  <w:style w:type="paragraph" w:styleId="Fecha">
    <w:name w:val="Date"/>
    <w:basedOn w:val="Normal"/>
    <w:link w:val="FechaCar"/>
    <w:qFormat/>
    <w:rsid w:val="00A70E73"/>
    <w:pPr>
      <w:suppressAutoHyphens w:val="0"/>
    </w:pPr>
    <w:rPr>
      <w:rFonts w:ascii="Courier New" w:hAnsi="Courier New"/>
      <w:szCs w:val="20"/>
      <w:lang w:val="es-ES_tradnl" w:eastAsia="es-ES"/>
    </w:rPr>
  </w:style>
  <w:style w:type="paragraph" w:customStyle="1" w:styleId="Textodebloque10">
    <w:name w:val="Texto de bloque1"/>
    <w:basedOn w:val="Normal"/>
    <w:qFormat/>
    <w:rsid w:val="00A70E73"/>
    <w:pPr>
      <w:widowControl w:val="0"/>
      <w:autoSpaceDE w:val="0"/>
      <w:ind w:left="-540" w:right="-415" w:firstLine="1248"/>
      <w:jc w:val="both"/>
    </w:pPr>
    <w:rPr>
      <w:rFonts w:ascii="Arial" w:hAnsi="Arial" w:cs="Arial"/>
      <w:lang w:eastAsia="zh-CN"/>
    </w:rPr>
  </w:style>
  <w:style w:type="paragraph" w:customStyle="1" w:styleId="msolistparagraph0">
    <w:name w:val="msolistparagraph"/>
    <w:basedOn w:val="Normal"/>
    <w:qFormat/>
    <w:rsid w:val="00A70E73"/>
    <w:pPr>
      <w:suppressAutoHyphens w:val="0"/>
      <w:ind w:left="708"/>
    </w:pPr>
    <w:rPr>
      <w:rFonts w:ascii="Courier 10cpi" w:hAnsi="Courier 10cpi"/>
      <w:sz w:val="20"/>
      <w:szCs w:val="20"/>
      <w:lang w:eastAsia="es-ES"/>
    </w:rPr>
  </w:style>
  <w:style w:type="paragraph" w:customStyle="1" w:styleId="textosinformato1">
    <w:name w:val="textosinformato1"/>
    <w:qFormat/>
    <w:rsid w:val="00A70E73"/>
    <w:pPr>
      <w:widowControl w:val="0"/>
      <w:autoSpaceDE w:val="0"/>
      <w:autoSpaceDN w:val="0"/>
      <w:adjustRightInd w:val="0"/>
    </w:pPr>
    <w:rPr>
      <w:rFonts w:ascii="Courier New" w:hAnsi="Courier New" w:cs="Courier New"/>
    </w:rPr>
  </w:style>
  <w:style w:type="paragraph" w:customStyle="1" w:styleId="listparagraph">
    <w:name w:val="listparagraph"/>
    <w:basedOn w:val="Normal"/>
    <w:qFormat/>
    <w:rsid w:val="00A70E73"/>
    <w:pPr>
      <w:suppressAutoHyphens w:val="0"/>
      <w:ind w:left="720"/>
    </w:pPr>
    <w:rPr>
      <w:lang w:eastAsia="es-ES"/>
    </w:rPr>
  </w:style>
  <w:style w:type="paragraph" w:customStyle="1" w:styleId="Textoindependiente220">
    <w:name w:val="Texto independiente 22"/>
    <w:basedOn w:val="Normal"/>
    <w:qFormat/>
    <w:rsid w:val="00A70E73"/>
    <w:pPr>
      <w:spacing w:line="360" w:lineRule="auto"/>
      <w:jc w:val="both"/>
    </w:pPr>
    <w:rPr>
      <w:rFonts w:ascii="Arial" w:hAnsi="Arial" w:cs="Arial"/>
      <w:kern w:val="1"/>
      <w:szCs w:val="20"/>
      <w:lang w:val="es-CR"/>
    </w:rPr>
  </w:style>
  <w:style w:type="paragraph" w:customStyle="1" w:styleId="Encabezado11">
    <w:name w:val="Encabezado 1"/>
    <w:next w:val="Normal"/>
    <w:qFormat/>
    <w:rsid w:val="00A70E73"/>
    <w:pPr>
      <w:keepNext/>
      <w:widowControl w:val="0"/>
      <w:autoSpaceDE w:val="0"/>
      <w:autoSpaceDN w:val="0"/>
      <w:adjustRightInd w:val="0"/>
      <w:jc w:val="both"/>
      <w:outlineLvl w:val="0"/>
    </w:pPr>
    <w:rPr>
      <w:rFonts w:ascii="Comic Sans MS" w:hAnsi="Comic Sans MS" w:cs="Comic Sans MS"/>
      <w:b/>
      <w:bCs/>
      <w:sz w:val="28"/>
      <w:szCs w:val="28"/>
    </w:rPr>
  </w:style>
  <w:style w:type="character" w:customStyle="1" w:styleId="Muydestacado">
    <w:name w:val="Muy destacado"/>
    <w:qFormat/>
    <w:rsid w:val="00A70E73"/>
    <w:rPr>
      <w:b/>
      <w:bCs/>
    </w:rPr>
  </w:style>
  <w:style w:type="paragraph" w:customStyle="1" w:styleId="encabezado20">
    <w:name w:val="encabezado2"/>
    <w:basedOn w:val="Normal"/>
    <w:qFormat/>
    <w:rsid w:val="00A70E73"/>
    <w:pPr>
      <w:keepNext/>
      <w:suppressAutoHyphens w:val="0"/>
    </w:pPr>
    <w:rPr>
      <w:b/>
      <w:bCs/>
      <w:sz w:val="18"/>
      <w:szCs w:val="18"/>
      <w:lang w:eastAsia="es-ES"/>
    </w:rPr>
  </w:style>
  <w:style w:type="paragraph" w:customStyle="1" w:styleId="encabezado30">
    <w:name w:val="encabezado3"/>
    <w:basedOn w:val="Normal"/>
    <w:qFormat/>
    <w:rsid w:val="00A70E73"/>
    <w:pPr>
      <w:keepNext/>
      <w:suppressAutoHyphens w:val="0"/>
      <w:jc w:val="center"/>
    </w:pPr>
    <w:rPr>
      <w:b/>
      <w:bCs/>
      <w:sz w:val="18"/>
      <w:szCs w:val="18"/>
      <w:lang w:eastAsia="es-ES"/>
    </w:rPr>
  </w:style>
  <w:style w:type="paragraph" w:customStyle="1" w:styleId="estilo14ptazuloscurojustificadoprimeralnea125cmant0">
    <w:name w:val="estilo14ptazuloscurojustificadoprimeralnea125cmant"/>
    <w:basedOn w:val="Normal"/>
    <w:qFormat/>
    <w:rsid w:val="00A70E73"/>
    <w:pPr>
      <w:suppressAutoHyphens w:val="0"/>
      <w:spacing w:before="100" w:beforeAutospacing="1" w:after="100" w:afterAutospacing="1"/>
    </w:pPr>
    <w:rPr>
      <w:lang w:eastAsia="es-ES"/>
    </w:rPr>
  </w:style>
  <w:style w:type="paragraph" w:customStyle="1" w:styleId="Encabezado21">
    <w:name w:val="Encabezado 2"/>
    <w:basedOn w:val="Predeterminado0"/>
    <w:next w:val="Predeterminado0"/>
    <w:qFormat/>
    <w:rsid w:val="00A70E73"/>
    <w:pPr>
      <w:keepNext/>
    </w:pPr>
    <w:rPr>
      <w:rFonts w:ascii="Times New Roman" w:hAnsi="Times New Roman" w:cs="Times New Roman"/>
      <w:b/>
      <w:bCs/>
      <w:color w:val="auto"/>
      <w:sz w:val="18"/>
      <w:szCs w:val="18"/>
    </w:rPr>
  </w:style>
  <w:style w:type="paragraph" w:customStyle="1" w:styleId="Encabezado31">
    <w:name w:val="Encabezado 3"/>
    <w:basedOn w:val="Predeterminado0"/>
    <w:next w:val="Predeterminado0"/>
    <w:link w:val="Heading3Char"/>
    <w:qFormat/>
    <w:rsid w:val="00A70E73"/>
    <w:pPr>
      <w:keepNext/>
      <w:jc w:val="center"/>
    </w:pPr>
    <w:rPr>
      <w:rFonts w:ascii="Times New Roman" w:hAnsi="Times New Roman" w:cs="Times New Roman"/>
      <w:b/>
      <w:bCs/>
      <w:color w:val="auto"/>
      <w:sz w:val="18"/>
      <w:szCs w:val="18"/>
    </w:rPr>
  </w:style>
  <w:style w:type="paragraph" w:customStyle="1" w:styleId="Fecha1">
    <w:name w:val="Fecha1"/>
    <w:basedOn w:val="Normal"/>
    <w:qFormat/>
    <w:rsid w:val="00A70E73"/>
    <w:pPr>
      <w:suppressAutoHyphens w:val="0"/>
    </w:pPr>
    <w:rPr>
      <w:rFonts w:ascii="Courier New" w:hAnsi="Courier New"/>
      <w:szCs w:val="20"/>
    </w:rPr>
  </w:style>
  <w:style w:type="paragraph" w:customStyle="1" w:styleId="Sinespaciado1">
    <w:name w:val="Sin espaciado1"/>
    <w:link w:val="NoSpacingChar"/>
    <w:qFormat/>
    <w:rsid w:val="00A70E73"/>
    <w:rPr>
      <w:rFonts w:ascii="Calibri" w:hAnsi="Calibri"/>
      <w:sz w:val="22"/>
      <w:szCs w:val="22"/>
      <w:lang w:val="en-US" w:eastAsia="en-US"/>
    </w:rPr>
  </w:style>
  <w:style w:type="paragraph" w:customStyle="1" w:styleId="framecontents">
    <w:name w:val="framecontents"/>
    <w:basedOn w:val="Normal"/>
    <w:qFormat/>
    <w:rsid w:val="00A70E73"/>
    <w:pPr>
      <w:suppressAutoHyphens w:val="0"/>
      <w:spacing w:before="100" w:beforeAutospacing="1" w:after="100" w:afterAutospacing="1"/>
    </w:pPr>
    <w:rPr>
      <w:lang w:eastAsia="es-ES"/>
    </w:rPr>
  </w:style>
  <w:style w:type="paragraph" w:customStyle="1" w:styleId="contenidodelatabla0">
    <w:name w:val="contenidodelatabla"/>
    <w:basedOn w:val="Normal"/>
    <w:qFormat/>
    <w:rsid w:val="00A70E73"/>
    <w:rPr>
      <w:rFonts w:eastAsia="Calibri"/>
      <w:lang w:val="es-CR"/>
    </w:rPr>
  </w:style>
  <w:style w:type="paragraph" w:styleId="Listaconnmeros">
    <w:name w:val="List Number"/>
    <w:basedOn w:val="Normal"/>
    <w:qFormat/>
    <w:rsid w:val="00A70E73"/>
    <w:pPr>
      <w:numPr>
        <w:numId w:val="5"/>
      </w:numPr>
    </w:pPr>
    <w:rPr>
      <w:sz w:val="20"/>
      <w:szCs w:val="20"/>
      <w:lang w:val="es-ES_tradnl"/>
    </w:rPr>
  </w:style>
  <w:style w:type="character" w:customStyle="1" w:styleId="encabezadoCarCar1">
    <w:name w:val="encabezado Car Car1"/>
    <w:qFormat/>
    <w:locked/>
    <w:rsid w:val="00A70E73"/>
    <w:rPr>
      <w:sz w:val="24"/>
      <w:szCs w:val="24"/>
      <w:lang w:val="es-CR" w:eastAsia="es-ES" w:bidi="ar-SA"/>
    </w:rPr>
  </w:style>
  <w:style w:type="paragraph" w:customStyle="1" w:styleId="ww-predeterminado0">
    <w:name w:val="ww-predeterminado0"/>
    <w:basedOn w:val="Normal"/>
    <w:qFormat/>
    <w:rsid w:val="00A70E73"/>
    <w:pPr>
      <w:suppressAutoHyphens w:val="0"/>
    </w:pPr>
    <w:rPr>
      <w:lang w:eastAsia="es-ES"/>
    </w:rPr>
  </w:style>
  <w:style w:type="paragraph" w:customStyle="1" w:styleId="ww-encabezado20">
    <w:name w:val="ww-encabezado20"/>
    <w:basedOn w:val="Normal"/>
    <w:qFormat/>
    <w:rsid w:val="00A70E73"/>
    <w:pPr>
      <w:keepNext/>
      <w:suppressAutoHyphens w:val="0"/>
      <w:autoSpaceDE w:val="0"/>
    </w:pPr>
    <w:rPr>
      <w:b/>
      <w:bCs/>
      <w:sz w:val="18"/>
      <w:szCs w:val="18"/>
      <w:lang w:eastAsia="es-ES"/>
    </w:rPr>
  </w:style>
  <w:style w:type="paragraph" w:customStyle="1" w:styleId="ww-encabezado30">
    <w:name w:val="ww-encabezado30"/>
    <w:basedOn w:val="Normal"/>
    <w:qFormat/>
    <w:rsid w:val="00A70E73"/>
    <w:pPr>
      <w:keepNext/>
      <w:suppressAutoHyphens w:val="0"/>
      <w:autoSpaceDE w:val="0"/>
      <w:jc w:val="center"/>
    </w:pPr>
    <w:rPr>
      <w:b/>
      <w:bCs/>
      <w:sz w:val="18"/>
      <w:szCs w:val="18"/>
      <w:lang w:eastAsia="es-ES"/>
    </w:rPr>
  </w:style>
  <w:style w:type="paragraph" w:customStyle="1" w:styleId="Encabezadoencabezado">
    <w:name w:val="Encabezado.encabezado"/>
    <w:basedOn w:val="Normal"/>
    <w:qFormat/>
    <w:rsid w:val="00A70E73"/>
    <w:pPr>
      <w:tabs>
        <w:tab w:val="center" w:pos="4252"/>
        <w:tab w:val="right" w:pos="8504"/>
      </w:tabs>
      <w:suppressAutoHyphens w:val="0"/>
      <w:overflowPunct w:val="0"/>
      <w:autoSpaceDE w:val="0"/>
      <w:autoSpaceDN w:val="0"/>
      <w:adjustRightInd w:val="0"/>
      <w:textAlignment w:val="baseline"/>
    </w:pPr>
    <w:rPr>
      <w:sz w:val="22"/>
      <w:szCs w:val="20"/>
      <w:lang w:eastAsia="es-ES"/>
    </w:rPr>
  </w:style>
  <w:style w:type="paragraph" w:customStyle="1" w:styleId="cuerpocarta">
    <w:name w:val="cuerpo carta"/>
    <w:basedOn w:val="Normal"/>
    <w:qFormat/>
    <w:rsid w:val="00A70E73"/>
    <w:pPr>
      <w:widowControl w:val="0"/>
      <w:ind w:left="1080"/>
      <w:jc w:val="both"/>
    </w:pPr>
    <w:rPr>
      <w:rFonts w:ascii="Toronto" w:hAnsi="Toronto"/>
      <w:i/>
      <w:szCs w:val="20"/>
      <w:lang w:val="es-CR"/>
    </w:rPr>
  </w:style>
  <w:style w:type="paragraph" w:customStyle="1" w:styleId="Sangra2detindependiente10">
    <w:name w:val="Sangría 2 de t. independiente1"/>
    <w:basedOn w:val="Normal"/>
    <w:qFormat/>
    <w:rsid w:val="00A70E73"/>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sangra2detindependiente11">
    <w:name w:val="sangra2detindependiente1"/>
    <w:basedOn w:val="Normal"/>
    <w:qFormat/>
    <w:rsid w:val="00A70E73"/>
    <w:pPr>
      <w:suppressAutoHyphens w:val="0"/>
      <w:spacing w:before="100" w:beforeAutospacing="1" w:after="100" w:afterAutospacing="1"/>
    </w:pPr>
    <w:rPr>
      <w:lang w:eastAsia="es-ES"/>
    </w:rPr>
  </w:style>
  <w:style w:type="paragraph" w:styleId="TtuloTDC">
    <w:name w:val="TOC Heading"/>
    <w:basedOn w:val="Ttulo1"/>
    <w:next w:val="Normal"/>
    <w:uiPriority w:val="39"/>
    <w:qFormat/>
    <w:rsid w:val="00A70E73"/>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lang w:eastAsia="en-US" w:bidi="en-US"/>
      <w14:shadow w14:blurRad="50800" w14:dist="38100" w14:dir="2700000" w14:sx="100000" w14:sy="100000" w14:kx="0" w14:ky="0" w14:algn="tl">
        <w14:srgbClr w14:val="000000">
          <w14:alpha w14:val="60000"/>
        </w14:srgbClr>
      </w14:shadow>
    </w:rPr>
  </w:style>
  <w:style w:type="paragraph" w:customStyle="1" w:styleId="Textosinformato10">
    <w:name w:val="Texto sin formato1"/>
    <w:qFormat/>
    <w:rsid w:val="00A70E73"/>
    <w:pPr>
      <w:widowControl w:val="0"/>
      <w:autoSpaceDE w:val="0"/>
      <w:autoSpaceDN w:val="0"/>
      <w:adjustRightInd w:val="0"/>
    </w:pPr>
    <w:rPr>
      <w:rFonts w:ascii="Verdana" w:hAnsi="Verdana" w:cs="Verdana"/>
    </w:rPr>
  </w:style>
  <w:style w:type="character" w:customStyle="1" w:styleId="apple-tab-span">
    <w:name w:val="apple-tab-span"/>
    <w:basedOn w:val="Fuentedeprrafopredeter"/>
    <w:qFormat/>
    <w:rsid w:val="00A70E73"/>
  </w:style>
  <w:style w:type="paragraph" w:customStyle="1" w:styleId="ListBulletBold">
    <w:name w:val="List Bullet Bold"/>
    <w:basedOn w:val="Listaconvietas"/>
    <w:next w:val="Continuarlista"/>
    <w:qFormat/>
    <w:rsid w:val="00A70E73"/>
    <w:pPr>
      <w:keepNext/>
      <w:keepLines/>
      <w:numPr>
        <w:numId w:val="2"/>
      </w:numPr>
      <w:tabs>
        <w:tab w:val="num" w:pos="1080"/>
      </w:tabs>
      <w:spacing w:before="60" w:after="60"/>
      <w:jc w:val="both"/>
    </w:pPr>
    <w:rPr>
      <w:rFonts w:ascii="Tahoma" w:hAnsi="Tahoma" w:cs="Tahoma"/>
      <w:b/>
      <w:bCs/>
      <w:sz w:val="20"/>
      <w:szCs w:val="20"/>
      <w:lang w:val="es-CL" w:eastAsia="en-US"/>
    </w:rPr>
  </w:style>
  <w:style w:type="paragraph" w:styleId="Continuarlista">
    <w:name w:val="List Continue"/>
    <w:basedOn w:val="Normal"/>
    <w:qFormat/>
    <w:rsid w:val="00A70E73"/>
    <w:pPr>
      <w:numPr>
        <w:numId w:val="6"/>
      </w:numPr>
      <w:tabs>
        <w:tab w:val="clear" w:pos="717"/>
      </w:tabs>
      <w:spacing w:after="120"/>
      <w:ind w:left="283" w:firstLine="0"/>
    </w:pPr>
    <w:rPr>
      <w:sz w:val="20"/>
      <w:szCs w:val="20"/>
    </w:rPr>
  </w:style>
  <w:style w:type="paragraph" w:customStyle="1" w:styleId="Estilopredeterminado">
    <w:name w:val="Estilo predeterminado"/>
    <w:next w:val="Normal"/>
    <w:qFormat/>
    <w:rsid w:val="00A70E73"/>
    <w:pPr>
      <w:widowControl w:val="0"/>
      <w:autoSpaceDE w:val="0"/>
      <w:autoSpaceDN w:val="0"/>
      <w:adjustRightInd w:val="0"/>
    </w:pPr>
    <w:rPr>
      <w:rFonts w:ascii="Arial" w:hAnsi="Arial" w:cs="Arial"/>
      <w:sz w:val="24"/>
      <w:szCs w:val="24"/>
    </w:rPr>
  </w:style>
  <w:style w:type="paragraph" w:styleId="Listaconvietas2">
    <w:name w:val="List Bullet 2"/>
    <w:basedOn w:val="Normal"/>
    <w:qFormat/>
    <w:rsid w:val="00A70E73"/>
    <w:pPr>
      <w:numPr>
        <w:numId w:val="7"/>
      </w:numPr>
    </w:pPr>
    <w:rPr>
      <w:sz w:val="20"/>
      <w:szCs w:val="20"/>
      <w:lang w:val="es-ES_tradnl"/>
    </w:rPr>
  </w:style>
  <w:style w:type="paragraph" w:customStyle="1" w:styleId="epgrafe">
    <w:name w:val="epígrafe"/>
    <w:basedOn w:val="Normal"/>
    <w:qFormat/>
    <w:rsid w:val="00A70E73"/>
    <w:pPr>
      <w:widowControl w:val="0"/>
      <w:suppressAutoHyphens w:val="0"/>
    </w:pPr>
    <w:rPr>
      <w:snapToGrid w:val="0"/>
      <w:szCs w:val="20"/>
      <w:lang w:val="es-ES_tradnl" w:eastAsia="es-ES"/>
    </w:rPr>
  </w:style>
  <w:style w:type="paragraph" w:customStyle="1" w:styleId="Textosinformato2">
    <w:name w:val="Texto sin formato2"/>
    <w:basedOn w:val="Normal"/>
    <w:qFormat/>
    <w:rsid w:val="00A70E73"/>
    <w:rPr>
      <w:rFonts w:ascii="Courier New" w:hAnsi="Courier New" w:cs="Courier New"/>
      <w:sz w:val="20"/>
      <w:szCs w:val="20"/>
    </w:rPr>
  </w:style>
  <w:style w:type="paragraph" w:customStyle="1" w:styleId="CalendarInformation">
    <w:name w:val="Calendar Information"/>
    <w:basedOn w:val="Normal"/>
    <w:link w:val="CalendarInformationChar"/>
    <w:rsid w:val="00A70E73"/>
    <w:pPr>
      <w:framePr w:hSpace="187" w:wrap="auto" w:vAnchor="page" w:hAnchor="page" w:xAlign="center" w:y="1441"/>
      <w:tabs>
        <w:tab w:val="left" w:pos="576"/>
      </w:tabs>
      <w:suppressAutoHyphens w:val="0"/>
    </w:pPr>
    <w:rPr>
      <w:rFonts w:ascii="Century Gothic" w:hAnsi="Century Gothic"/>
      <w:szCs w:val="20"/>
    </w:rPr>
  </w:style>
  <w:style w:type="character" w:customStyle="1" w:styleId="CalendarInformationChar">
    <w:name w:val="Calendar Information Char"/>
    <w:link w:val="CalendarInformation"/>
    <w:locked/>
    <w:rsid w:val="00A70E73"/>
    <w:rPr>
      <w:rFonts w:ascii="Century Gothic" w:hAnsi="Century Gothic"/>
      <w:sz w:val="24"/>
      <w:lang w:bidi="ar-SA"/>
    </w:rPr>
  </w:style>
  <w:style w:type="character" w:customStyle="1" w:styleId="CarCar5">
    <w:name w:val="Car Car5"/>
    <w:qFormat/>
    <w:rsid w:val="00A70E73"/>
    <w:rPr>
      <w:rFonts w:ascii="Arial" w:hAnsi="Arial" w:cs="Arial"/>
      <w:b/>
      <w:bCs/>
      <w:kern w:val="1"/>
      <w:sz w:val="28"/>
      <w:szCs w:val="28"/>
      <w:lang w:val="es-ES" w:eastAsia="ar-SA" w:bidi="ar-SA"/>
    </w:rPr>
  </w:style>
  <w:style w:type="character" w:customStyle="1" w:styleId="H2Car">
    <w:name w:val="H2 Car"/>
    <w:aliases w:val="Títulos de Hallazgo e Introducción Car Car"/>
    <w:rsid w:val="00A70E73"/>
    <w:rPr>
      <w:b/>
      <w:bCs/>
      <w:sz w:val="28"/>
      <w:szCs w:val="28"/>
      <w:u w:val="single"/>
      <w:lang w:val="es-ES" w:eastAsia="ar-SA" w:bidi="ar-SA"/>
    </w:rPr>
  </w:style>
  <w:style w:type="character" w:customStyle="1" w:styleId="CarCar8">
    <w:name w:val="Car Car8"/>
    <w:qFormat/>
    <w:rsid w:val="00A70E73"/>
    <w:rPr>
      <w:rFonts w:ascii="Arial" w:hAnsi="Arial" w:cs="Arial"/>
      <w:b/>
      <w:bCs/>
      <w:sz w:val="26"/>
      <w:szCs w:val="26"/>
      <w:lang w:val="es-ES" w:eastAsia="ar-SA" w:bidi="ar-SA"/>
    </w:rPr>
  </w:style>
  <w:style w:type="character" w:customStyle="1" w:styleId="CarCar7">
    <w:name w:val="Car Car7"/>
    <w:qFormat/>
    <w:rsid w:val="00A70E73"/>
    <w:rPr>
      <w:b/>
      <w:bCs/>
      <w:sz w:val="28"/>
      <w:szCs w:val="28"/>
      <w:lang w:val="es-ES" w:eastAsia="es-ES" w:bidi="ar-SA"/>
    </w:rPr>
  </w:style>
  <w:style w:type="character" w:customStyle="1" w:styleId="Ttulo7Car">
    <w:name w:val="Título 7 Car"/>
    <w:qFormat/>
    <w:rsid w:val="00A70E73"/>
    <w:rPr>
      <w:sz w:val="24"/>
      <w:szCs w:val="24"/>
      <w:lang w:val="es-ES" w:eastAsia="es-ES" w:bidi="ar-SA"/>
    </w:rPr>
  </w:style>
  <w:style w:type="character" w:customStyle="1" w:styleId="EncabezadoCar">
    <w:name w:val="Encabezado Car"/>
    <w:aliases w:val="encabezado Car,h Car Car1,h Car1,header Car1"/>
    <w:uiPriority w:val="99"/>
    <w:qFormat/>
    <w:rsid w:val="00A70E73"/>
    <w:rPr>
      <w:rFonts w:ascii="MS Sans Serif" w:hAnsi="MS Sans Serif"/>
      <w:sz w:val="24"/>
      <w:lang w:val="es-ES_tradnl" w:eastAsia="es-ES" w:bidi="ar-SA"/>
    </w:rPr>
  </w:style>
  <w:style w:type="paragraph" w:customStyle="1" w:styleId="Informal1">
    <w:name w:val="Informal1"/>
    <w:uiPriority w:val="99"/>
    <w:rsid w:val="00A70E73"/>
    <w:pPr>
      <w:widowControl w:val="0"/>
      <w:overflowPunct w:val="0"/>
      <w:autoSpaceDE w:val="0"/>
      <w:autoSpaceDN w:val="0"/>
      <w:adjustRightInd w:val="0"/>
      <w:spacing w:before="60" w:after="60"/>
      <w:textAlignment w:val="baseline"/>
    </w:pPr>
    <w:rPr>
      <w:rFonts w:ascii="Arial" w:hAnsi="Arial"/>
    </w:rPr>
  </w:style>
  <w:style w:type="paragraph" w:customStyle="1" w:styleId="xl24">
    <w:name w:val="xl24"/>
    <w:basedOn w:val="Normal"/>
    <w:qFormat/>
    <w:rsid w:val="00A70E73"/>
    <w:pPr>
      <w:pBdr>
        <w:top w:val="single" w:sz="4" w:space="0" w:color="auto"/>
        <w:left w:val="single" w:sz="4" w:space="0" w:color="auto"/>
        <w:bottom w:val="single" w:sz="4" w:space="0" w:color="auto"/>
        <w:right w:val="single" w:sz="8" w:space="0" w:color="auto"/>
      </w:pBdr>
      <w:suppressAutoHyphens w:val="0"/>
      <w:spacing w:before="100" w:beforeAutospacing="1" w:after="100" w:afterAutospacing="1"/>
      <w:jc w:val="center"/>
      <w:textAlignment w:val="center"/>
    </w:pPr>
    <w:rPr>
      <w:rFonts w:ascii="Book Antiqua" w:eastAsia="Arial Unicode MS" w:hAnsi="Book Antiqua" w:cs="Arial Unicode MS"/>
      <w:b/>
      <w:bCs/>
      <w:lang w:eastAsia="es-ES"/>
    </w:rPr>
  </w:style>
  <w:style w:type="paragraph" w:customStyle="1" w:styleId="WW-TableContents123456789101112130">
    <w:name w:val="WW-Table Contents12345678910111213"/>
    <w:basedOn w:val="Normal"/>
    <w:uiPriority w:val="99"/>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67891011121314">
    <w:name w:val="WW-Table Contents1234567891011121314"/>
    <w:basedOn w:val="Normal"/>
    <w:uiPriority w:val="99"/>
    <w:rsid w:val="00A70E73"/>
    <w:pPr>
      <w:widowControl w:val="0"/>
      <w:suppressAutoHyphens w:val="0"/>
      <w:autoSpaceDE w:val="0"/>
      <w:autoSpaceDN w:val="0"/>
      <w:adjustRightInd w:val="0"/>
    </w:pPr>
    <w:rPr>
      <w:rFonts w:ascii="Arial" w:hAnsi="Arial" w:cs="Arial"/>
      <w:u w:val="single"/>
      <w:shd w:val="clear" w:color="auto" w:fill="FFFFFF"/>
      <w:lang w:eastAsia="es-ES"/>
    </w:rPr>
  </w:style>
  <w:style w:type="paragraph" w:customStyle="1" w:styleId="ww-tablecontents123450">
    <w:name w:val="ww-tablecontents12345"/>
    <w:basedOn w:val="Normal"/>
    <w:uiPriority w:val="99"/>
    <w:rsid w:val="00A70E73"/>
    <w:pPr>
      <w:shd w:val="clear" w:color="auto" w:fill="FFFFFF"/>
      <w:suppressAutoHyphens w:val="0"/>
      <w:autoSpaceDE w:val="0"/>
    </w:pPr>
    <w:rPr>
      <w:rFonts w:ascii="Arial" w:hAnsi="Arial" w:cs="Arial"/>
      <w:u w:val="single"/>
      <w:lang w:eastAsia="es-ES"/>
    </w:rPr>
  </w:style>
  <w:style w:type="paragraph" w:customStyle="1" w:styleId="xl40">
    <w:name w:val="xl40"/>
    <w:basedOn w:val="Normal"/>
    <w:rsid w:val="00A70E73"/>
    <w:pPr>
      <w:pBdr>
        <w:top w:val="single" w:sz="4" w:space="0" w:color="auto"/>
        <w:left w:val="single" w:sz="4" w:space="0" w:color="auto"/>
        <w:right w:val="single" w:sz="4" w:space="0" w:color="auto"/>
      </w:pBdr>
      <w:suppressAutoHyphens w:val="0"/>
      <w:spacing w:before="100" w:beforeAutospacing="1" w:after="100" w:afterAutospacing="1"/>
      <w:jc w:val="center"/>
      <w:textAlignment w:val="center"/>
    </w:pPr>
    <w:rPr>
      <w:rFonts w:ascii="Arial" w:eastAsia="Arial Unicode MS" w:hAnsi="Arial" w:cs="Arial"/>
      <w:b/>
      <w:bCs/>
      <w:lang w:eastAsia="es-ES"/>
    </w:rPr>
  </w:style>
  <w:style w:type="paragraph" w:customStyle="1" w:styleId="SUBPROGRAMA">
    <w:name w:val="SUBPROGRAMA"/>
    <w:basedOn w:val="Ttulo1"/>
    <w:next w:val="Normal"/>
    <w:qFormat/>
    <w:rsid w:val="00A70E73"/>
    <w:pPr>
      <w:numPr>
        <w:numId w:val="1"/>
      </w:numPr>
      <w:suppressAutoHyphens w:val="0"/>
      <w:jc w:val="both"/>
    </w:pPr>
    <w:rPr>
      <w:rFonts w:ascii="Bookman Old Style" w:hAnsi="Bookman Old Style" w:cs="Times New Roman"/>
      <w:bCs w:val="0"/>
      <w:smallCaps/>
      <w:kern w:val="28"/>
      <w:sz w:val="28"/>
      <w:szCs w:val="20"/>
      <w:lang w:eastAsia="es-ES"/>
    </w:rPr>
  </w:style>
  <w:style w:type="paragraph" w:customStyle="1" w:styleId="informal10">
    <w:name w:val="informal1"/>
    <w:basedOn w:val="Normal"/>
    <w:rsid w:val="00A70E73"/>
    <w:pPr>
      <w:suppressAutoHyphens w:val="0"/>
      <w:spacing w:before="100" w:beforeAutospacing="1" w:after="100" w:afterAutospacing="1"/>
    </w:pPr>
    <w:rPr>
      <w:lang w:eastAsia="es-ES"/>
    </w:rPr>
  </w:style>
  <w:style w:type="paragraph" w:customStyle="1" w:styleId="autocorrecci3f">
    <w:name w:val="autocorrecci3f"/>
    <w:basedOn w:val="Normal"/>
    <w:rsid w:val="00A70E73"/>
    <w:pPr>
      <w:numPr>
        <w:numId w:val="4"/>
      </w:numPr>
      <w:shd w:val="clear" w:color="auto" w:fill="FFFFFF"/>
      <w:tabs>
        <w:tab w:val="clear" w:pos="720"/>
      </w:tabs>
      <w:suppressAutoHyphens w:val="0"/>
      <w:autoSpaceDE w:val="0"/>
      <w:ind w:left="0" w:firstLine="0"/>
    </w:pPr>
    <w:rPr>
      <w:rFonts w:ascii="Arial" w:hAnsi="Arial" w:cs="Arial"/>
      <w:sz w:val="20"/>
      <w:szCs w:val="20"/>
      <w:u w:val="single"/>
      <w:lang w:eastAsia="es-ES"/>
    </w:rPr>
  </w:style>
  <w:style w:type="paragraph" w:customStyle="1" w:styleId="heading5">
    <w:name w:val="heading5"/>
    <w:basedOn w:val="Normal"/>
    <w:qFormat/>
    <w:rsid w:val="00A70E73"/>
    <w:pPr>
      <w:keepNext/>
      <w:numPr>
        <w:numId w:val="3"/>
      </w:numPr>
      <w:shd w:val="clear" w:color="auto" w:fill="FFFFFF"/>
      <w:suppressAutoHyphens w:val="0"/>
      <w:ind w:left="0" w:firstLine="0"/>
      <w:jc w:val="center"/>
    </w:pPr>
    <w:rPr>
      <w:b/>
      <w:bCs/>
      <w:i/>
      <w:iCs/>
      <w:sz w:val="26"/>
      <w:szCs w:val="26"/>
      <w:u w:val="single"/>
      <w:lang w:eastAsia="es-ES"/>
    </w:rPr>
  </w:style>
  <w:style w:type="paragraph" w:customStyle="1" w:styleId="ww-tablecontents12345678910111213">
    <w:name w:val="ww-tablecontents12345678910111213"/>
    <w:basedOn w:val="Normal"/>
    <w:uiPriority w:val="99"/>
    <w:rsid w:val="00A70E73"/>
    <w:pPr>
      <w:numPr>
        <w:numId w:val="8"/>
      </w:numPr>
      <w:shd w:val="clear" w:color="auto" w:fill="FFFFFF"/>
      <w:tabs>
        <w:tab w:val="clear" w:pos="720"/>
      </w:tabs>
      <w:suppressAutoHyphens w:val="0"/>
      <w:autoSpaceDE w:val="0"/>
      <w:ind w:left="0" w:firstLine="0"/>
    </w:pPr>
    <w:rPr>
      <w:rFonts w:ascii="Arial" w:hAnsi="Arial" w:cs="Arial"/>
      <w:u w:val="single"/>
    </w:rPr>
  </w:style>
  <w:style w:type="paragraph" w:customStyle="1" w:styleId="Listaconvietas1">
    <w:name w:val="Lista con viñetas1"/>
    <w:basedOn w:val="Normal"/>
    <w:qFormat/>
    <w:rsid w:val="00A70E73"/>
    <w:pPr>
      <w:widowControl w:val="0"/>
      <w:tabs>
        <w:tab w:val="num" w:pos="720"/>
      </w:tabs>
      <w:ind w:left="720" w:hanging="360"/>
    </w:pPr>
    <w:rPr>
      <w:rFonts w:eastAsia="Arial Unicode MS"/>
      <w:lang w:val="es-CR"/>
    </w:rPr>
  </w:style>
  <w:style w:type="paragraph" w:customStyle="1" w:styleId="TableContents1">
    <w:name w:val="Table Contents1"/>
    <w:basedOn w:val="Normal"/>
    <w:qFormat/>
    <w:rsid w:val="00A70E73"/>
    <w:pPr>
      <w:widowControl w:val="0"/>
      <w:suppressAutoHyphens w:val="0"/>
      <w:autoSpaceDE w:val="0"/>
      <w:autoSpaceDN w:val="0"/>
      <w:adjustRightInd w:val="0"/>
    </w:pPr>
    <w:rPr>
      <w:rFonts w:ascii="Arial" w:hAnsi="Arial"/>
      <w:u w:val="single"/>
      <w:shd w:val="clear" w:color="auto" w:fill="FFFFFF"/>
      <w:lang w:eastAsia="es-ES"/>
    </w:rPr>
  </w:style>
  <w:style w:type="paragraph" w:styleId="z-Principiodelformulario">
    <w:name w:val="HTML Top of Form"/>
    <w:basedOn w:val="Normal"/>
    <w:next w:val="Normal"/>
    <w:link w:val="z-PrincipiodelformularioCar"/>
    <w:hidden/>
    <w:unhideWhenUsed/>
    <w:qFormat/>
    <w:rsid w:val="00A70E73"/>
    <w:pPr>
      <w:pBdr>
        <w:bottom w:val="single" w:sz="6" w:space="1" w:color="auto"/>
      </w:pBdr>
      <w:suppressAutoHyphens w:val="0"/>
      <w:jc w:val="center"/>
    </w:pPr>
    <w:rPr>
      <w:b/>
      <w:bCs/>
      <w:i/>
      <w:iCs/>
      <w:lang w:val="es-CR" w:eastAsia="es-ES"/>
    </w:rPr>
  </w:style>
  <w:style w:type="paragraph" w:customStyle="1" w:styleId="default0">
    <w:name w:val="default"/>
    <w:basedOn w:val="Normal"/>
    <w:rsid w:val="00A70E73"/>
    <w:pPr>
      <w:suppressAutoHyphens w:val="0"/>
      <w:spacing w:before="100" w:beforeAutospacing="1" w:after="100" w:afterAutospacing="1"/>
    </w:pPr>
    <w:rPr>
      <w:lang w:eastAsia="es-ES"/>
    </w:rPr>
  </w:style>
  <w:style w:type="paragraph" w:styleId="Asuntodelcomentario">
    <w:name w:val="annotation subject"/>
    <w:basedOn w:val="Normal"/>
    <w:link w:val="AsuntodelcomentarioCar1"/>
    <w:uiPriority w:val="99"/>
    <w:qFormat/>
    <w:rsid w:val="00A70E73"/>
    <w:pPr>
      <w:suppressAutoHyphens w:val="0"/>
    </w:pPr>
    <w:rPr>
      <w:b/>
      <w:bCs/>
      <w:sz w:val="20"/>
      <w:szCs w:val="20"/>
      <w:lang w:eastAsia="es-ES"/>
    </w:rPr>
  </w:style>
  <w:style w:type="paragraph" w:customStyle="1" w:styleId="car11">
    <w:name w:val="car11"/>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subprograma0">
    <w:name w:val="subprograma"/>
    <w:basedOn w:val="Normal"/>
    <w:uiPriority w:val="99"/>
    <w:rsid w:val="00A70E73"/>
    <w:pPr>
      <w:keepNext/>
      <w:tabs>
        <w:tab w:val="num" w:pos="643"/>
      </w:tabs>
      <w:suppressAutoHyphens w:val="0"/>
      <w:spacing w:before="240" w:after="60"/>
      <w:ind w:left="360" w:hanging="360"/>
      <w:jc w:val="both"/>
    </w:pPr>
    <w:rPr>
      <w:rFonts w:ascii="Bookman Old Style" w:hAnsi="Bookman Old Style"/>
      <w:b/>
      <w:bCs/>
      <w:smallCaps/>
      <w:sz w:val="28"/>
      <w:szCs w:val="28"/>
      <w:lang w:eastAsia="es-ES"/>
    </w:rPr>
  </w:style>
  <w:style w:type="paragraph" w:customStyle="1" w:styleId="car1">
    <w:name w:val="car"/>
    <w:basedOn w:val="Normal"/>
    <w:rsid w:val="00A70E73"/>
    <w:pPr>
      <w:suppressAutoHyphens w:val="0"/>
      <w:spacing w:after="160" w:line="240" w:lineRule="atLeast"/>
    </w:pPr>
    <w:rPr>
      <w:rFonts w:ascii="Verdana" w:hAnsi="Verdana"/>
      <w:sz w:val="20"/>
      <w:szCs w:val="20"/>
      <w:lang w:eastAsia="es-ES"/>
    </w:rPr>
  </w:style>
  <w:style w:type="paragraph" w:customStyle="1" w:styleId="style10">
    <w:name w:val="style1"/>
    <w:basedOn w:val="Normal"/>
    <w:rsid w:val="00A70E73"/>
    <w:pPr>
      <w:suppressAutoHyphens w:val="0"/>
      <w:autoSpaceDE w:val="0"/>
      <w:autoSpaceDN w:val="0"/>
    </w:pPr>
    <w:rPr>
      <w:sz w:val="20"/>
      <w:szCs w:val="20"/>
      <w:lang w:eastAsia="es-ES"/>
    </w:rPr>
  </w:style>
  <w:style w:type="paragraph" w:customStyle="1" w:styleId="car110">
    <w:name w:val="car110"/>
    <w:basedOn w:val="Normal"/>
    <w:rsid w:val="00A70E73"/>
    <w:pPr>
      <w:suppressAutoHyphens w:val="0"/>
      <w:autoSpaceDE w:val="0"/>
      <w:autoSpaceDN w:val="0"/>
      <w:spacing w:after="160" w:line="240" w:lineRule="atLeast"/>
    </w:pPr>
    <w:rPr>
      <w:rFonts w:ascii="Verdana" w:hAnsi="Verdana"/>
      <w:sz w:val="20"/>
      <w:szCs w:val="20"/>
      <w:lang w:eastAsia="es-ES"/>
    </w:rPr>
  </w:style>
  <w:style w:type="paragraph" w:customStyle="1" w:styleId="default00">
    <w:name w:val="default0"/>
    <w:basedOn w:val="Normal"/>
    <w:rsid w:val="00A70E73"/>
    <w:pPr>
      <w:suppressAutoHyphens w:val="0"/>
      <w:autoSpaceDE w:val="0"/>
      <w:autoSpaceDN w:val="0"/>
    </w:pPr>
    <w:rPr>
      <w:rFonts w:ascii="Book Antiqua" w:hAnsi="Book Antiqua"/>
      <w:color w:val="000000"/>
      <w:lang w:eastAsia="es-ES"/>
    </w:rPr>
  </w:style>
  <w:style w:type="paragraph" w:customStyle="1" w:styleId="charchar1">
    <w:name w:val="charchar"/>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
    <w:name w:val="ww-tablecontents12"/>
    <w:basedOn w:val="Normal"/>
    <w:uiPriority w:val="99"/>
    <w:rsid w:val="00A70E73"/>
    <w:pPr>
      <w:suppressAutoHyphens w:val="0"/>
      <w:autoSpaceDE w:val="0"/>
      <w:autoSpaceDN w:val="0"/>
    </w:pPr>
    <w:rPr>
      <w:rFonts w:ascii="Book Antiqua" w:hAnsi="Book Antiqua"/>
      <w:lang w:eastAsia="es-ES"/>
    </w:rPr>
  </w:style>
  <w:style w:type="paragraph" w:customStyle="1" w:styleId="car00">
    <w:name w:val="car0"/>
    <w:basedOn w:val="Normal"/>
    <w:rsid w:val="00A70E73"/>
    <w:pPr>
      <w:suppressAutoHyphens w:val="0"/>
      <w:spacing w:after="160" w:line="240" w:lineRule="atLeast"/>
    </w:pPr>
    <w:rPr>
      <w:rFonts w:ascii="Verdana" w:hAnsi="Verdana"/>
      <w:sz w:val="20"/>
      <w:szCs w:val="20"/>
      <w:lang w:eastAsia="es-ES"/>
    </w:rPr>
  </w:style>
  <w:style w:type="paragraph" w:customStyle="1" w:styleId="ww-tablecontents123456">
    <w:name w:val="ww-tablecontents123456"/>
    <w:basedOn w:val="Normal"/>
    <w:uiPriority w:val="99"/>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23456789">
    <w:name w:val="ww-tablecontents123456789"/>
    <w:basedOn w:val="Normal"/>
    <w:uiPriority w:val="99"/>
    <w:rsid w:val="00A70E73"/>
    <w:pPr>
      <w:shd w:val="clear" w:color="auto" w:fill="FFFFFF"/>
      <w:suppressAutoHyphens w:val="0"/>
      <w:autoSpaceDE w:val="0"/>
      <w:autoSpaceDN w:val="0"/>
    </w:pPr>
    <w:rPr>
      <w:rFonts w:ascii="Arial" w:hAnsi="Arial" w:cs="Arial"/>
      <w:u w:val="single"/>
      <w:lang w:eastAsia="es-ES"/>
    </w:rPr>
  </w:style>
  <w:style w:type="paragraph" w:customStyle="1" w:styleId="ww-tablecontents1">
    <w:name w:val="ww-tablecontents1"/>
    <w:basedOn w:val="Normal"/>
    <w:uiPriority w:val="99"/>
    <w:rsid w:val="00A70E73"/>
    <w:pPr>
      <w:shd w:val="clear" w:color="auto" w:fill="FFFFFF"/>
      <w:suppressAutoHyphens w:val="0"/>
      <w:autoSpaceDE w:val="0"/>
      <w:autoSpaceDN w:val="0"/>
    </w:pPr>
    <w:rPr>
      <w:rFonts w:ascii="Arial" w:hAnsi="Arial" w:cs="Arial"/>
      <w:u w:val="single"/>
      <w:lang w:eastAsia="es-ES"/>
    </w:rPr>
  </w:style>
  <w:style w:type="character" w:customStyle="1" w:styleId="h2car0">
    <w:name w:val="h2car"/>
    <w:rsid w:val="00A70E73"/>
    <w:rPr>
      <w:b/>
      <w:bCs/>
    </w:rPr>
  </w:style>
  <w:style w:type="character" w:customStyle="1" w:styleId="encabezadocarcar">
    <w:name w:val="encabezadocarcar"/>
    <w:rsid w:val="00A70E73"/>
    <w:rPr>
      <w:rFonts w:ascii="Courier New" w:hAnsi="Courier New" w:cs="Courier New" w:hint="default"/>
    </w:rPr>
  </w:style>
  <w:style w:type="character" w:customStyle="1" w:styleId="carcar">
    <w:name w:val="carcar"/>
    <w:rsid w:val="00A70E73"/>
    <w:rPr>
      <w:rFonts w:ascii="Arial" w:hAnsi="Arial" w:cs="Arial" w:hint="default"/>
    </w:rPr>
  </w:style>
  <w:style w:type="character" w:customStyle="1" w:styleId="encabezadocar0">
    <w:name w:val="encabezadocar"/>
    <w:rsid w:val="00A70E73"/>
    <w:rPr>
      <w:rFonts w:ascii="MS Sans Serif" w:hAnsi="MS Sans Serif" w:hint="default"/>
    </w:rPr>
  </w:style>
  <w:style w:type="character" w:customStyle="1" w:styleId="encabezadocarcar0">
    <w:name w:val="encabezadocarcar0"/>
    <w:rsid w:val="00A70E73"/>
    <w:rPr>
      <w:rFonts w:ascii="Courier New" w:hAnsi="Courier New" w:cs="Courier New" w:hint="default"/>
    </w:rPr>
  </w:style>
  <w:style w:type="paragraph" w:customStyle="1" w:styleId="style2">
    <w:name w:val="style2"/>
    <w:basedOn w:val="Normal"/>
    <w:rsid w:val="00A70E73"/>
    <w:pPr>
      <w:suppressAutoHyphens w:val="0"/>
      <w:autoSpaceDE w:val="0"/>
      <w:autoSpaceDN w:val="0"/>
    </w:pPr>
    <w:rPr>
      <w:sz w:val="20"/>
      <w:szCs w:val="20"/>
      <w:lang w:eastAsia="es-ES"/>
    </w:rPr>
  </w:style>
  <w:style w:type="paragraph" w:customStyle="1" w:styleId="style4">
    <w:name w:val="style4"/>
    <w:basedOn w:val="Normal"/>
    <w:rsid w:val="00A70E73"/>
    <w:pPr>
      <w:suppressAutoHyphens w:val="0"/>
      <w:autoSpaceDE w:val="0"/>
      <w:autoSpaceDN w:val="0"/>
      <w:spacing w:before="288"/>
      <w:ind w:left="72" w:right="72" w:firstLine="576"/>
      <w:jc w:val="both"/>
    </w:pPr>
    <w:rPr>
      <w:rFonts w:ascii="Arial" w:hAnsi="Arial" w:cs="Arial"/>
      <w:sz w:val="26"/>
      <w:szCs w:val="26"/>
      <w:lang w:eastAsia="es-ES"/>
    </w:rPr>
  </w:style>
  <w:style w:type="paragraph" w:customStyle="1" w:styleId="heading2">
    <w:name w:val="heading2"/>
    <w:basedOn w:val="Normal"/>
    <w:rsid w:val="00A70E73"/>
    <w:pPr>
      <w:keepNext/>
      <w:numPr>
        <w:ilvl w:val="1"/>
        <w:numId w:val="2"/>
      </w:numPr>
      <w:shd w:val="clear" w:color="auto" w:fill="FFFFFF"/>
      <w:suppressAutoHyphens w:val="0"/>
      <w:autoSpaceDE w:val="0"/>
      <w:spacing w:line="480" w:lineRule="auto"/>
      <w:jc w:val="both"/>
    </w:pPr>
    <w:rPr>
      <w:rFonts w:ascii="Arial" w:hAnsi="Arial" w:cs="Arial"/>
      <w:b/>
      <w:bCs/>
      <w:u w:val="single"/>
      <w:lang w:eastAsia="es-ES"/>
    </w:rPr>
  </w:style>
  <w:style w:type="paragraph" w:customStyle="1" w:styleId="charchar00">
    <w:name w:val="charchar0"/>
    <w:basedOn w:val="Normal"/>
    <w:rsid w:val="00A70E73"/>
    <w:pPr>
      <w:suppressAutoHyphens w:val="0"/>
      <w:spacing w:after="160" w:line="240" w:lineRule="atLeast"/>
    </w:pPr>
    <w:rPr>
      <w:rFonts w:ascii="Verdana" w:hAnsi="Verdana"/>
      <w:sz w:val="20"/>
      <w:szCs w:val="20"/>
      <w:lang w:eastAsia="es-ES"/>
    </w:rPr>
  </w:style>
  <w:style w:type="character" w:customStyle="1" w:styleId="carcar1">
    <w:name w:val="carcar1"/>
    <w:rsid w:val="00A70E73"/>
    <w:rPr>
      <w:rFonts w:ascii="Cambria" w:hAnsi="Cambria" w:hint="default"/>
      <w:b/>
      <w:bCs/>
      <w:color w:val="4F81BD"/>
    </w:rPr>
  </w:style>
  <w:style w:type="character" w:customStyle="1" w:styleId="characterstyle3">
    <w:name w:val="characterstyle3"/>
    <w:rsid w:val="00A70E73"/>
    <w:rPr>
      <w:rFonts w:ascii="Arial" w:hAnsi="Arial" w:cs="Arial" w:hint="default"/>
    </w:rPr>
  </w:style>
  <w:style w:type="character" w:styleId="Refdecomentario">
    <w:name w:val="annotation reference"/>
    <w:basedOn w:val="Fuentedeprrafopredeter"/>
    <w:uiPriority w:val="99"/>
    <w:qFormat/>
    <w:rsid w:val="00A70E73"/>
  </w:style>
  <w:style w:type="character" w:customStyle="1" w:styleId="TextosinformatoCar">
    <w:name w:val="Texto sin formato Car"/>
    <w:uiPriority w:val="99"/>
    <w:qFormat/>
    <w:rsid w:val="00A70E73"/>
    <w:rPr>
      <w:rFonts w:ascii="Palatino Linotype" w:hAnsi="Palatino Linotype"/>
      <w:color w:val="002060"/>
      <w:sz w:val="24"/>
      <w:szCs w:val="24"/>
      <w:lang w:val="es-ES" w:eastAsia="es-ES" w:bidi="ar-SA"/>
    </w:rPr>
  </w:style>
  <w:style w:type="paragraph" w:customStyle="1" w:styleId="style19">
    <w:name w:val="style19"/>
    <w:basedOn w:val="Normal"/>
    <w:rsid w:val="00A70E73"/>
    <w:pPr>
      <w:suppressAutoHyphens w:val="0"/>
      <w:autoSpaceDE w:val="0"/>
      <w:autoSpaceDN w:val="0"/>
      <w:spacing w:before="540" w:line="360" w:lineRule="auto"/>
      <w:ind w:right="144"/>
      <w:jc w:val="both"/>
    </w:pPr>
    <w:rPr>
      <w:lang w:eastAsia="es-ES"/>
    </w:rPr>
  </w:style>
  <w:style w:type="paragraph" w:customStyle="1" w:styleId="style20">
    <w:name w:val="style20"/>
    <w:basedOn w:val="Normal"/>
    <w:rsid w:val="00A70E73"/>
    <w:pPr>
      <w:suppressAutoHyphens w:val="0"/>
      <w:autoSpaceDE w:val="0"/>
      <w:autoSpaceDN w:val="0"/>
      <w:spacing w:before="360" w:after="864" w:line="360" w:lineRule="auto"/>
      <w:ind w:right="144"/>
      <w:jc w:val="both"/>
    </w:pPr>
    <w:rPr>
      <w:lang w:eastAsia="es-ES"/>
    </w:rPr>
  </w:style>
  <w:style w:type="paragraph" w:customStyle="1" w:styleId="style8">
    <w:name w:val="style8"/>
    <w:basedOn w:val="Normal"/>
    <w:uiPriority w:val="99"/>
    <w:rsid w:val="00A70E73"/>
    <w:pPr>
      <w:suppressAutoHyphens w:val="0"/>
      <w:autoSpaceDE w:val="0"/>
      <w:autoSpaceDN w:val="0"/>
      <w:spacing w:before="504" w:after="1260" w:line="360" w:lineRule="auto"/>
      <w:ind w:left="1512"/>
      <w:jc w:val="both"/>
    </w:pPr>
    <w:rPr>
      <w:sz w:val="23"/>
      <w:szCs w:val="23"/>
      <w:lang w:eastAsia="es-ES"/>
    </w:rPr>
  </w:style>
  <w:style w:type="paragraph" w:customStyle="1" w:styleId="style13">
    <w:name w:val="style13"/>
    <w:basedOn w:val="Normal"/>
    <w:rsid w:val="00A70E73"/>
    <w:pPr>
      <w:suppressAutoHyphens w:val="0"/>
      <w:autoSpaceDE w:val="0"/>
      <w:autoSpaceDN w:val="0"/>
      <w:spacing w:line="360" w:lineRule="auto"/>
      <w:ind w:left="1584" w:right="1512"/>
      <w:jc w:val="both"/>
    </w:pPr>
    <w:rPr>
      <w:i/>
      <w:iCs/>
      <w:sz w:val="19"/>
      <w:szCs w:val="19"/>
      <w:lang w:eastAsia="es-ES"/>
    </w:rPr>
  </w:style>
  <w:style w:type="paragraph" w:customStyle="1" w:styleId="style100">
    <w:name w:val="style10"/>
    <w:basedOn w:val="Normal"/>
    <w:rsid w:val="00A70E73"/>
    <w:pPr>
      <w:suppressAutoHyphens w:val="0"/>
      <w:autoSpaceDE w:val="0"/>
      <w:autoSpaceDN w:val="0"/>
    </w:pPr>
    <w:rPr>
      <w:lang w:eastAsia="es-ES"/>
    </w:rPr>
  </w:style>
  <w:style w:type="paragraph" w:customStyle="1" w:styleId="charchar10">
    <w:name w:val="charchar1"/>
    <w:basedOn w:val="Normal"/>
    <w:rsid w:val="00A70E73"/>
    <w:pPr>
      <w:suppressAutoHyphens w:val="0"/>
      <w:spacing w:after="160" w:line="240" w:lineRule="atLeast"/>
    </w:pPr>
    <w:rPr>
      <w:rFonts w:ascii="Verdana" w:hAnsi="Verdana"/>
      <w:sz w:val="20"/>
      <w:szCs w:val="20"/>
      <w:lang w:eastAsia="es-ES"/>
    </w:rPr>
  </w:style>
  <w:style w:type="paragraph" w:customStyle="1" w:styleId="textopreformateado">
    <w:name w:val="textopreformateado"/>
    <w:basedOn w:val="Normal"/>
    <w:rsid w:val="00A70E73"/>
    <w:pPr>
      <w:suppressAutoHyphens w:val="0"/>
    </w:pPr>
    <w:rPr>
      <w:rFonts w:ascii="Courier New" w:hAnsi="Courier New" w:cs="Courier New"/>
      <w:sz w:val="20"/>
      <w:szCs w:val="20"/>
      <w:lang w:eastAsia="es-ES"/>
    </w:rPr>
  </w:style>
  <w:style w:type="paragraph" w:customStyle="1" w:styleId="style9">
    <w:name w:val="style9"/>
    <w:basedOn w:val="Normal"/>
    <w:rsid w:val="00A70E73"/>
    <w:pPr>
      <w:suppressAutoHyphens w:val="0"/>
      <w:autoSpaceDE w:val="0"/>
      <w:autoSpaceDN w:val="0"/>
      <w:spacing w:before="144" w:line="360" w:lineRule="auto"/>
      <w:ind w:left="72" w:right="72" w:firstLine="720"/>
      <w:jc w:val="both"/>
    </w:pPr>
    <w:rPr>
      <w:rFonts w:ascii="Arial" w:hAnsi="Arial" w:cs="Arial"/>
      <w:lang w:eastAsia="es-ES"/>
    </w:rPr>
  </w:style>
  <w:style w:type="paragraph" w:customStyle="1" w:styleId="style14">
    <w:name w:val="style14"/>
    <w:basedOn w:val="Normal"/>
    <w:rsid w:val="00A70E73"/>
    <w:pPr>
      <w:suppressAutoHyphens w:val="0"/>
      <w:autoSpaceDE w:val="0"/>
      <w:autoSpaceDN w:val="0"/>
      <w:spacing w:before="432" w:line="360" w:lineRule="auto"/>
      <w:ind w:firstLine="720"/>
      <w:jc w:val="both"/>
    </w:pPr>
    <w:rPr>
      <w:rFonts w:ascii="Arial" w:hAnsi="Arial" w:cs="Arial"/>
      <w:lang w:eastAsia="es-ES"/>
    </w:rPr>
  </w:style>
  <w:style w:type="paragraph" w:customStyle="1" w:styleId="style16">
    <w:name w:val="style16"/>
    <w:basedOn w:val="Normal"/>
    <w:uiPriority w:val="99"/>
    <w:rsid w:val="00A70E73"/>
    <w:pPr>
      <w:suppressAutoHyphens w:val="0"/>
      <w:autoSpaceDE w:val="0"/>
      <w:autoSpaceDN w:val="0"/>
      <w:spacing w:before="432" w:line="360" w:lineRule="auto"/>
      <w:jc w:val="both"/>
    </w:pPr>
    <w:rPr>
      <w:rFonts w:ascii="Verdana" w:hAnsi="Verdana"/>
      <w:i/>
      <w:iCs/>
      <w:sz w:val="23"/>
      <w:szCs w:val="23"/>
      <w:lang w:eastAsia="es-ES"/>
    </w:rPr>
  </w:style>
  <w:style w:type="paragraph" w:customStyle="1" w:styleId="style17">
    <w:name w:val="style17"/>
    <w:basedOn w:val="Normal"/>
    <w:rsid w:val="00A70E73"/>
    <w:pPr>
      <w:suppressAutoHyphens w:val="0"/>
      <w:autoSpaceDE w:val="0"/>
      <w:autoSpaceDN w:val="0"/>
      <w:spacing w:before="360" w:line="372" w:lineRule="atLeast"/>
      <w:ind w:firstLine="720"/>
      <w:jc w:val="both"/>
    </w:pPr>
    <w:rPr>
      <w:rFonts w:ascii="Tahoma" w:hAnsi="Tahoma" w:cs="Tahoma"/>
      <w:sz w:val="23"/>
      <w:szCs w:val="23"/>
      <w:lang w:eastAsia="es-ES"/>
    </w:rPr>
  </w:style>
  <w:style w:type="paragraph" w:customStyle="1" w:styleId="style18">
    <w:name w:val="style18"/>
    <w:basedOn w:val="Normal"/>
    <w:rsid w:val="00A70E73"/>
    <w:pPr>
      <w:suppressAutoHyphens w:val="0"/>
      <w:autoSpaceDE w:val="0"/>
      <w:autoSpaceDN w:val="0"/>
    </w:pPr>
    <w:rPr>
      <w:sz w:val="20"/>
      <w:szCs w:val="20"/>
      <w:lang w:eastAsia="es-ES"/>
    </w:rPr>
  </w:style>
  <w:style w:type="paragraph" w:customStyle="1" w:styleId="heading50">
    <w:name w:val="heading50"/>
    <w:basedOn w:val="Normal"/>
    <w:uiPriority w:val="99"/>
    <w:rsid w:val="00A70E73"/>
    <w:pPr>
      <w:keepNext/>
      <w:shd w:val="clear" w:color="auto" w:fill="FFFFFF"/>
      <w:suppressAutoHyphens w:val="0"/>
      <w:jc w:val="center"/>
    </w:pPr>
    <w:rPr>
      <w:b/>
      <w:bCs/>
      <w:i/>
      <w:iCs/>
      <w:sz w:val="26"/>
      <w:szCs w:val="26"/>
      <w:u w:val="single"/>
      <w:lang w:eastAsia="es-ES"/>
    </w:rPr>
  </w:style>
  <w:style w:type="paragraph" w:customStyle="1" w:styleId="tulo10">
    <w:name w:val="tulo1"/>
    <w:basedOn w:val="Normal"/>
    <w:rsid w:val="00A70E73"/>
    <w:pPr>
      <w:keepNext/>
      <w:shd w:val="clear" w:color="auto" w:fill="FFFFFF"/>
      <w:suppressAutoHyphens w:val="0"/>
      <w:autoSpaceDE w:val="0"/>
      <w:jc w:val="both"/>
    </w:pPr>
    <w:rPr>
      <w:rFonts w:ascii="Arial" w:hAnsi="Arial" w:cs="Arial"/>
      <w:b/>
      <w:bCs/>
      <w:sz w:val="22"/>
      <w:szCs w:val="22"/>
      <w:u w:val="single"/>
      <w:lang w:eastAsia="es-ES"/>
    </w:rPr>
  </w:style>
  <w:style w:type="paragraph" w:customStyle="1" w:styleId="style21">
    <w:name w:val="style21"/>
    <w:basedOn w:val="Normal"/>
    <w:uiPriority w:val="99"/>
    <w:rsid w:val="00A70E73"/>
    <w:pPr>
      <w:suppressAutoHyphens w:val="0"/>
      <w:autoSpaceDE w:val="0"/>
      <w:autoSpaceDN w:val="0"/>
      <w:spacing w:line="340" w:lineRule="auto"/>
      <w:ind w:right="72" w:firstLine="720"/>
      <w:jc w:val="both"/>
    </w:pPr>
    <w:rPr>
      <w:lang w:eastAsia="es-ES"/>
    </w:rPr>
  </w:style>
  <w:style w:type="paragraph" w:customStyle="1" w:styleId="ecxmsonormal">
    <w:name w:val="ecxmsonormal"/>
    <w:basedOn w:val="Normal"/>
    <w:rsid w:val="00A70E73"/>
    <w:pPr>
      <w:suppressAutoHyphens w:val="0"/>
      <w:spacing w:before="100" w:beforeAutospacing="1" w:after="100" w:afterAutospacing="1"/>
    </w:pPr>
    <w:rPr>
      <w:lang w:eastAsia="es-ES"/>
    </w:rPr>
  </w:style>
  <w:style w:type="paragraph" w:customStyle="1" w:styleId="p">
    <w:name w:val="p"/>
    <w:basedOn w:val="Normal"/>
    <w:uiPriority w:val="99"/>
    <w:rsid w:val="00A70E73"/>
    <w:pPr>
      <w:suppressAutoHyphens w:val="0"/>
      <w:spacing w:before="100" w:beforeAutospacing="1" w:after="100" w:afterAutospacing="1"/>
    </w:pPr>
    <w:rPr>
      <w:lang w:eastAsia="es-ES"/>
    </w:rPr>
  </w:style>
  <w:style w:type="paragraph" w:customStyle="1" w:styleId="charchar2">
    <w:name w:val="charchar2"/>
    <w:basedOn w:val="Normal"/>
    <w:uiPriority w:val="99"/>
    <w:rsid w:val="00A70E73"/>
    <w:pPr>
      <w:suppressAutoHyphens w:val="0"/>
      <w:spacing w:after="160" w:line="240" w:lineRule="atLeast"/>
    </w:pPr>
    <w:rPr>
      <w:rFonts w:ascii="Verdana" w:hAnsi="Verdana"/>
      <w:sz w:val="20"/>
      <w:szCs w:val="20"/>
      <w:lang w:eastAsia="es-ES"/>
    </w:rPr>
  </w:style>
  <w:style w:type="paragraph" w:customStyle="1" w:styleId="style6">
    <w:name w:val="style6"/>
    <w:basedOn w:val="Normal"/>
    <w:uiPriority w:val="99"/>
    <w:rsid w:val="00A70E73"/>
    <w:pPr>
      <w:suppressAutoHyphens w:val="0"/>
      <w:autoSpaceDE w:val="0"/>
      <w:autoSpaceDN w:val="0"/>
      <w:spacing w:before="180"/>
      <w:ind w:left="72"/>
    </w:pPr>
    <w:rPr>
      <w:sz w:val="27"/>
      <w:szCs w:val="27"/>
      <w:lang w:eastAsia="es-ES"/>
    </w:rPr>
  </w:style>
  <w:style w:type="paragraph" w:customStyle="1" w:styleId="style5">
    <w:name w:val="style5"/>
    <w:basedOn w:val="Normal"/>
    <w:rsid w:val="00A70E73"/>
    <w:pPr>
      <w:suppressAutoHyphens w:val="0"/>
      <w:autoSpaceDE w:val="0"/>
      <w:autoSpaceDN w:val="0"/>
      <w:spacing w:before="576" w:line="360" w:lineRule="auto"/>
      <w:ind w:firstLine="792"/>
      <w:jc w:val="both"/>
    </w:pPr>
    <w:rPr>
      <w:sz w:val="27"/>
      <w:szCs w:val="27"/>
      <w:lang w:eastAsia="es-ES"/>
    </w:rPr>
  </w:style>
  <w:style w:type="paragraph" w:customStyle="1" w:styleId="style30">
    <w:name w:val="style30"/>
    <w:basedOn w:val="Normal"/>
    <w:rsid w:val="00A70E73"/>
    <w:pPr>
      <w:suppressAutoHyphens w:val="0"/>
      <w:autoSpaceDE w:val="0"/>
      <w:autoSpaceDN w:val="0"/>
      <w:spacing w:before="144" w:line="432" w:lineRule="atLeast"/>
      <w:ind w:firstLine="792"/>
      <w:jc w:val="both"/>
    </w:pPr>
    <w:rPr>
      <w:sz w:val="27"/>
      <w:szCs w:val="27"/>
      <w:lang w:eastAsia="es-ES"/>
    </w:rPr>
  </w:style>
  <w:style w:type="paragraph" w:customStyle="1" w:styleId="prrafodelista00">
    <w:name w:val="prrafodelista0"/>
    <w:basedOn w:val="Normal"/>
    <w:rsid w:val="00A70E73"/>
    <w:pPr>
      <w:suppressAutoHyphens w:val="0"/>
      <w:ind w:left="708"/>
    </w:pPr>
    <w:rPr>
      <w:sz w:val="26"/>
      <w:szCs w:val="26"/>
      <w:lang w:eastAsia="es-ES"/>
    </w:rPr>
  </w:style>
  <w:style w:type="character" w:customStyle="1" w:styleId="characterstyle5">
    <w:name w:val="characterstyle5"/>
    <w:rsid w:val="00A70E73"/>
    <w:rPr>
      <w:i/>
      <w:iCs/>
    </w:rPr>
  </w:style>
  <w:style w:type="character" w:customStyle="1" w:styleId="encabezadocarcar10">
    <w:name w:val="encabezadocarcar1"/>
    <w:rsid w:val="00A70E73"/>
    <w:rPr>
      <w:rFonts w:ascii="Arial" w:hAnsi="Arial" w:cs="Arial" w:hint="default"/>
      <w:u w:val="single"/>
      <w:shd w:val="clear" w:color="auto" w:fill="FFFFFF"/>
    </w:rPr>
  </w:style>
  <w:style w:type="character" w:customStyle="1" w:styleId="characterstyle8">
    <w:name w:val="characterstyle8"/>
    <w:rsid w:val="00A70E73"/>
    <w:rPr>
      <w:rFonts w:ascii="Tahoma" w:hAnsi="Tahoma" w:cs="Tahoma" w:hint="default"/>
    </w:rPr>
  </w:style>
  <w:style w:type="character" w:customStyle="1" w:styleId="carcar3">
    <w:name w:val="carcar3"/>
    <w:rsid w:val="00A70E73"/>
    <w:rPr>
      <w:rFonts w:ascii="Arial" w:hAnsi="Arial" w:cs="Arial" w:hint="default"/>
    </w:rPr>
  </w:style>
  <w:style w:type="character" w:customStyle="1" w:styleId="a">
    <w:name w:val="a"/>
    <w:rsid w:val="00A70E73"/>
    <w:rPr>
      <w:rFonts w:ascii="Times New Roman" w:hAnsi="Times New Roman" w:cs="Times New Roman" w:hint="default"/>
    </w:rPr>
  </w:style>
  <w:style w:type="character" w:customStyle="1" w:styleId="d">
    <w:name w:val="d"/>
    <w:rsid w:val="00A70E73"/>
    <w:rPr>
      <w:rFonts w:ascii="Times New Roman" w:hAnsi="Times New Roman" w:cs="Times New Roman" w:hint="default"/>
    </w:rPr>
  </w:style>
  <w:style w:type="character" w:customStyle="1" w:styleId="b">
    <w:name w:val="b"/>
    <w:rsid w:val="00A70E73"/>
    <w:rPr>
      <w:rFonts w:ascii="Times New Roman" w:hAnsi="Times New Roman" w:cs="Times New Roman" w:hint="default"/>
    </w:rPr>
  </w:style>
  <w:style w:type="character" w:customStyle="1" w:styleId="g">
    <w:name w:val="g"/>
    <w:rsid w:val="00A70E73"/>
    <w:rPr>
      <w:rFonts w:ascii="Times New Roman" w:hAnsi="Times New Roman" w:cs="Times New Roman" w:hint="default"/>
    </w:rPr>
  </w:style>
  <w:style w:type="paragraph" w:customStyle="1" w:styleId="Style50">
    <w:name w:val="Style 5"/>
    <w:basedOn w:val="Normal"/>
    <w:rsid w:val="00A70E73"/>
    <w:pPr>
      <w:widowControl w:val="0"/>
      <w:suppressAutoHyphens w:val="0"/>
      <w:autoSpaceDE w:val="0"/>
      <w:autoSpaceDN w:val="0"/>
      <w:adjustRightInd w:val="0"/>
    </w:pPr>
    <w:rPr>
      <w:rFonts w:ascii="Verdana" w:hAnsi="Verdana" w:cs="Verdana"/>
      <w:i/>
      <w:iCs/>
      <w:sz w:val="22"/>
      <w:szCs w:val="22"/>
      <w:lang w:val="en-US" w:eastAsia="es-ES"/>
    </w:rPr>
  </w:style>
  <w:style w:type="character" w:customStyle="1" w:styleId="CharacterStyle30">
    <w:name w:val="Character Style 3"/>
    <w:rsid w:val="00A70E73"/>
    <w:rPr>
      <w:rFonts w:ascii="Verdana" w:hAnsi="Verdana"/>
      <w:i/>
      <w:sz w:val="22"/>
    </w:rPr>
  </w:style>
  <w:style w:type="character" w:customStyle="1" w:styleId="TextoindependienteCar">
    <w:name w:val="Texto independiente Car"/>
    <w:qFormat/>
    <w:locked/>
    <w:rsid w:val="00A70E73"/>
    <w:rPr>
      <w:rFonts w:ascii="Book Antiqua" w:hAnsi="Book Antiqua"/>
      <w:sz w:val="24"/>
      <w:lang w:val="es-ES_tradnl" w:eastAsia="es-ES" w:bidi="ar-SA"/>
    </w:rPr>
  </w:style>
  <w:style w:type="character" w:customStyle="1" w:styleId="textocorrido1">
    <w:name w:val="textocorrido1"/>
    <w:rsid w:val="00A70E73"/>
    <w:rPr>
      <w:rFonts w:ascii="Verdana" w:hAnsi="Verdana" w:cs="Times New Roman"/>
      <w:color w:val="000000"/>
      <w:sz w:val="17"/>
      <w:szCs w:val="17"/>
    </w:rPr>
  </w:style>
  <w:style w:type="paragraph" w:styleId="z-Finaldelformulario">
    <w:name w:val="HTML Bottom of Form"/>
    <w:basedOn w:val="Normal"/>
    <w:next w:val="Normal"/>
    <w:link w:val="z-FinaldelformularioCar"/>
    <w:hidden/>
    <w:unhideWhenUsed/>
    <w:qFormat/>
    <w:rsid w:val="00A70E73"/>
    <w:pPr>
      <w:pBdr>
        <w:top w:val="single" w:sz="6" w:space="1" w:color="auto"/>
      </w:pBdr>
      <w:suppressAutoHyphens w:val="0"/>
      <w:jc w:val="center"/>
    </w:pPr>
    <w:rPr>
      <w:sz w:val="20"/>
      <w:szCs w:val="20"/>
      <w:lang w:eastAsia="es-ES"/>
    </w:rPr>
  </w:style>
  <w:style w:type="paragraph" w:customStyle="1" w:styleId="Normal3">
    <w:name w:val="Normal3"/>
    <w:rsid w:val="00A70E73"/>
    <w:pPr>
      <w:spacing w:line="276" w:lineRule="auto"/>
    </w:pPr>
    <w:rPr>
      <w:rFonts w:ascii="Arial" w:hAnsi="Arial" w:cs="Arial"/>
      <w:color w:val="000000"/>
      <w:sz w:val="22"/>
      <w:szCs w:val="22"/>
    </w:rPr>
  </w:style>
  <w:style w:type="table" w:styleId="Tablaconcuadrcula">
    <w:name w:val="Table Grid"/>
    <w:basedOn w:val="Tablanormal"/>
    <w:uiPriority w:val="39"/>
    <w:qFormat/>
    <w:rsid w:val="00643DD9"/>
    <w:pPr>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hernandez">
    <w:name w:val="hhernandez"/>
    <w:qFormat/>
    <w:rsid w:val="00643DD9"/>
    <w:rPr>
      <w:rFonts w:ascii="Arial" w:hAnsi="Arial" w:cs="Arial"/>
      <w:color w:val="000080"/>
      <w:sz w:val="20"/>
      <w:szCs w:val="20"/>
    </w:rPr>
  </w:style>
  <w:style w:type="paragraph" w:customStyle="1" w:styleId="Ttulo53">
    <w:name w:val="Título 53"/>
    <w:next w:val="Normal"/>
    <w:uiPriority w:val="99"/>
    <w:qFormat/>
    <w:rsid w:val="006B21D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NormalWebCar">
    <w:name w:val="Normal (Web) Car"/>
    <w:link w:val="NormalWeb"/>
    <w:qFormat/>
    <w:locked/>
    <w:rsid w:val="00063144"/>
    <w:rPr>
      <w:sz w:val="24"/>
      <w:szCs w:val="24"/>
      <w:lang w:val="es-ES" w:eastAsia="ar-SA"/>
    </w:rPr>
  </w:style>
  <w:style w:type="paragraph" w:customStyle="1" w:styleId="Ttulo52">
    <w:name w:val="Título 52"/>
    <w:next w:val="Normal"/>
    <w:qFormat/>
    <w:rsid w:val="00910D0C"/>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paragraph" w:customStyle="1" w:styleId="Aencabezado">
    <w:name w:val="A encabezado"/>
    <w:basedOn w:val="Normal"/>
    <w:link w:val="AencabezadoCar"/>
    <w:qFormat/>
    <w:rsid w:val="00B05896"/>
    <w:pPr>
      <w:spacing w:line="480" w:lineRule="auto"/>
      <w:ind w:firstLine="708"/>
      <w:jc w:val="both"/>
    </w:pPr>
    <w:rPr>
      <w:color w:val="000099"/>
      <w:sz w:val="28"/>
      <w:szCs w:val="28"/>
      <w:lang w:val="es-ES_tradnl"/>
    </w:rPr>
  </w:style>
  <w:style w:type="character" w:customStyle="1" w:styleId="AencabezadoCar">
    <w:name w:val="A encabezado Car"/>
    <w:link w:val="Aencabezado"/>
    <w:qFormat/>
    <w:rsid w:val="00B05896"/>
    <w:rPr>
      <w:color w:val="000099"/>
      <w:sz w:val="28"/>
      <w:szCs w:val="28"/>
      <w:lang w:val="es-ES_tradnl" w:eastAsia="ar-SA"/>
    </w:rPr>
  </w:style>
  <w:style w:type="paragraph" w:customStyle="1" w:styleId="AAgestin">
    <w:name w:val="A A gestión"/>
    <w:basedOn w:val="Normal"/>
    <w:link w:val="AAgestinCar"/>
    <w:qFormat/>
    <w:rsid w:val="00773CFC"/>
    <w:pPr>
      <w:spacing w:before="120" w:after="120"/>
      <w:ind w:left="851" w:right="851" w:firstLine="709"/>
      <w:jc w:val="both"/>
    </w:pPr>
    <w:rPr>
      <w:color w:val="000099"/>
      <w:sz w:val="26"/>
      <w:szCs w:val="26"/>
      <w:lang w:val="es-ES_tradnl"/>
    </w:rPr>
  </w:style>
  <w:style w:type="character" w:customStyle="1" w:styleId="AAgestinCar">
    <w:name w:val="A A gestión Car"/>
    <w:link w:val="AAgestin"/>
    <w:qFormat/>
    <w:rsid w:val="00773CFC"/>
    <w:rPr>
      <w:color w:val="000099"/>
      <w:sz w:val="26"/>
      <w:szCs w:val="26"/>
      <w:lang w:val="es-ES_tradnl" w:eastAsia="ar-SA"/>
    </w:rPr>
  </w:style>
  <w:style w:type="numbering" w:customStyle="1" w:styleId="Sinlista1">
    <w:name w:val="Sin lista1"/>
    <w:next w:val="Sinlista"/>
    <w:uiPriority w:val="99"/>
    <w:semiHidden/>
    <w:unhideWhenUsed/>
    <w:rsid w:val="0095645A"/>
  </w:style>
  <w:style w:type="paragraph" w:customStyle="1" w:styleId="Normal0">
    <w:name w:val="[Normal]"/>
    <w:qFormat/>
    <w:rsid w:val="0095645A"/>
    <w:pPr>
      <w:widowControl w:val="0"/>
      <w:autoSpaceDE w:val="0"/>
      <w:autoSpaceDN w:val="0"/>
      <w:adjustRightInd w:val="0"/>
    </w:pPr>
    <w:rPr>
      <w:rFonts w:ascii="Arial" w:eastAsia="Calibri" w:hAnsi="Arial" w:cs="Arial"/>
      <w:sz w:val="24"/>
      <w:szCs w:val="24"/>
      <w:lang w:val="x-none" w:eastAsia="en-US"/>
    </w:rPr>
  </w:style>
  <w:style w:type="paragraph" w:customStyle="1" w:styleId="Antecedente">
    <w:name w:val="Antecedente"/>
    <w:basedOn w:val="Normal"/>
    <w:link w:val="AntecedenteCar"/>
    <w:qFormat/>
    <w:rsid w:val="0095645A"/>
    <w:pPr>
      <w:spacing w:before="100" w:beforeAutospacing="1" w:after="100" w:afterAutospacing="1" w:line="480" w:lineRule="auto"/>
      <w:ind w:firstLine="708"/>
      <w:jc w:val="both"/>
    </w:pPr>
    <w:rPr>
      <w:bCs/>
      <w:sz w:val="28"/>
      <w:szCs w:val="28"/>
      <w:lang w:eastAsia="es-CR"/>
    </w:rPr>
  </w:style>
  <w:style w:type="character" w:customStyle="1" w:styleId="AntecedenteCar">
    <w:name w:val="Antecedente Car"/>
    <w:link w:val="Antecedente"/>
    <w:qFormat/>
    <w:rsid w:val="0095645A"/>
    <w:rPr>
      <w:bCs/>
      <w:sz w:val="28"/>
      <w:szCs w:val="28"/>
      <w:lang w:eastAsia="es-CR"/>
    </w:rPr>
  </w:style>
  <w:style w:type="character" w:customStyle="1" w:styleId="Ttulo4Car">
    <w:name w:val="Título 4 Car"/>
    <w:aliases w:val="h4 Car,Título 4.2 Car,H41 Car,2. Titulo I-II-III ect. Car"/>
    <w:basedOn w:val="Fuentedeprrafopredeter"/>
    <w:link w:val="Ttulo4"/>
    <w:qFormat/>
    <w:rsid w:val="0095645A"/>
    <w:rPr>
      <w:b/>
      <w:bCs/>
      <w:sz w:val="28"/>
      <w:szCs w:val="28"/>
      <w:lang w:val="es-ES_tradnl" w:eastAsia="ar-SA"/>
    </w:rPr>
  </w:style>
  <w:style w:type="character" w:customStyle="1" w:styleId="Ttulo5Car">
    <w:name w:val="Título 5 Car"/>
    <w:aliases w:val="4.Cuadros Car"/>
    <w:basedOn w:val="Fuentedeprrafopredeter"/>
    <w:link w:val="Ttulo5"/>
    <w:qFormat/>
    <w:rsid w:val="0095645A"/>
    <w:rPr>
      <w:b/>
      <w:bCs/>
      <w:iCs/>
      <w:sz w:val="44"/>
      <w:szCs w:val="26"/>
      <w:u w:val="single"/>
      <w:lang w:val="es-ES_tradnl" w:eastAsia="ar-SA"/>
    </w:rPr>
  </w:style>
  <w:style w:type="character" w:customStyle="1" w:styleId="Ttulo6Car">
    <w:name w:val="Título 6 Car"/>
    <w:aliases w:val="5.Fuente Car"/>
    <w:basedOn w:val="Fuentedeprrafopredeter"/>
    <w:link w:val="Ttulo6"/>
    <w:qFormat/>
    <w:rsid w:val="0095645A"/>
    <w:rPr>
      <w:b/>
      <w:bCs/>
      <w:sz w:val="22"/>
      <w:szCs w:val="22"/>
      <w:lang w:eastAsia="ar-SA"/>
    </w:rPr>
  </w:style>
  <w:style w:type="character" w:customStyle="1" w:styleId="Ttulo9Car">
    <w:name w:val="Título 9 Car"/>
    <w:basedOn w:val="Fuentedeprrafopredeter"/>
    <w:link w:val="Ttulo9"/>
    <w:qFormat/>
    <w:rsid w:val="0095645A"/>
    <w:rPr>
      <w:rFonts w:ascii="Arial" w:hAnsi="Arial" w:cs="Arial"/>
      <w:sz w:val="22"/>
      <w:szCs w:val="22"/>
      <w:lang w:eastAsia="ar-SA"/>
    </w:rPr>
  </w:style>
  <w:style w:type="numbering" w:customStyle="1" w:styleId="Sinlista11">
    <w:name w:val="Sin lista11"/>
    <w:next w:val="Sinlista"/>
    <w:uiPriority w:val="99"/>
    <w:unhideWhenUsed/>
    <w:rsid w:val="0095645A"/>
  </w:style>
  <w:style w:type="paragraph" w:customStyle="1" w:styleId="Standard0">
    <w:name w:val="Standard"/>
    <w:link w:val="StandardCar"/>
    <w:qFormat/>
    <w:rsid w:val="0095645A"/>
    <w:pPr>
      <w:suppressAutoHyphens/>
      <w:autoSpaceDE w:val="0"/>
      <w:autoSpaceDN w:val="0"/>
      <w:adjustRightInd w:val="0"/>
    </w:pPr>
    <w:rPr>
      <w:rFonts w:ascii="Arial" w:hAnsi="Liberation Serif" w:cs="Arial"/>
      <w:color w:val="000000"/>
      <w:kern w:val="1"/>
      <w:sz w:val="22"/>
      <w:szCs w:val="22"/>
      <w:lang w:val="es-CR" w:eastAsia="zh-CN" w:bidi="hi-IN"/>
    </w:rPr>
  </w:style>
  <w:style w:type="character" w:customStyle="1" w:styleId="html">
    <w:name w:val="html"/>
    <w:basedOn w:val="Fuentedeprrafopredeter"/>
    <w:qFormat/>
    <w:rsid w:val="0095645A"/>
  </w:style>
  <w:style w:type="character" w:customStyle="1" w:styleId="StandardCar">
    <w:name w:val="Standard Car"/>
    <w:link w:val="Standard0"/>
    <w:rsid w:val="0095645A"/>
    <w:rPr>
      <w:rFonts w:ascii="Arial" w:hAnsi="Liberation Serif" w:cs="Arial"/>
      <w:color w:val="000000"/>
      <w:kern w:val="1"/>
      <w:sz w:val="22"/>
      <w:szCs w:val="22"/>
      <w:lang w:val="es-CR" w:eastAsia="zh-CN" w:bidi="hi-IN"/>
    </w:rPr>
  </w:style>
  <w:style w:type="character" w:customStyle="1" w:styleId="NormalWebCar1">
    <w:name w:val="Normal (Web) Car1"/>
    <w:uiPriority w:val="99"/>
    <w:qFormat/>
    <w:locked/>
    <w:rsid w:val="0095645A"/>
    <w:rPr>
      <w:rFonts w:ascii="Times New Roman" w:eastAsia="Times New Roman" w:hAnsi="Times New Roman" w:cs="Times New Roman"/>
      <w:sz w:val="24"/>
      <w:szCs w:val="24"/>
      <w:lang w:val="es-ES" w:eastAsia="ar-SA"/>
    </w:rPr>
  </w:style>
  <w:style w:type="character" w:customStyle="1" w:styleId="SubttuloCar">
    <w:name w:val="Subtítulo Car"/>
    <w:aliases w:val="Cuadros Car"/>
    <w:basedOn w:val="Fuentedeprrafopredeter"/>
    <w:link w:val="Subttulo"/>
    <w:qFormat/>
    <w:rsid w:val="0095645A"/>
    <w:rPr>
      <w:rFonts w:ascii="Arial" w:hAnsi="Arial" w:cs="Arial"/>
      <w:b/>
      <w:bCs/>
      <w:sz w:val="28"/>
      <w:szCs w:val="28"/>
      <w:u w:val="single"/>
      <w:lang w:eastAsia="ar-SA"/>
    </w:rPr>
  </w:style>
  <w:style w:type="character" w:customStyle="1" w:styleId="Sangra2detindependienteCar">
    <w:name w:val="Sangría 2 de t. independiente Car"/>
    <w:basedOn w:val="Fuentedeprrafopredeter"/>
    <w:link w:val="Sangra2detindependiente"/>
    <w:qFormat/>
    <w:rsid w:val="0095645A"/>
    <w:rPr>
      <w:lang w:val="es-ES_tradnl" w:eastAsia="ar-SA"/>
    </w:rPr>
  </w:style>
  <w:style w:type="character" w:customStyle="1" w:styleId="TextodegloboCar">
    <w:name w:val="Texto de globo Car"/>
    <w:basedOn w:val="Fuentedeprrafopredeter"/>
    <w:link w:val="Textodeglobo"/>
    <w:qFormat/>
    <w:rsid w:val="0095645A"/>
    <w:rPr>
      <w:rFonts w:ascii="Tahoma" w:hAnsi="Tahoma" w:cs="Tahoma"/>
      <w:sz w:val="16"/>
      <w:szCs w:val="16"/>
      <w:lang w:eastAsia="ar-SA"/>
    </w:rPr>
  </w:style>
  <w:style w:type="paragraph" w:customStyle="1" w:styleId="CarCarCarCar">
    <w:name w:val="Car Car Car Car"/>
    <w:basedOn w:val="Normal"/>
    <w:qFormat/>
    <w:rsid w:val="0095645A"/>
    <w:pPr>
      <w:suppressAutoHyphens w:val="0"/>
      <w:spacing w:after="160" w:line="240" w:lineRule="exact"/>
    </w:pPr>
    <w:rPr>
      <w:rFonts w:ascii="Verdana" w:hAnsi="Verdana" w:cs="Verdana"/>
      <w:sz w:val="20"/>
      <w:szCs w:val="20"/>
      <w:lang w:val="en-AU" w:eastAsia="en-US"/>
    </w:rPr>
  </w:style>
  <w:style w:type="paragraph" w:customStyle="1" w:styleId="CarCarCarCarCarCar">
    <w:name w:val="Car Car Car Car Car Car"/>
    <w:basedOn w:val="Normal"/>
    <w:semiHidden/>
    <w:qFormat/>
    <w:rsid w:val="0095645A"/>
    <w:pPr>
      <w:suppressAutoHyphens w:val="0"/>
      <w:spacing w:after="160" w:line="240" w:lineRule="exact"/>
    </w:pPr>
    <w:rPr>
      <w:rFonts w:ascii="Verdana" w:hAnsi="Verdana" w:cs="Verdana"/>
      <w:sz w:val="20"/>
      <w:szCs w:val="20"/>
      <w:lang w:val="en-AU" w:eastAsia="en-US"/>
    </w:rPr>
  </w:style>
  <w:style w:type="table" w:customStyle="1" w:styleId="Tablaconcuadrcula1">
    <w:name w:val="Tabla con cuadrícula1"/>
    <w:basedOn w:val="Tablanormal"/>
    <w:next w:val="Tablaconcuadrcula"/>
    <w:uiPriority w:val="39"/>
    <w:rsid w:val="0095645A"/>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2">
    <w:name w:val="toc 2"/>
    <w:basedOn w:val="Normal"/>
    <w:next w:val="Normal"/>
    <w:autoRedefine/>
    <w:uiPriority w:val="39"/>
    <w:qFormat/>
    <w:rsid w:val="0095645A"/>
    <w:pPr>
      <w:tabs>
        <w:tab w:val="right" w:leader="dot" w:pos="9396"/>
      </w:tabs>
      <w:spacing w:line="480" w:lineRule="auto"/>
      <w:jc w:val="both"/>
    </w:pPr>
    <w:rPr>
      <w:b/>
      <w:noProof/>
      <w:color w:val="000099"/>
      <w:sz w:val="28"/>
      <w:szCs w:val="28"/>
      <w:u w:val="single"/>
      <w:lang w:val="es-ES_tradnl"/>
    </w:rPr>
  </w:style>
  <w:style w:type="paragraph" w:styleId="TDC3">
    <w:name w:val="toc 3"/>
    <w:basedOn w:val="Normal"/>
    <w:next w:val="Normal"/>
    <w:autoRedefine/>
    <w:uiPriority w:val="39"/>
    <w:qFormat/>
    <w:rsid w:val="0095645A"/>
    <w:pPr>
      <w:widowControl w:val="0"/>
      <w:tabs>
        <w:tab w:val="right" w:leader="dot" w:pos="9964"/>
      </w:tabs>
      <w:suppressAutoHyphens w:val="0"/>
      <w:spacing w:before="120" w:after="240"/>
      <w:jc w:val="both"/>
    </w:pPr>
    <w:rPr>
      <w:sz w:val="28"/>
      <w:szCs w:val="20"/>
      <w:lang w:val="es-ES_tradnl"/>
    </w:rPr>
  </w:style>
  <w:style w:type="paragraph" w:styleId="TDC5">
    <w:name w:val="toc 5"/>
    <w:basedOn w:val="Normal"/>
    <w:next w:val="Normal"/>
    <w:autoRedefine/>
    <w:uiPriority w:val="39"/>
    <w:qFormat/>
    <w:rsid w:val="0095645A"/>
    <w:pPr>
      <w:tabs>
        <w:tab w:val="right" w:leader="dot" w:pos="8828"/>
      </w:tabs>
      <w:spacing w:before="360" w:after="240"/>
      <w:jc w:val="center"/>
    </w:pPr>
    <w:rPr>
      <w:rFonts w:eastAsia="StarSymbol"/>
      <w:b/>
      <w:noProof/>
      <w:color w:val="000080"/>
      <w:sz w:val="40"/>
      <w:szCs w:val="20"/>
      <w:u w:val="single"/>
      <w:lang w:val="es-ES_tradnl"/>
    </w:rPr>
  </w:style>
  <w:style w:type="character" w:customStyle="1" w:styleId="CarCar0">
    <w:name w:val="Car Car"/>
    <w:qFormat/>
    <w:locked/>
    <w:rsid w:val="0095645A"/>
    <w:rPr>
      <w:lang w:val="es-ES" w:eastAsia="es-ES" w:bidi="ar-SA"/>
    </w:rPr>
  </w:style>
  <w:style w:type="paragraph" w:styleId="TDC4">
    <w:name w:val="toc 4"/>
    <w:basedOn w:val="Normal"/>
    <w:next w:val="Normal"/>
    <w:autoRedefine/>
    <w:uiPriority w:val="39"/>
    <w:qFormat/>
    <w:rsid w:val="0095645A"/>
    <w:pPr>
      <w:spacing w:before="360" w:after="240"/>
      <w:jc w:val="center"/>
    </w:pPr>
    <w:rPr>
      <w:b/>
      <w:color w:val="000080"/>
      <w:sz w:val="36"/>
      <w:szCs w:val="22"/>
      <w:u w:val="single"/>
      <w:lang w:val="es-ES_tradnl"/>
    </w:rPr>
  </w:style>
  <w:style w:type="paragraph" w:styleId="TDC6">
    <w:name w:val="toc 6"/>
    <w:basedOn w:val="Normal"/>
    <w:next w:val="Normal"/>
    <w:autoRedefine/>
    <w:uiPriority w:val="39"/>
    <w:qFormat/>
    <w:rsid w:val="0095645A"/>
    <w:rPr>
      <w:sz w:val="22"/>
      <w:szCs w:val="22"/>
      <w:lang w:val="es-ES_tradnl"/>
    </w:rPr>
  </w:style>
  <w:style w:type="paragraph" w:styleId="TDC7">
    <w:name w:val="toc 7"/>
    <w:basedOn w:val="Normal"/>
    <w:next w:val="Normal"/>
    <w:autoRedefine/>
    <w:uiPriority w:val="39"/>
    <w:qFormat/>
    <w:rsid w:val="0095645A"/>
    <w:rPr>
      <w:sz w:val="22"/>
      <w:szCs w:val="22"/>
      <w:lang w:val="es-ES_tradnl"/>
    </w:rPr>
  </w:style>
  <w:style w:type="paragraph" w:styleId="TDC8">
    <w:name w:val="toc 8"/>
    <w:basedOn w:val="Normal"/>
    <w:next w:val="Normal"/>
    <w:autoRedefine/>
    <w:uiPriority w:val="39"/>
    <w:qFormat/>
    <w:rsid w:val="0095645A"/>
    <w:rPr>
      <w:sz w:val="22"/>
      <w:szCs w:val="22"/>
      <w:lang w:val="es-ES_tradnl"/>
    </w:rPr>
  </w:style>
  <w:style w:type="paragraph" w:styleId="TDC9">
    <w:name w:val="toc 9"/>
    <w:basedOn w:val="Normal"/>
    <w:next w:val="Normal"/>
    <w:autoRedefine/>
    <w:uiPriority w:val="39"/>
    <w:qFormat/>
    <w:rsid w:val="0095645A"/>
    <w:rPr>
      <w:sz w:val="22"/>
      <w:szCs w:val="22"/>
      <w:lang w:val="es-ES_tradnl"/>
    </w:rPr>
  </w:style>
  <w:style w:type="character" w:customStyle="1" w:styleId="PiedepginaCar">
    <w:name w:val="Pie de página Car"/>
    <w:basedOn w:val="Fuentedeprrafopredeter"/>
    <w:link w:val="Piedepgina"/>
    <w:uiPriority w:val="99"/>
    <w:qFormat/>
    <w:rsid w:val="0095645A"/>
    <w:rPr>
      <w:rFonts w:ascii="Arial" w:hAnsi="Arial" w:cs="Arial"/>
      <w:sz w:val="24"/>
      <w:szCs w:val="24"/>
      <w:u w:val="single"/>
      <w:lang w:eastAsia="ar-SA"/>
    </w:rPr>
  </w:style>
  <w:style w:type="character" w:customStyle="1" w:styleId="HTMLconformatoprevioCar">
    <w:name w:val="HTML con formato previo Car"/>
    <w:basedOn w:val="Fuentedeprrafopredeter"/>
    <w:link w:val="HTMLconformatoprevio"/>
    <w:qFormat/>
    <w:rsid w:val="0095645A"/>
    <w:rPr>
      <w:rFonts w:ascii="Courier New" w:hAnsi="Courier New" w:cs="Courier New"/>
      <w:color w:val="000000"/>
    </w:rPr>
  </w:style>
  <w:style w:type="character" w:customStyle="1" w:styleId="Textoindependiente2Car">
    <w:name w:val="Texto independiente 2 Car"/>
    <w:basedOn w:val="Fuentedeprrafopredeter"/>
    <w:link w:val="Textoindependiente2"/>
    <w:qFormat/>
    <w:rsid w:val="0095645A"/>
    <w:rPr>
      <w:lang w:eastAsia="ar-SA"/>
    </w:rPr>
  </w:style>
  <w:style w:type="character" w:customStyle="1" w:styleId="wjimenez">
    <w:name w:val="wjimenez"/>
    <w:qFormat/>
    <w:rsid w:val="0095645A"/>
    <w:rPr>
      <w:rFonts w:ascii="Arial" w:hAnsi="Arial" w:cs="Arial"/>
      <w:color w:val="auto"/>
      <w:sz w:val="20"/>
      <w:szCs w:val="20"/>
    </w:rPr>
  </w:style>
  <w:style w:type="character" w:customStyle="1" w:styleId="mherreras">
    <w:name w:val="mherreras"/>
    <w:qFormat/>
    <w:rsid w:val="0095645A"/>
    <w:rPr>
      <w:rFonts w:ascii="Arial" w:hAnsi="Arial" w:cs="Arial"/>
      <w:color w:val="000080"/>
      <w:sz w:val="20"/>
      <w:szCs w:val="20"/>
    </w:rPr>
  </w:style>
  <w:style w:type="paragraph" w:customStyle="1" w:styleId="3">
    <w:name w:val="3"/>
    <w:aliases w:val="List Paragraph"/>
    <w:basedOn w:val="Normal"/>
    <w:qFormat/>
    <w:rsid w:val="0095645A"/>
    <w:pPr>
      <w:suppressAutoHyphens w:val="0"/>
      <w:spacing w:after="160" w:line="240" w:lineRule="exact"/>
    </w:pPr>
    <w:rPr>
      <w:rFonts w:ascii="Verdana" w:hAnsi="Verdana"/>
      <w:sz w:val="20"/>
      <w:szCs w:val="21"/>
      <w:lang w:val="en-AU" w:eastAsia="en-US"/>
    </w:rPr>
  </w:style>
  <w:style w:type="paragraph" w:customStyle="1" w:styleId="1">
    <w:name w:val="1"/>
    <w:basedOn w:val="Normal"/>
    <w:qFormat/>
    <w:rsid w:val="0095645A"/>
    <w:pPr>
      <w:suppressAutoHyphens w:val="0"/>
      <w:spacing w:after="160" w:line="240" w:lineRule="exact"/>
    </w:pPr>
    <w:rPr>
      <w:rFonts w:ascii="Verdana" w:hAnsi="Verdana"/>
      <w:sz w:val="20"/>
      <w:szCs w:val="21"/>
      <w:lang w:val="en-AU" w:eastAsia="en-US"/>
    </w:rPr>
  </w:style>
  <w:style w:type="character" w:customStyle="1" w:styleId="Sangra3detindependienteCar">
    <w:name w:val="Sangría 3 de t. independiente Car"/>
    <w:basedOn w:val="Fuentedeprrafopredeter"/>
    <w:link w:val="Sangra3detindependiente"/>
    <w:qFormat/>
    <w:rsid w:val="0095645A"/>
    <w:rPr>
      <w:sz w:val="16"/>
      <w:szCs w:val="16"/>
      <w:lang w:val="es-CR"/>
    </w:rPr>
  </w:style>
  <w:style w:type="character" w:customStyle="1" w:styleId="TtuloCar">
    <w:name w:val="Título Car"/>
    <w:aliases w:val="artículo Car,Título niv 3 Car"/>
    <w:basedOn w:val="Fuentedeprrafopredeter"/>
    <w:qFormat/>
    <w:rsid w:val="0095645A"/>
    <w:rPr>
      <w:rFonts w:ascii="Calibri Light" w:eastAsia="Times New Roman" w:hAnsi="Calibri Light" w:cs="Times New Roman"/>
      <w:spacing w:val="-10"/>
      <w:kern w:val="28"/>
      <w:sz w:val="56"/>
      <w:szCs w:val="56"/>
    </w:rPr>
  </w:style>
  <w:style w:type="character" w:customStyle="1" w:styleId="CarCar4">
    <w:name w:val="Car Car4"/>
    <w:qFormat/>
    <w:rsid w:val="0095645A"/>
    <w:rPr>
      <w:rFonts w:ascii="Calibri" w:eastAsia="Times New Roman" w:hAnsi="Calibri" w:cs="Times New Roman"/>
      <w:b/>
      <w:bCs/>
      <w:sz w:val="28"/>
      <w:szCs w:val="28"/>
      <w:lang w:val="es-ES_tradnl" w:eastAsia="ar-SA"/>
    </w:rPr>
  </w:style>
  <w:style w:type="character" w:customStyle="1" w:styleId="Jonathan4Car">
    <w:name w:val="Jonathan 4 Car"/>
    <w:link w:val="Jonathan4"/>
    <w:qFormat/>
    <w:locked/>
    <w:rsid w:val="0095645A"/>
    <w:rPr>
      <w:b/>
      <w:color w:val="000099"/>
      <w:sz w:val="26"/>
      <w:lang w:eastAsia="x-none"/>
    </w:rPr>
  </w:style>
  <w:style w:type="paragraph" w:customStyle="1" w:styleId="Jonathan4">
    <w:name w:val="Jonathan 4"/>
    <w:basedOn w:val="Normal"/>
    <w:link w:val="Jonathan4Car"/>
    <w:autoRedefine/>
    <w:qFormat/>
    <w:rsid w:val="0095645A"/>
    <w:pPr>
      <w:suppressAutoHyphens w:val="0"/>
      <w:ind w:left="851" w:right="851"/>
      <w:jc w:val="center"/>
    </w:pPr>
    <w:rPr>
      <w:b/>
      <w:color w:val="000099"/>
      <w:sz w:val="26"/>
      <w:szCs w:val="20"/>
      <w:lang w:eastAsia="x-none"/>
    </w:rPr>
  </w:style>
  <w:style w:type="character" w:customStyle="1" w:styleId="EstiloCorreo17">
    <w:name w:val="EstiloCorreo17"/>
    <w:qFormat/>
    <w:rsid w:val="0095645A"/>
    <w:rPr>
      <w:rFonts w:ascii="Arial" w:hAnsi="Arial" w:cs="Arial"/>
      <w:color w:val="auto"/>
      <w:sz w:val="20"/>
      <w:szCs w:val="20"/>
    </w:rPr>
  </w:style>
  <w:style w:type="character" w:customStyle="1" w:styleId="EstiloCorreo171">
    <w:name w:val="EstiloCorreo171"/>
    <w:qFormat/>
    <w:rsid w:val="0095645A"/>
    <w:rPr>
      <w:rFonts w:ascii="Arial" w:hAnsi="Arial" w:cs="Arial"/>
      <w:color w:val="auto"/>
      <w:sz w:val="20"/>
      <w:szCs w:val="20"/>
    </w:rPr>
  </w:style>
  <w:style w:type="table" w:styleId="Tablaprofesional">
    <w:name w:val="Table Professional"/>
    <w:basedOn w:val="Tablanormal"/>
    <w:qFormat/>
    <w:rsid w:val="0095645A"/>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customStyle="1" w:styleId="2">
    <w:name w:val="2"/>
    <w:basedOn w:val="Normal"/>
    <w:semiHidden/>
    <w:qFormat/>
    <w:rsid w:val="0095645A"/>
    <w:pPr>
      <w:suppressAutoHyphens w:val="0"/>
      <w:spacing w:after="160" w:line="240" w:lineRule="exact"/>
    </w:pPr>
    <w:rPr>
      <w:rFonts w:ascii="Verdana" w:hAnsi="Verdana"/>
      <w:sz w:val="20"/>
      <w:szCs w:val="21"/>
      <w:lang w:val="en-AU" w:eastAsia="en-US"/>
    </w:rPr>
  </w:style>
  <w:style w:type="paragraph" w:customStyle="1" w:styleId="Epgrafe0">
    <w:name w:val="Epígrafe"/>
    <w:aliases w:val="Tablas"/>
    <w:basedOn w:val="Normal"/>
    <w:next w:val="Normal"/>
    <w:qFormat/>
    <w:rsid w:val="0095645A"/>
    <w:pPr>
      <w:widowControl w:val="0"/>
      <w:suppressAutoHyphens w:val="0"/>
      <w:autoSpaceDE w:val="0"/>
      <w:autoSpaceDN w:val="0"/>
      <w:adjustRightInd w:val="0"/>
    </w:pPr>
    <w:rPr>
      <w:rFonts w:ascii="Arial" w:hAnsi="Arial" w:cs="Arial"/>
      <w:b/>
      <w:bCs/>
      <w:color w:val="000000"/>
      <w:sz w:val="16"/>
      <w:szCs w:val="16"/>
      <w:lang w:eastAsia="es-ES"/>
    </w:rPr>
  </w:style>
  <w:style w:type="paragraph" w:styleId="ndice1">
    <w:name w:val="index 1"/>
    <w:aliases w:val="0"/>
    <w:basedOn w:val="Normal"/>
    <w:next w:val="Normal"/>
    <w:autoRedefine/>
    <w:qFormat/>
    <w:rsid w:val="0095645A"/>
    <w:pPr>
      <w:ind w:left="200" w:hanging="200"/>
    </w:pPr>
    <w:rPr>
      <w:b/>
      <w:color w:val="000080"/>
      <w:sz w:val="28"/>
      <w:szCs w:val="20"/>
      <w:u w:val="single"/>
      <w:lang w:val="es-ES_tradnl"/>
    </w:rPr>
  </w:style>
  <w:style w:type="character" w:customStyle="1" w:styleId="TextoindependienteprimerasangraCar">
    <w:name w:val="Texto independiente primera sangría Car"/>
    <w:basedOn w:val="TextoindependienteCar"/>
    <w:link w:val="Textoindependienteprimerasangra"/>
    <w:rsid w:val="0095645A"/>
    <w:rPr>
      <w:rFonts w:ascii="Book Antiqua" w:hAnsi="Book Antiqua"/>
      <w:sz w:val="24"/>
      <w:lang w:val="es-ES_tradnl" w:eastAsia="ar-SA" w:bidi="ar-SA"/>
    </w:rPr>
  </w:style>
  <w:style w:type="character" w:customStyle="1" w:styleId="Textoindependienteprimerasangra2Car">
    <w:name w:val="Texto independiente primera sangría 2 Car"/>
    <w:basedOn w:val="SangradetextonormalCar"/>
    <w:link w:val="Textoindependienteprimerasangra2"/>
    <w:rsid w:val="0095645A"/>
    <w:rPr>
      <w:lang w:val="es-ES_tradnl" w:eastAsia="ar-SA" w:bidi="ar-SA"/>
    </w:rPr>
  </w:style>
  <w:style w:type="paragraph" w:styleId="Textonotaalfinal">
    <w:name w:val="endnote text"/>
    <w:basedOn w:val="Normal"/>
    <w:link w:val="TextonotaalfinalCar"/>
    <w:unhideWhenUsed/>
    <w:qFormat/>
    <w:rsid w:val="0095645A"/>
    <w:pPr>
      <w:suppressAutoHyphens w:val="0"/>
      <w:spacing w:after="200" w:line="276" w:lineRule="auto"/>
    </w:pPr>
    <w:rPr>
      <w:rFonts w:ascii="Calibri" w:eastAsia="Calibri" w:hAnsi="Calibri"/>
      <w:sz w:val="20"/>
      <w:szCs w:val="20"/>
      <w:lang w:val="en-US" w:eastAsia="en-US"/>
    </w:rPr>
  </w:style>
  <w:style w:type="character" w:customStyle="1" w:styleId="TextonotaalfinalCar">
    <w:name w:val="Texto nota al final Car"/>
    <w:basedOn w:val="Fuentedeprrafopredeter"/>
    <w:link w:val="Textonotaalfinal"/>
    <w:qFormat/>
    <w:rsid w:val="0095645A"/>
    <w:rPr>
      <w:rFonts w:ascii="Calibri" w:eastAsia="Calibri" w:hAnsi="Calibri"/>
      <w:lang w:val="en-US" w:eastAsia="en-US"/>
    </w:rPr>
  </w:style>
  <w:style w:type="character" w:styleId="Refdenotaalfinal">
    <w:name w:val="endnote reference"/>
    <w:unhideWhenUsed/>
    <w:qFormat/>
    <w:rsid w:val="0095645A"/>
    <w:rPr>
      <w:vertAlign w:val="superscript"/>
    </w:rPr>
  </w:style>
  <w:style w:type="character" w:customStyle="1" w:styleId="FechaCar">
    <w:name w:val="Fecha Car"/>
    <w:basedOn w:val="Fuentedeprrafopredeter"/>
    <w:link w:val="Fecha"/>
    <w:rsid w:val="0095645A"/>
    <w:rPr>
      <w:rFonts w:ascii="Courier New" w:hAnsi="Courier New"/>
      <w:sz w:val="24"/>
      <w:lang w:val="es-ES_tradnl"/>
    </w:rPr>
  </w:style>
  <w:style w:type="table" w:customStyle="1" w:styleId="TablaWeb1">
    <w:name w:val="Tabla Web 1"/>
    <w:basedOn w:val="Tablanormal"/>
    <w:qFormat/>
    <w:rsid w:val="0095645A"/>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estilocorreo170">
    <w:name w:val="estilocorreo17"/>
    <w:qFormat/>
    <w:rsid w:val="0095645A"/>
    <w:rPr>
      <w:rFonts w:ascii="Palatino Linotype" w:hAnsi="Palatino Linotype" w:cs="Arial" w:hint="default"/>
      <w:b/>
      <w:bCs w:val="0"/>
      <w:color w:val="auto"/>
      <w:sz w:val="26"/>
      <w:szCs w:val="26"/>
    </w:rPr>
  </w:style>
  <w:style w:type="character" w:customStyle="1" w:styleId="a0">
    <w:name w:val="."/>
    <w:qFormat/>
    <w:rsid w:val="0095645A"/>
    <w:rPr>
      <w:color w:val="000000"/>
    </w:rPr>
  </w:style>
  <w:style w:type="paragraph" w:customStyle="1" w:styleId="TtulodeTDC">
    <w:name w:val="Título de TDC"/>
    <w:basedOn w:val="Ttulo1"/>
    <w:next w:val="Normal"/>
    <w:qFormat/>
    <w:rsid w:val="0095645A"/>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u w:val="none"/>
      <w:lang w:eastAsia="en-US" w:bidi="en-US"/>
      <w14:shadow w14:blurRad="50800" w14:dist="38100" w14:dir="2700000" w14:sx="100000" w14:sy="100000" w14:kx="0" w14:ky="0" w14:algn="tl">
        <w14:srgbClr w14:val="000000">
          <w14:alpha w14:val="60000"/>
        </w14:srgbClr>
      </w14:shadow>
    </w:rPr>
  </w:style>
  <w:style w:type="character" w:customStyle="1" w:styleId="estilocorreo21">
    <w:name w:val="estilocorreo21"/>
    <w:qFormat/>
    <w:rsid w:val="0095645A"/>
    <w:rPr>
      <w:rFonts w:ascii="Arial" w:hAnsi="Arial" w:cs="Arial" w:hint="default"/>
      <w:color w:val="000080"/>
    </w:rPr>
  </w:style>
  <w:style w:type="character" w:customStyle="1" w:styleId="yvalverdech">
    <w:name w:val="yvalverdech"/>
    <w:qFormat/>
    <w:rsid w:val="0095645A"/>
    <w:rPr>
      <w:rFonts w:ascii="Arial" w:hAnsi="Arial" w:cs="Arial"/>
      <w:color w:val="auto"/>
      <w:sz w:val="20"/>
      <w:szCs w:val="20"/>
    </w:rPr>
  </w:style>
  <w:style w:type="character" w:customStyle="1" w:styleId="estilocorreo22">
    <w:name w:val="estilocorreo22"/>
    <w:qFormat/>
    <w:rsid w:val="0095645A"/>
    <w:rPr>
      <w:rFonts w:ascii="Arial" w:hAnsi="Arial" w:cs="Arial" w:hint="default"/>
      <w:color w:val="000080"/>
    </w:rPr>
  </w:style>
  <w:style w:type="paragraph" w:customStyle="1" w:styleId="Style11">
    <w:name w:val="Style1"/>
    <w:basedOn w:val="Prrafodelista10"/>
    <w:qFormat/>
    <w:rsid w:val="0095645A"/>
  </w:style>
  <w:style w:type="character" w:customStyle="1" w:styleId="CarCar13">
    <w:name w:val="Car Car13"/>
    <w:qFormat/>
    <w:locked/>
    <w:rsid w:val="0095645A"/>
    <w:rPr>
      <w:sz w:val="28"/>
      <w:szCs w:val="28"/>
      <w:lang w:val="es-ES" w:eastAsia="ar-SA" w:bidi="ar-SA"/>
    </w:rPr>
  </w:style>
  <w:style w:type="paragraph" w:customStyle="1" w:styleId="CarCarCarCarCarCarCarCar">
    <w:name w:val="Car Car Car Car Car Car Car Car"/>
    <w:basedOn w:val="Normal"/>
    <w:semiHidden/>
    <w:qFormat/>
    <w:rsid w:val="0095645A"/>
    <w:pPr>
      <w:suppressAutoHyphens w:val="0"/>
      <w:spacing w:after="160" w:line="240" w:lineRule="exact"/>
    </w:pPr>
    <w:rPr>
      <w:rFonts w:ascii="Verdana" w:hAnsi="Verdana" w:cs="Verdana"/>
      <w:sz w:val="20"/>
      <w:szCs w:val="20"/>
      <w:lang w:val="en-AU" w:eastAsia="en-US"/>
    </w:rPr>
  </w:style>
  <w:style w:type="character" w:customStyle="1" w:styleId="TtuloPrincipalCarCar">
    <w:name w:val="Título Principal Car Car"/>
    <w:qFormat/>
    <w:rsid w:val="0095645A"/>
    <w:rPr>
      <w:rFonts w:ascii="Arial" w:hAnsi="Arial" w:cs="Arial"/>
      <w:b/>
      <w:bCs/>
      <w:kern w:val="1"/>
      <w:sz w:val="28"/>
      <w:szCs w:val="28"/>
      <w:lang w:val="es-ES" w:eastAsia="ar-SA" w:bidi="ar-SA"/>
    </w:rPr>
  </w:style>
  <w:style w:type="character" w:customStyle="1" w:styleId="CarCar20">
    <w:name w:val="Car Car20"/>
    <w:qFormat/>
    <w:rsid w:val="0095645A"/>
    <w:rPr>
      <w:b/>
      <w:bCs/>
      <w:sz w:val="28"/>
      <w:szCs w:val="28"/>
      <w:u w:val="single"/>
      <w:lang w:val="es-ES" w:eastAsia="ar-SA" w:bidi="ar-SA"/>
    </w:rPr>
  </w:style>
  <w:style w:type="character" w:customStyle="1" w:styleId="SubttulosdeHallazgoCarCar">
    <w:name w:val="Subtítulos de Hallazgo Car Car"/>
    <w:qFormat/>
    <w:rsid w:val="0095645A"/>
    <w:rPr>
      <w:rFonts w:ascii="Arial" w:hAnsi="Arial" w:cs="Arial"/>
      <w:b/>
      <w:bCs/>
      <w:sz w:val="26"/>
      <w:szCs w:val="26"/>
      <w:lang w:val="es-ES" w:eastAsia="ar-SA" w:bidi="ar-SA"/>
    </w:rPr>
  </w:style>
  <w:style w:type="character" w:customStyle="1" w:styleId="CarCar15">
    <w:name w:val="Car Car15"/>
    <w:qFormat/>
    <w:rsid w:val="0095645A"/>
    <w:rPr>
      <w:i/>
      <w:iCs/>
      <w:sz w:val="24"/>
      <w:szCs w:val="24"/>
      <w:lang w:val="es-ES" w:eastAsia="ar-SA" w:bidi="ar-SA"/>
    </w:rPr>
  </w:style>
  <w:style w:type="character" w:customStyle="1" w:styleId="CarCar9">
    <w:name w:val="Car Car9"/>
    <w:qFormat/>
    <w:locked/>
    <w:rsid w:val="0095645A"/>
    <w:rPr>
      <w:lang w:val="es-ES" w:eastAsia="es-ES" w:bidi="ar-SA"/>
    </w:rPr>
  </w:style>
  <w:style w:type="paragraph" w:customStyle="1" w:styleId="BodyTextIndent21">
    <w:name w:val="Body Text Indent 21"/>
    <w:qFormat/>
    <w:rsid w:val="0095645A"/>
    <w:pPr>
      <w:widowControl w:val="0"/>
      <w:suppressAutoHyphens/>
      <w:autoSpaceDE w:val="0"/>
      <w:spacing w:line="480" w:lineRule="auto"/>
      <w:ind w:firstLine="708"/>
      <w:jc w:val="both"/>
    </w:pPr>
    <w:rPr>
      <w:rFonts w:ascii="Arial" w:eastAsia="Arial" w:hAnsi="Arial" w:cs="Arial"/>
      <w:sz w:val="24"/>
      <w:szCs w:val="24"/>
      <w:u w:val="single"/>
      <w:lang w:bidi="es-ES"/>
    </w:rPr>
  </w:style>
  <w:style w:type="character" w:customStyle="1" w:styleId="grame">
    <w:name w:val="grame"/>
    <w:basedOn w:val="Fuentedeprrafopredeter"/>
    <w:qFormat/>
    <w:rsid w:val="0095645A"/>
  </w:style>
  <w:style w:type="character" w:customStyle="1" w:styleId="h4CarCar">
    <w:name w:val="h4 Car Car"/>
    <w:qFormat/>
    <w:rsid w:val="0095645A"/>
    <w:rPr>
      <w:rFonts w:ascii="Book Antiqua" w:hAnsi="Book Antiqua" w:cs="Book Antiqua"/>
      <w:b/>
      <w:bCs/>
      <w:sz w:val="24"/>
      <w:szCs w:val="24"/>
      <w:u w:color="000000"/>
      <w:lang w:val="es-ES" w:eastAsia="es-ES" w:bidi="ar-SA"/>
    </w:rPr>
  </w:style>
  <w:style w:type="character" w:customStyle="1" w:styleId="CarCar18">
    <w:name w:val="Car Car18"/>
    <w:qFormat/>
    <w:rsid w:val="0095645A"/>
    <w:rPr>
      <w:rFonts w:ascii="Arial" w:hAnsi="Arial" w:cs="Arial"/>
      <w:sz w:val="24"/>
      <w:szCs w:val="24"/>
      <w:lang w:val="es-ES" w:eastAsia="es-ES" w:bidi="ar-SA"/>
    </w:rPr>
  </w:style>
  <w:style w:type="character" w:customStyle="1" w:styleId="CarCar10">
    <w:name w:val="Car Car10"/>
    <w:qFormat/>
    <w:rsid w:val="0095645A"/>
    <w:rPr>
      <w:rFonts w:ascii="Arial" w:hAnsi="Arial" w:cs="Arial"/>
      <w:lang w:val="es-ES" w:eastAsia="es-ES" w:bidi="ar-SA"/>
    </w:rPr>
  </w:style>
  <w:style w:type="paragraph" w:styleId="Mapadeldocumento">
    <w:name w:val="Document Map"/>
    <w:basedOn w:val="Normal"/>
    <w:link w:val="MapadeldocumentoCar"/>
    <w:qFormat/>
    <w:rsid w:val="0095645A"/>
    <w:pPr>
      <w:widowControl w:val="0"/>
      <w:shd w:val="clear" w:color="auto" w:fill="000080"/>
      <w:suppressAutoHyphens w:val="0"/>
      <w:autoSpaceDE w:val="0"/>
      <w:autoSpaceDN w:val="0"/>
      <w:adjustRightInd w:val="0"/>
    </w:pPr>
    <w:rPr>
      <w:rFonts w:ascii="Tahoma" w:hAnsi="Tahoma" w:cs="Tahoma"/>
      <w:color w:val="000000"/>
      <w:sz w:val="20"/>
      <w:szCs w:val="20"/>
      <w:u w:color="000000"/>
      <w:lang w:eastAsia="es-ES"/>
    </w:rPr>
  </w:style>
  <w:style w:type="character" w:customStyle="1" w:styleId="MapadeldocumentoCar">
    <w:name w:val="Mapa del documento Car"/>
    <w:basedOn w:val="Fuentedeprrafopredeter"/>
    <w:link w:val="Mapadeldocumento"/>
    <w:rsid w:val="0095645A"/>
    <w:rPr>
      <w:rFonts w:ascii="Tahoma" w:hAnsi="Tahoma" w:cs="Tahoma"/>
      <w:color w:val="000000"/>
      <w:u w:color="000000"/>
      <w:shd w:val="clear" w:color="auto" w:fill="000080"/>
    </w:rPr>
  </w:style>
  <w:style w:type="character" w:customStyle="1" w:styleId="estilo51">
    <w:name w:val="estilo51"/>
    <w:qFormat/>
    <w:rsid w:val="0095645A"/>
    <w:rPr>
      <w:b/>
      <w:bCs/>
    </w:rPr>
  </w:style>
  <w:style w:type="character" w:customStyle="1" w:styleId="estilo41">
    <w:name w:val="estilo41"/>
    <w:basedOn w:val="Fuentedeprrafopredeter"/>
    <w:qFormat/>
    <w:rsid w:val="0095645A"/>
  </w:style>
  <w:style w:type="paragraph" w:styleId="Saludo">
    <w:name w:val="Salutation"/>
    <w:basedOn w:val="Normal"/>
    <w:next w:val="Normal"/>
    <w:link w:val="SaludoCar"/>
    <w:qFormat/>
    <w:rsid w:val="0095645A"/>
    <w:pPr>
      <w:suppressAutoHyphens w:val="0"/>
    </w:pPr>
    <w:rPr>
      <w:rFonts w:ascii="Calibri" w:hAnsi="Calibri"/>
      <w:sz w:val="20"/>
      <w:szCs w:val="20"/>
      <w:lang w:val="es-CR" w:eastAsia="en-US"/>
    </w:rPr>
  </w:style>
  <w:style w:type="character" w:customStyle="1" w:styleId="SaludoCar">
    <w:name w:val="Saludo Car"/>
    <w:basedOn w:val="Fuentedeprrafopredeter"/>
    <w:link w:val="Saludo"/>
    <w:rsid w:val="0095645A"/>
    <w:rPr>
      <w:rFonts w:ascii="Calibri" w:hAnsi="Calibri"/>
      <w:lang w:val="es-CR" w:eastAsia="en-US"/>
    </w:rPr>
  </w:style>
  <w:style w:type="character" w:customStyle="1" w:styleId="z-FinaldelformularioCar">
    <w:name w:val="z-Final del formulario Car"/>
    <w:basedOn w:val="Fuentedeprrafopredeter"/>
    <w:link w:val="z-Finaldelformulario"/>
    <w:qFormat/>
    <w:rsid w:val="0095645A"/>
  </w:style>
  <w:style w:type="character" w:customStyle="1" w:styleId="z-PrincipiodelformularioCar">
    <w:name w:val="z-Principio del formulario Car"/>
    <w:basedOn w:val="Fuentedeprrafopredeter"/>
    <w:link w:val="z-Principiodelformulario"/>
    <w:rsid w:val="0095645A"/>
    <w:rPr>
      <w:b/>
      <w:bCs/>
      <w:i/>
      <w:iCs/>
      <w:sz w:val="24"/>
      <w:szCs w:val="24"/>
      <w:lang w:val="es-CR"/>
    </w:rPr>
  </w:style>
  <w:style w:type="paragraph" w:customStyle="1" w:styleId="ListaconvietasTabla">
    <w:name w:val="Lista con viñetas Tabla"/>
    <w:basedOn w:val="Listaconvietas"/>
    <w:qFormat/>
    <w:rsid w:val="0095645A"/>
    <w:pPr>
      <w:numPr>
        <w:numId w:val="9"/>
      </w:numPr>
      <w:tabs>
        <w:tab w:val="clear" w:pos="1281"/>
        <w:tab w:val="num" w:pos="1080"/>
      </w:tabs>
      <w:ind w:left="1080"/>
    </w:pPr>
  </w:style>
  <w:style w:type="character" w:customStyle="1" w:styleId="SaludoCar1">
    <w:name w:val="Saludo Car1"/>
    <w:qFormat/>
    <w:rsid w:val="0095645A"/>
    <w:rPr>
      <w:sz w:val="24"/>
      <w:szCs w:val="24"/>
      <w:lang w:val="es-ES" w:eastAsia="es-ES"/>
    </w:rPr>
  </w:style>
  <w:style w:type="paragraph" w:customStyle="1" w:styleId="BodyText21">
    <w:name w:val="Body Text 21"/>
    <w:basedOn w:val="Normal"/>
    <w:qFormat/>
    <w:rsid w:val="0095645A"/>
    <w:pPr>
      <w:suppressAutoHyphens w:val="0"/>
      <w:ind w:right="334" w:hanging="283"/>
      <w:jc w:val="both"/>
    </w:pPr>
    <w:rPr>
      <w:rFonts w:ascii="Arial" w:hAnsi="Arial"/>
      <w:szCs w:val="20"/>
      <w:lang w:val="es-CR" w:eastAsia="es-ES"/>
    </w:rPr>
  </w:style>
  <w:style w:type="paragraph" w:customStyle="1" w:styleId="BlockText1">
    <w:name w:val="Block Text1"/>
    <w:basedOn w:val="Normal"/>
    <w:qFormat/>
    <w:rsid w:val="0095645A"/>
    <w:pPr>
      <w:suppressAutoHyphens w:val="0"/>
      <w:ind w:left="283" w:right="334" w:hanging="283"/>
      <w:jc w:val="both"/>
    </w:pPr>
    <w:rPr>
      <w:rFonts w:ascii="Arial" w:hAnsi="Arial"/>
      <w:szCs w:val="20"/>
      <w:lang w:val="es-CR" w:eastAsia="es-ES"/>
    </w:rPr>
  </w:style>
  <w:style w:type="paragraph" w:customStyle="1" w:styleId="BodyText31">
    <w:name w:val="Body Text 31"/>
    <w:basedOn w:val="Normal"/>
    <w:qFormat/>
    <w:rsid w:val="0095645A"/>
    <w:pPr>
      <w:suppressAutoHyphens w:val="0"/>
      <w:ind w:right="334"/>
      <w:jc w:val="both"/>
    </w:pPr>
    <w:rPr>
      <w:rFonts w:ascii="Arial" w:hAnsi="Arial"/>
      <w:b/>
      <w:szCs w:val="20"/>
      <w:lang w:val="es-CR" w:eastAsia="es-ES"/>
    </w:rPr>
  </w:style>
  <w:style w:type="paragraph" w:styleId="Cierre">
    <w:name w:val="Closing"/>
    <w:basedOn w:val="Normal"/>
    <w:link w:val="CierreCar"/>
    <w:qFormat/>
    <w:rsid w:val="0095645A"/>
    <w:pPr>
      <w:suppressAutoHyphens w:val="0"/>
      <w:ind w:left="4252"/>
    </w:pPr>
    <w:rPr>
      <w:rFonts w:ascii="Century Schoolbook" w:hAnsi="Century Schoolbook"/>
      <w:i/>
      <w:szCs w:val="20"/>
      <w:lang w:val="es-CR" w:eastAsia="es-ES"/>
    </w:rPr>
  </w:style>
  <w:style w:type="character" w:customStyle="1" w:styleId="CierreCar">
    <w:name w:val="Cierre Car"/>
    <w:basedOn w:val="Fuentedeprrafopredeter"/>
    <w:link w:val="Cierre"/>
    <w:rsid w:val="0095645A"/>
    <w:rPr>
      <w:rFonts w:ascii="Century Schoolbook" w:hAnsi="Century Schoolbook"/>
      <w:i/>
      <w:sz w:val="24"/>
      <w:lang w:val="es-CR"/>
    </w:rPr>
  </w:style>
  <w:style w:type="paragraph" w:styleId="Firma">
    <w:name w:val="Signature"/>
    <w:basedOn w:val="Normal"/>
    <w:link w:val="FirmaCar"/>
    <w:qFormat/>
    <w:rsid w:val="0095645A"/>
    <w:pPr>
      <w:suppressAutoHyphens w:val="0"/>
      <w:ind w:left="4252"/>
    </w:pPr>
    <w:rPr>
      <w:rFonts w:ascii="Century Schoolbook" w:hAnsi="Century Schoolbook"/>
      <w:i/>
      <w:szCs w:val="20"/>
      <w:lang w:val="es-CR" w:eastAsia="es-ES"/>
    </w:rPr>
  </w:style>
  <w:style w:type="character" w:customStyle="1" w:styleId="FirmaCar">
    <w:name w:val="Firma Car"/>
    <w:basedOn w:val="Fuentedeprrafopredeter"/>
    <w:link w:val="Firma"/>
    <w:rsid w:val="0095645A"/>
    <w:rPr>
      <w:rFonts w:ascii="Century Schoolbook" w:hAnsi="Century Schoolbook"/>
      <w:i/>
      <w:sz w:val="24"/>
      <w:lang w:val="es-CR"/>
    </w:rPr>
  </w:style>
  <w:style w:type="paragraph" w:customStyle="1" w:styleId="toa">
    <w:name w:val="toa"/>
    <w:basedOn w:val="Normal"/>
    <w:qFormat/>
    <w:rsid w:val="0095645A"/>
    <w:pPr>
      <w:tabs>
        <w:tab w:val="left" w:pos="9000"/>
        <w:tab w:val="right" w:pos="9360"/>
      </w:tabs>
    </w:pPr>
    <w:rPr>
      <w:rFonts w:ascii="Courier New" w:hAnsi="Courier New"/>
      <w:szCs w:val="20"/>
      <w:lang w:val="en-US" w:eastAsia="es-ES"/>
    </w:rPr>
  </w:style>
  <w:style w:type="paragraph" w:styleId="Continuarlista2">
    <w:name w:val="List Continue 2"/>
    <w:basedOn w:val="Normal"/>
    <w:qFormat/>
    <w:rsid w:val="0095645A"/>
    <w:pPr>
      <w:suppressAutoHyphens w:val="0"/>
      <w:spacing w:after="120"/>
      <w:ind w:left="566"/>
    </w:pPr>
    <w:rPr>
      <w:lang w:val="es-CR" w:eastAsia="es-ES"/>
    </w:rPr>
  </w:style>
  <w:style w:type="paragraph" w:customStyle="1" w:styleId="Lneadeasunto">
    <w:name w:val="Línea de asunto"/>
    <w:basedOn w:val="Normal"/>
    <w:qFormat/>
    <w:rsid w:val="0095645A"/>
    <w:pPr>
      <w:widowControl w:val="0"/>
      <w:suppressAutoHyphens w:val="0"/>
      <w:overflowPunct w:val="0"/>
      <w:autoSpaceDE w:val="0"/>
      <w:autoSpaceDN w:val="0"/>
      <w:adjustRightInd w:val="0"/>
      <w:textAlignment w:val="baseline"/>
    </w:pPr>
    <w:rPr>
      <w:rFonts w:ascii="Courier" w:hAnsi="Courier"/>
      <w:sz w:val="20"/>
      <w:szCs w:val="20"/>
      <w:lang w:eastAsia="es-ES"/>
    </w:rPr>
  </w:style>
  <w:style w:type="character" w:customStyle="1" w:styleId="estilocorreo25">
    <w:name w:val="estilocorreo25"/>
    <w:qFormat/>
    <w:rsid w:val="0095645A"/>
    <w:rPr>
      <w:rFonts w:ascii="Tahoma" w:hAnsi="Tahoma" w:cs="Tahoma" w:hint="default"/>
      <w:b w:val="0"/>
      <w:bCs w:val="0"/>
      <w:i w:val="0"/>
      <w:iCs w:val="0"/>
      <w:color w:val="auto"/>
    </w:rPr>
  </w:style>
  <w:style w:type="character" w:customStyle="1" w:styleId="estilocorreo23">
    <w:name w:val="estilocorreo23"/>
    <w:qFormat/>
    <w:rsid w:val="0095645A"/>
    <w:rPr>
      <w:rFonts w:ascii="Tahoma" w:hAnsi="Tahoma" w:cs="Tahoma" w:hint="default"/>
      <w:b w:val="0"/>
      <w:bCs w:val="0"/>
      <w:i w:val="0"/>
      <w:iCs w:val="0"/>
      <w:color w:val="auto"/>
    </w:rPr>
  </w:style>
  <w:style w:type="paragraph" w:styleId="Revisin">
    <w:name w:val="Revision"/>
    <w:hidden/>
    <w:uiPriority w:val="99"/>
    <w:qFormat/>
    <w:rsid w:val="0095645A"/>
    <w:rPr>
      <w:lang w:val="es-ES_tradnl" w:eastAsia="ar-SA"/>
    </w:rPr>
  </w:style>
  <w:style w:type="character" w:customStyle="1" w:styleId="PrrafodelistaCar1">
    <w:name w:val="Párrafo de lista Car1"/>
    <w:aliases w:val="Bullet 1 Car,Use Case List Paragraph Car,Lista vistosa - Énfasis 11 Car,Párrafo de lista Car Car Car Car,Informe Car1,FooterText Car1,numbered Car1,Paragraphe de liste1 Car1,Bulletr List Paragraph Car,列出段落 Car1,列出段落1 Car1,lp1 Car"/>
    <w:link w:val="Prrafodelista"/>
    <w:uiPriority w:val="34"/>
    <w:qFormat/>
    <w:locked/>
    <w:rsid w:val="0095645A"/>
    <w:rPr>
      <w:sz w:val="24"/>
      <w:szCs w:val="24"/>
      <w:lang w:eastAsia="ar-SA"/>
    </w:rPr>
  </w:style>
  <w:style w:type="paragraph" w:customStyle="1" w:styleId="antecedente0">
    <w:name w:val="antecedente"/>
    <w:basedOn w:val="Normal"/>
    <w:link w:val="antecedenteCar0"/>
    <w:qFormat/>
    <w:rsid w:val="0095645A"/>
    <w:pPr>
      <w:spacing w:before="100" w:beforeAutospacing="1" w:after="100" w:afterAutospacing="1" w:line="480" w:lineRule="auto"/>
      <w:ind w:firstLine="708"/>
      <w:jc w:val="both"/>
    </w:pPr>
    <w:rPr>
      <w:bCs/>
      <w:sz w:val="28"/>
      <w:szCs w:val="28"/>
      <w:lang w:eastAsia="x-none"/>
    </w:rPr>
  </w:style>
  <w:style w:type="character" w:customStyle="1" w:styleId="antecedenteCar0">
    <w:name w:val="antecedente Car"/>
    <w:link w:val="antecedente0"/>
    <w:qFormat/>
    <w:rsid w:val="0095645A"/>
    <w:rPr>
      <w:bCs/>
      <w:sz w:val="28"/>
      <w:szCs w:val="28"/>
      <w:lang w:eastAsia="x-none"/>
    </w:rPr>
  </w:style>
  <w:style w:type="character" w:customStyle="1" w:styleId="WW8Num1z4">
    <w:name w:val="WW8Num1z4"/>
    <w:qFormat/>
    <w:rsid w:val="0095645A"/>
  </w:style>
  <w:style w:type="character" w:customStyle="1" w:styleId="WW8Num1z5">
    <w:name w:val="WW8Num1z5"/>
    <w:qFormat/>
    <w:rsid w:val="0095645A"/>
  </w:style>
  <w:style w:type="character" w:customStyle="1" w:styleId="WW8Num1z6">
    <w:name w:val="WW8Num1z6"/>
    <w:qFormat/>
    <w:rsid w:val="0095645A"/>
  </w:style>
  <w:style w:type="character" w:customStyle="1" w:styleId="WW8Num1z7">
    <w:name w:val="WW8Num1z7"/>
    <w:qFormat/>
    <w:rsid w:val="0095645A"/>
  </w:style>
  <w:style w:type="character" w:customStyle="1" w:styleId="WW8Num1z8">
    <w:name w:val="WW8Num1z8"/>
    <w:qFormat/>
    <w:rsid w:val="0095645A"/>
  </w:style>
  <w:style w:type="character" w:customStyle="1" w:styleId="WW8Num2z0">
    <w:name w:val="WW8Num2z0"/>
    <w:qFormat/>
    <w:rsid w:val="0095645A"/>
  </w:style>
  <w:style w:type="character" w:customStyle="1" w:styleId="WW8Num2z1">
    <w:name w:val="WW8Num2z1"/>
    <w:qFormat/>
    <w:rsid w:val="0095645A"/>
  </w:style>
  <w:style w:type="character" w:customStyle="1" w:styleId="WW8Num2z2">
    <w:name w:val="WW8Num2z2"/>
    <w:qFormat/>
    <w:rsid w:val="0095645A"/>
  </w:style>
  <w:style w:type="character" w:customStyle="1" w:styleId="WW8Num2z3">
    <w:name w:val="WW8Num2z3"/>
    <w:qFormat/>
    <w:rsid w:val="0095645A"/>
  </w:style>
  <w:style w:type="character" w:customStyle="1" w:styleId="WW8Num2z4">
    <w:name w:val="WW8Num2z4"/>
    <w:qFormat/>
    <w:rsid w:val="0095645A"/>
  </w:style>
  <w:style w:type="character" w:customStyle="1" w:styleId="WW8Num2z5">
    <w:name w:val="WW8Num2z5"/>
    <w:qFormat/>
    <w:rsid w:val="0095645A"/>
  </w:style>
  <w:style w:type="character" w:customStyle="1" w:styleId="WW8Num2z6">
    <w:name w:val="WW8Num2z6"/>
    <w:qFormat/>
    <w:rsid w:val="0095645A"/>
  </w:style>
  <w:style w:type="character" w:customStyle="1" w:styleId="WW8Num2z7">
    <w:name w:val="WW8Num2z7"/>
    <w:qFormat/>
    <w:rsid w:val="0095645A"/>
  </w:style>
  <w:style w:type="character" w:customStyle="1" w:styleId="WW8Num2z8">
    <w:name w:val="WW8Num2z8"/>
    <w:qFormat/>
    <w:rsid w:val="0095645A"/>
  </w:style>
  <w:style w:type="character" w:customStyle="1" w:styleId="Fuentedeprrafopredeter4">
    <w:name w:val="Fuente de párrafo predeter.4"/>
    <w:qFormat/>
    <w:rsid w:val="0095645A"/>
  </w:style>
  <w:style w:type="character" w:customStyle="1" w:styleId="Heading2Char">
    <w:name w:val="Heading 2 Char"/>
    <w:aliases w:val="H2 Char,Títulos de Hallazgo e Introducción Char,CAPITULO 2 Char,H21 Char,Heading 2 Char2 Char Char,Heading 2 Char Char1 Char Char,Headin Char"/>
    <w:qFormat/>
    <w:rsid w:val="0095645A"/>
    <w:rPr>
      <w:rFonts w:ascii="Book Antiqua" w:hAnsi="Book Antiqua" w:cs="Book Antiqua"/>
      <w:b/>
      <w:bCs/>
      <w:i/>
      <w:iCs/>
      <w:sz w:val="28"/>
      <w:szCs w:val="28"/>
      <w:u w:val="double"/>
    </w:rPr>
  </w:style>
  <w:style w:type="character" w:customStyle="1" w:styleId="ListLabel1">
    <w:name w:val="ListLabel 1"/>
    <w:qFormat/>
    <w:rsid w:val="0095645A"/>
    <w:rPr>
      <w:rFonts w:cs="Times New Roman"/>
      <w:b w:val="0"/>
      <w:sz w:val="24"/>
    </w:rPr>
  </w:style>
  <w:style w:type="character" w:customStyle="1" w:styleId="ListLabel2">
    <w:name w:val="ListLabel 2"/>
    <w:qFormat/>
    <w:rsid w:val="0095645A"/>
    <w:rPr>
      <w:rFonts w:ascii="Times New Roman" w:hAnsi="Times New Roman" w:cs="Times New Roman"/>
    </w:rPr>
  </w:style>
  <w:style w:type="character" w:customStyle="1" w:styleId="Smbolosdenumeracin">
    <w:name w:val="Símbolos de numeración"/>
    <w:qFormat/>
    <w:rsid w:val="0095645A"/>
  </w:style>
  <w:style w:type="paragraph" w:customStyle="1" w:styleId="Ttulo10">
    <w:name w:val="Título1"/>
    <w:basedOn w:val="Normal"/>
    <w:next w:val="Textoindependiente"/>
    <w:qFormat/>
    <w:rsid w:val="0095645A"/>
    <w:pPr>
      <w:keepNext/>
      <w:widowControl w:val="0"/>
      <w:spacing w:before="240" w:after="120" w:line="252" w:lineRule="auto"/>
      <w:textAlignment w:val="baseline"/>
    </w:pPr>
    <w:rPr>
      <w:rFonts w:ascii="Liberation Sans" w:eastAsia="Microsoft YaHei" w:hAnsi="Liberation Sans" w:cs="Lucida Sans"/>
      <w:color w:val="00000A"/>
      <w:kern w:val="1"/>
      <w:sz w:val="28"/>
      <w:szCs w:val="28"/>
      <w:lang w:val="es-CR" w:eastAsia="zh-CN" w:bidi="es-CR"/>
    </w:rPr>
  </w:style>
  <w:style w:type="paragraph" w:customStyle="1" w:styleId="Epgrafe3">
    <w:name w:val="Epígrafe3"/>
    <w:basedOn w:val="Normal"/>
    <w:qFormat/>
    <w:rsid w:val="0095645A"/>
    <w:pPr>
      <w:widowControl w:val="0"/>
      <w:suppressLineNumbers/>
      <w:spacing w:before="120" w:after="120" w:line="252" w:lineRule="auto"/>
      <w:textAlignment w:val="baseline"/>
    </w:pPr>
    <w:rPr>
      <w:rFonts w:ascii="Book Antiqua" w:eastAsia="Book Antiqua" w:hAnsi="Book Antiqua" w:cs="Lucida Sans"/>
      <w:i/>
      <w:iCs/>
      <w:color w:val="00000A"/>
      <w:kern w:val="1"/>
      <w:lang w:val="es-CR" w:eastAsia="zh-CN" w:bidi="es-CR"/>
    </w:rPr>
  </w:style>
  <w:style w:type="paragraph" w:customStyle="1" w:styleId="Epgrafe2">
    <w:name w:val="Epígrafe2"/>
    <w:basedOn w:val="Normal"/>
    <w:qFormat/>
    <w:rsid w:val="0095645A"/>
    <w:pPr>
      <w:widowControl w:val="0"/>
      <w:suppressLineNumbers/>
      <w:spacing w:before="120" w:after="120" w:line="252" w:lineRule="auto"/>
      <w:textAlignment w:val="baseline"/>
    </w:pPr>
    <w:rPr>
      <w:rFonts w:ascii="Book Antiqua" w:eastAsia="Book Antiqua" w:hAnsi="Book Antiqua" w:cs="Mangal"/>
      <w:i/>
      <w:iCs/>
      <w:color w:val="00000A"/>
      <w:kern w:val="1"/>
      <w:lang w:val="es-CR" w:eastAsia="zh-CN" w:bidi="es-CR"/>
    </w:rPr>
  </w:style>
  <w:style w:type="paragraph" w:customStyle="1" w:styleId="ListParagraph1">
    <w:name w:val="List Paragraph1"/>
    <w:basedOn w:val="Normal"/>
    <w:qFormat/>
    <w:rsid w:val="0095645A"/>
    <w:pPr>
      <w:widowControl w:val="0"/>
      <w:spacing w:after="160" w:line="252" w:lineRule="auto"/>
      <w:ind w:left="720"/>
      <w:contextualSpacing/>
      <w:textAlignment w:val="baseline"/>
    </w:pPr>
    <w:rPr>
      <w:rFonts w:ascii="Book Antiqua" w:eastAsia="Book Antiqua" w:hAnsi="Book Antiqua" w:cs="Calibri"/>
      <w:color w:val="00000A"/>
      <w:kern w:val="1"/>
      <w:sz w:val="22"/>
      <w:szCs w:val="22"/>
      <w:lang w:val="es-CR" w:eastAsia="zh-CN" w:bidi="es-CR"/>
    </w:rPr>
  </w:style>
  <w:style w:type="paragraph" w:customStyle="1" w:styleId="Epgrafe1">
    <w:name w:val="Epígrafe1"/>
    <w:qFormat/>
    <w:rsid w:val="0095645A"/>
    <w:pPr>
      <w:suppressAutoHyphens/>
      <w:jc w:val="center"/>
    </w:pPr>
    <w:rPr>
      <w:rFonts w:ascii="Arial" w:hAnsi="Arial" w:cs="Arial"/>
      <w:b/>
      <w:color w:val="00000A"/>
      <w:kern w:val="1"/>
      <w:sz w:val="22"/>
      <w:szCs w:val="24"/>
      <w:lang w:val="es-CR" w:eastAsia="zh-CN" w:bidi="hi-IN"/>
    </w:rPr>
  </w:style>
  <w:style w:type="paragraph" w:customStyle="1" w:styleId="Ttulo21">
    <w:name w:val="Título 21"/>
    <w:qFormat/>
    <w:rsid w:val="0095645A"/>
    <w:pPr>
      <w:keepNext/>
      <w:suppressAutoHyphens/>
      <w:spacing w:before="240" w:after="60"/>
      <w:jc w:val="center"/>
    </w:pPr>
    <w:rPr>
      <w:rFonts w:ascii="Arial" w:hAnsi="Arial" w:cs="Arial"/>
      <w:b/>
      <w:i/>
      <w:color w:val="00000A"/>
      <w:kern w:val="1"/>
      <w:sz w:val="28"/>
      <w:szCs w:val="24"/>
      <w:u w:val="double"/>
      <w:lang w:val="es-CR" w:eastAsia="zh-CN" w:bidi="hi-IN"/>
    </w:rPr>
  </w:style>
  <w:style w:type="paragraph" w:customStyle="1" w:styleId="Prrafodelista3">
    <w:name w:val="Párrafo de lista3"/>
    <w:qFormat/>
    <w:rsid w:val="0095645A"/>
    <w:pPr>
      <w:suppressAutoHyphens/>
      <w:spacing w:after="160"/>
      <w:ind w:left="720"/>
    </w:pPr>
    <w:rPr>
      <w:rFonts w:cs="Arial"/>
      <w:color w:val="00000A"/>
      <w:kern w:val="1"/>
      <w:sz w:val="24"/>
      <w:szCs w:val="24"/>
      <w:lang w:val="es-CR" w:eastAsia="zh-CN" w:bidi="hi-IN"/>
    </w:rPr>
  </w:style>
  <w:style w:type="paragraph" w:customStyle="1" w:styleId="Ttulodelatabla">
    <w:name w:val="Título de la tabla"/>
    <w:basedOn w:val="Contenidodelatabla"/>
    <w:qFormat/>
    <w:rsid w:val="0095645A"/>
  </w:style>
  <w:style w:type="paragraph" w:customStyle="1" w:styleId="Jonathan1">
    <w:name w:val="Jonathan 1"/>
    <w:basedOn w:val="Normal"/>
    <w:link w:val="Jonathan1Car"/>
    <w:qFormat/>
    <w:rsid w:val="0095645A"/>
    <w:pPr>
      <w:spacing w:before="120" w:after="120" w:line="480" w:lineRule="auto"/>
      <w:ind w:firstLine="709"/>
      <w:jc w:val="both"/>
    </w:pPr>
    <w:rPr>
      <w:color w:val="000099"/>
      <w:sz w:val="28"/>
      <w:szCs w:val="28"/>
      <w:lang w:val="es-CR"/>
    </w:rPr>
  </w:style>
  <w:style w:type="paragraph" w:customStyle="1" w:styleId="Jonathan2">
    <w:name w:val="Jonathan 2"/>
    <w:basedOn w:val="Normal"/>
    <w:link w:val="Jonathan2Car"/>
    <w:qFormat/>
    <w:rsid w:val="0095645A"/>
    <w:pPr>
      <w:ind w:left="851" w:right="851" w:firstLine="709"/>
      <w:jc w:val="both"/>
    </w:pPr>
    <w:rPr>
      <w:color w:val="000099"/>
      <w:sz w:val="26"/>
      <w:szCs w:val="26"/>
      <w:lang w:val="es-ES_tradnl"/>
    </w:rPr>
  </w:style>
  <w:style w:type="character" w:customStyle="1" w:styleId="Jonathan1Car">
    <w:name w:val="Jonathan 1 Car"/>
    <w:link w:val="Jonathan1"/>
    <w:qFormat/>
    <w:rsid w:val="0095645A"/>
    <w:rPr>
      <w:color w:val="000099"/>
      <w:sz w:val="28"/>
      <w:szCs w:val="28"/>
      <w:lang w:val="es-CR" w:eastAsia="ar-SA"/>
    </w:rPr>
  </w:style>
  <w:style w:type="character" w:customStyle="1" w:styleId="Jonathan2Car">
    <w:name w:val="Jonathan 2 Car"/>
    <w:link w:val="Jonathan2"/>
    <w:qFormat/>
    <w:rsid w:val="0095645A"/>
    <w:rPr>
      <w:color w:val="000099"/>
      <w:sz w:val="26"/>
      <w:szCs w:val="26"/>
      <w:lang w:val="es-ES_tradnl" w:eastAsia="ar-SA"/>
    </w:rPr>
  </w:style>
  <w:style w:type="paragraph" w:customStyle="1" w:styleId="Jonathan3">
    <w:name w:val="Jonathan 3"/>
    <w:basedOn w:val="Normal"/>
    <w:link w:val="Jonathan3Car"/>
    <w:qFormat/>
    <w:rsid w:val="0095645A"/>
    <w:pPr>
      <w:spacing w:before="120" w:after="120" w:line="480" w:lineRule="auto"/>
      <w:ind w:firstLine="709"/>
      <w:jc w:val="both"/>
    </w:pPr>
    <w:rPr>
      <w:bCs/>
      <w:color w:val="000000"/>
      <w:sz w:val="28"/>
      <w:szCs w:val="28"/>
      <w:lang w:val="pt-BR"/>
    </w:rPr>
  </w:style>
  <w:style w:type="paragraph" w:customStyle="1" w:styleId="TableContentsuser">
    <w:name w:val="Table Contents (user)"/>
    <w:uiPriority w:val="99"/>
    <w:qFormat/>
    <w:rsid w:val="0095645A"/>
    <w:pPr>
      <w:autoSpaceDE w:val="0"/>
      <w:autoSpaceDN w:val="0"/>
      <w:adjustRightInd w:val="0"/>
    </w:pPr>
    <w:rPr>
      <w:sz w:val="22"/>
      <w:szCs w:val="22"/>
      <w:lang w:eastAsia="es-CR"/>
    </w:rPr>
  </w:style>
  <w:style w:type="character" w:customStyle="1" w:styleId="Jonathan3Car">
    <w:name w:val="Jonathan 3 Car"/>
    <w:link w:val="Jonathan3"/>
    <w:qFormat/>
    <w:rsid w:val="0095645A"/>
    <w:rPr>
      <w:bCs/>
      <w:color w:val="000000"/>
      <w:sz w:val="28"/>
      <w:szCs w:val="28"/>
      <w:lang w:val="pt-BR" w:eastAsia="ar-SA"/>
    </w:rPr>
  </w:style>
  <w:style w:type="paragraph" w:customStyle="1" w:styleId="Jonathan5">
    <w:name w:val="Jonathan 5"/>
    <w:basedOn w:val="western"/>
    <w:link w:val="Jonathan5Car"/>
    <w:autoRedefine/>
    <w:qFormat/>
    <w:rsid w:val="0095645A"/>
  </w:style>
  <w:style w:type="paragraph" w:customStyle="1" w:styleId="JonDispositiva">
    <w:name w:val="Jon (Dispositiva)"/>
    <w:basedOn w:val="Normal"/>
    <w:link w:val="JonDispositivaCar"/>
    <w:qFormat/>
    <w:rsid w:val="0095645A"/>
    <w:pPr>
      <w:spacing w:before="120" w:after="120" w:line="480" w:lineRule="auto"/>
      <w:ind w:firstLine="709"/>
      <w:jc w:val="both"/>
    </w:pPr>
    <w:rPr>
      <w:bCs/>
      <w:color w:val="000000"/>
      <w:sz w:val="28"/>
      <w:szCs w:val="28"/>
      <w:lang w:val="pt-BR"/>
    </w:rPr>
  </w:style>
  <w:style w:type="character" w:customStyle="1" w:styleId="westernCar">
    <w:name w:val="western Car"/>
    <w:link w:val="western"/>
    <w:uiPriority w:val="99"/>
    <w:qFormat/>
    <w:rsid w:val="0095645A"/>
    <w:rPr>
      <w:sz w:val="18"/>
      <w:szCs w:val="18"/>
    </w:rPr>
  </w:style>
  <w:style w:type="character" w:customStyle="1" w:styleId="Jonathan5Car">
    <w:name w:val="Jonathan 5 Car"/>
    <w:link w:val="Jonathan5"/>
    <w:qFormat/>
    <w:rsid w:val="0095645A"/>
    <w:rPr>
      <w:sz w:val="18"/>
      <w:szCs w:val="18"/>
    </w:rPr>
  </w:style>
  <w:style w:type="paragraph" w:customStyle="1" w:styleId="Sinespaciado2">
    <w:name w:val="Sin espaciado2"/>
    <w:qFormat/>
    <w:rsid w:val="0095645A"/>
    <w:pPr>
      <w:widowControl w:val="0"/>
      <w:suppressAutoHyphens/>
      <w:spacing w:line="100" w:lineRule="atLeast"/>
    </w:pPr>
    <w:rPr>
      <w:rFonts w:ascii="Calibri" w:eastAsia="SimSun" w:hAnsi="Calibri" w:cs="Calibri"/>
      <w:kern w:val="2"/>
      <w:sz w:val="22"/>
      <w:szCs w:val="22"/>
      <w:lang w:eastAsia="zh-CN"/>
    </w:rPr>
  </w:style>
  <w:style w:type="character" w:customStyle="1" w:styleId="JonDispositivaCar">
    <w:name w:val="Jon (Dispositiva) Car"/>
    <w:link w:val="JonDispositiva"/>
    <w:qFormat/>
    <w:rsid w:val="0095645A"/>
    <w:rPr>
      <w:bCs/>
      <w:color w:val="000000"/>
      <w:sz w:val="28"/>
      <w:szCs w:val="28"/>
      <w:lang w:val="pt-BR" w:eastAsia="ar-SA"/>
    </w:rPr>
  </w:style>
  <w:style w:type="paragraph" w:customStyle="1" w:styleId="Jonathan">
    <w:name w:val="Jonathan"/>
    <w:basedOn w:val="Predeterminado0"/>
    <w:qFormat/>
    <w:rsid w:val="0095645A"/>
  </w:style>
  <w:style w:type="paragraph" w:customStyle="1" w:styleId="JonathanTabla">
    <w:name w:val="JonathanTabla"/>
    <w:basedOn w:val="Predeterminado0"/>
    <w:link w:val="JonathanTablaCar"/>
    <w:qFormat/>
    <w:rsid w:val="0095645A"/>
  </w:style>
  <w:style w:type="character" w:customStyle="1" w:styleId="PredeterminadoCar">
    <w:name w:val="Predeterminado Car"/>
    <w:link w:val="Predeterminado0"/>
    <w:qFormat/>
    <w:rsid w:val="0095645A"/>
    <w:rPr>
      <w:rFonts w:ascii="Trebuchet MS" w:hAnsi="Trebuchet MS" w:cs="Trebuchet MS"/>
      <w:color w:val="000000"/>
      <w:sz w:val="48"/>
      <w:szCs w:val="48"/>
    </w:rPr>
  </w:style>
  <w:style w:type="character" w:customStyle="1" w:styleId="JonathanTablaCar">
    <w:name w:val="JonathanTabla Car"/>
    <w:link w:val="JonathanTabla"/>
    <w:qFormat/>
    <w:rsid w:val="0095645A"/>
    <w:rPr>
      <w:rFonts w:ascii="Trebuchet MS" w:hAnsi="Trebuchet MS" w:cs="Trebuchet MS"/>
      <w:color w:val="000000"/>
      <w:sz w:val="48"/>
      <w:szCs w:val="48"/>
    </w:rPr>
  </w:style>
  <w:style w:type="paragraph" w:customStyle="1" w:styleId="Jon6">
    <w:name w:val="Jon 6"/>
    <w:basedOn w:val="Normal"/>
    <w:link w:val="Jon6Car"/>
    <w:qFormat/>
    <w:rsid w:val="0095645A"/>
    <w:pPr>
      <w:widowControl w:val="0"/>
      <w:shd w:val="clear" w:color="auto" w:fill="FFFFFF"/>
      <w:ind w:left="851" w:right="851" w:firstLine="709"/>
      <w:jc w:val="both"/>
    </w:pPr>
    <w:rPr>
      <w:bCs/>
      <w:sz w:val="26"/>
      <w:szCs w:val="26"/>
      <w:lang w:val="es-ES_tradnl" w:eastAsia="es-CR"/>
    </w:rPr>
  </w:style>
  <w:style w:type="paragraph" w:customStyle="1" w:styleId="Jon7">
    <w:name w:val="Jon 7"/>
    <w:basedOn w:val="Ttulo3"/>
    <w:link w:val="Jon7Car"/>
    <w:autoRedefine/>
    <w:qFormat/>
    <w:rsid w:val="0095645A"/>
    <w:pPr>
      <w:spacing w:after="120"/>
    </w:pPr>
    <w:rPr>
      <w:color w:val="000000"/>
      <w:lang w:val="es-CR"/>
    </w:rPr>
  </w:style>
  <w:style w:type="character" w:customStyle="1" w:styleId="Jon6Car">
    <w:name w:val="Jon 6 Car"/>
    <w:link w:val="Jon6"/>
    <w:qFormat/>
    <w:rsid w:val="0095645A"/>
    <w:rPr>
      <w:bCs/>
      <w:sz w:val="26"/>
      <w:szCs w:val="26"/>
      <w:shd w:val="clear" w:color="auto" w:fill="FFFFFF"/>
      <w:lang w:val="es-ES_tradnl" w:eastAsia="es-CR"/>
    </w:rPr>
  </w:style>
  <w:style w:type="paragraph" w:customStyle="1" w:styleId="Jon2">
    <w:name w:val="Jon 2"/>
    <w:basedOn w:val="Normal"/>
    <w:link w:val="Jon2Car"/>
    <w:qFormat/>
    <w:rsid w:val="0095645A"/>
    <w:pPr>
      <w:ind w:left="851" w:right="851" w:firstLine="709"/>
      <w:jc w:val="both"/>
    </w:pPr>
    <w:rPr>
      <w:color w:val="000099"/>
      <w:sz w:val="26"/>
      <w:szCs w:val="26"/>
      <w:lang w:val="es-ES_tradnl"/>
    </w:rPr>
  </w:style>
  <w:style w:type="character" w:customStyle="1" w:styleId="Jon7Car">
    <w:name w:val="Jon 7 Car"/>
    <w:link w:val="Jon7"/>
    <w:qFormat/>
    <w:rsid w:val="0095645A"/>
    <w:rPr>
      <w:rFonts w:cs="Arial"/>
      <w:b/>
      <w:bCs/>
      <w:color w:val="000000"/>
      <w:sz w:val="28"/>
      <w:szCs w:val="26"/>
      <w:lang w:val="es-CR" w:eastAsia="ar-SA"/>
    </w:rPr>
  </w:style>
  <w:style w:type="character" w:customStyle="1" w:styleId="Jon2Car">
    <w:name w:val="Jon 2 Car"/>
    <w:link w:val="Jon2"/>
    <w:qFormat/>
    <w:rsid w:val="0095645A"/>
    <w:rPr>
      <w:color w:val="000099"/>
      <w:sz w:val="26"/>
      <w:szCs w:val="26"/>
      <w:lang w:val="es-ES_tradnl" w:eastAsia="ar-SA"/>
    </w:rPr>
  </w:style>
  <w:style w:type="paragraph" w:customStyle="1" w:styleId="Jon3">
    <w:name w:val="Jon 3"/>
    <w:basedOn w:val="Normal"/>
    <w:link w:val="Jon3Car"/>
    <w:qFormat/>
    <w:rsid w:val="0095645A"/>
    <w:pPr>
      <w:spacing w:before="120" w:after="120" w:line="480" w:lineRule="auto"/>
      <w:ind w:firstLine="709"/>
      <w:jc w:val="both"/>
    </w:pPr>
    <w:rPr>
      <w:bCs/>
      <w:color w:val="000000"/>
      <w:sz w:val="28"/>
      <w:szCs w:val="28"/>
      <w:lang w:val="pt-BR"/>
    </w:rPr>
  </w:style>
  <w:style w:type="character" w:customStyle="1" w:styleId="Jon3Car">
    <w:name w:val="Jon 3 Car"/>
    <w:link w:val="Jon3"/>
    <w:qFormat/>
    <w:rsid w:val="0095645A"/>
    <w:rPr>
      <w:bCs/>
      <w:color w:val="000000"/>
      <w:sz w:val="28"/>
      <w:szCs w:val="28"/>
      <w:lang w:val="pt-BR" w:eastAsia="ar-SA"/>
    </w:rPr>
  </w:style>
  <w:style w:type="paragraph" w:customStyle="1" w:styleId="AAA">
    <w:name w:val="AAA"/>
    <w:basedOn w:val="Normal"/>
    <w:link w:val="AAACar"/>
    <w:qFormat/>
    <w:rsid w:val="0095645A"/>
    <w:pPr>
      <w:ind w:left="851" w:firstLine="709"/>
    </w:pPr>
    <w:rPr>
      <w:b/>
      <w:bCs/>
      <w:color w:val="000099"/>
      <w:sz w:val="26"/>
      <w:szCs w:val="26"/>
      <w:lang w:val="es-ES_tradnl"/>
    </w:rPr>
  </w:style>
  <w:style w:type="paragraph" w:customStyle="1" w:styleId="xmsonormal">
    <w:name w:val="x_msonormal"/>
    <w:basedOn w:val="Normal"/>
    <w:qFormat/>
    <w:rsid w:val="0095645A"/>
    <w:pPr>
      <w:suppressAutoHyphens w:val="0"/>
    </w:pPr>
    <w:rPr>
      <w:rFonts w:ascii="Calibri" w:eastAsia="Calibri" w:hAnsi="Calibri" w:cs="Calibri"/>
      <w:sz w:val="22"/>
      <w:szCs w:val="22"/>
      <w:lang w:val="es-CR" w:eastAsia="es-CR"/>
    </w:rPr>
  </w:style>
  <w:style w:type="character" w:customStyle="1" w:styleId="AAACar">
    <w:name w:val="AAA Car"/>
    <w:basedOn w:val="Fuentedeprrafopredeter"/>
    <w:link w:val="AAA"/>
    <w:qFormat/>
    <w:rsid w:val="0095645A"/>
    <w:rPr>
      <w:b/>
      <w:bCs/>
      <w:color w:val="000099"/>
      <w:sz w:val="26"/>
      <w:szCs w:val="26"/>
      <w:lang w:val="es-ES_tradnl" w:eastAsia="ar-SA"/>
    </w:rPr>
  </w:style>
  <w:style w:type="paragraph" w:customStyle="1" w:styleId="TEMASPRIVADOS">
    <w:name w:val="TEMAS PRIVADOS"/>
    <w:basedOn w:val="Textoindependiente"/>
    <w:link w:val="TEMASPRIVADOSCar"/>
    <w:qFormat/>
    <w:rsid w:val="0095645A"/>
    <w:pPr>
      <w:spacing w:after="0"/>
      <w:jc w:val="center"/>
    </w:pPr>
    <w:rPr>
      <w:rFonts w:ascii="Book Antiqua" w:hAnsi="Book Antiqua"/>
      <w:b/>
      <w:color w:val="FF0000"/>
      <w:sz w:val="28"/>
      <w:szCs w:val="28"/>
      <w:u w:val="single"/>
      <w:lang w:val="es-ES_tradnl"/>
    </w:rPr>
  </w:style>
  <w:style w:type="character" w:customStyle="1" w:styleId="TEMASPRIVADOSCar">
    <w:name w:val="TEMAS PRIVADOS Car"/>
    <w:basedOn w:val="TextoindependienteCar"/>
    <w:link w:val="TEMASPRIVADOS"/>
    <w:qFormat/>
    <w:rsid w:val="0095645A"/>
    <w:rPr>
      <w:rFonts w:ascii="Book Antiqua" w:hAnsi="Book Antiqua"/>
      <w:b/>
      <w:color w:val="FF0000"/>
      <w:sz w:val="28"/>
      <w:szCs w:val="28"/>
      <w:u w:val="single"/>
      <w:lang w:val="es-ES_tradnl" w:eastAsia="ar-SA" w:bidi="ar-SA"/>
    </w:rPr>
  </w:style>
  <w:style w:type="paragraph" w:customStyle="1" w:styleId="Textbody">
    <w:name w:val="Text body"/>
    <w:basedOn w:val="Standard0"/>
    <w:qFormat/>
    <w:rsid w:val="0095645A"/>
    <w:pPr>
      <w:autoSpaceDE/>
      <w:adjustRightInd/>
      <w:spacing w:after="140" w:line="288" w:lineRule="auto"/>
      <w:textAlignment w:val="baseline"/>
    </w:pPr>
    <w:rPr>
      <w:rFonts w:ascii="Liberation Serif" w:eastAsia="SimSun"/>
      <w:color w:val="auto"/>
      <w:kern w:val="3"/>
      <w:sz w:val="24"/>
      <w:szCs w:val="24"/>
    </w:rPr>
  </w:style>
  <w:style w:type="paragraph" w:customStyle="1" w:styleId="Descripcin1">
    <w:name w:val="Descripción1"/>
    <w:aliases w:val="Descripción11"/>
    <w:basedOn w:val="Normal"/>
    <w:next w:val="Normal"/>
    <w:uiPriority w:val="99"/>
    <w:qFormat/>
    <w:rsid w:val="0095645A"/>
    <w:pPr>
      <w:spacing w:after="200"/>
    </w:pPr>
    <w:rPr>
      <w:i/>
      <w:iCs/>
      <w:color w:val="44546A"/>
      <w:sz w:val="18"/>
      <w:szCs w:val="18"/>
      <w:lang w:val="es-ES_tradnl"/>
    </w:rPr>
  </w:style>
  <w:style w:type="paragraph" w:customStyle="1" w:styleId="JonEncabezado">
    <w:name w:val="Jon (Encabezado)"/>
    <w:basedOn w:val="Normal"/>
    <w:link w:val="JonEncabezadoCar"/>
    <w:qFormat/>
    <w:rsid w:val="0095645A"/>
    <w:pPr>
      <w:spacing w:before="120" w:after="120" w:line="480" w:lineRule="auto"/>
      <w:ind w:firstLine="709"/>
      <w:jc w:val="both"/>
    </w:pPr>
    <w:rPr>
      <w:color w:val="000099"/>
      <w:sz w:val="28"/>
      <w:szCs w:val="28"/>
      <w:lang w:val="es-CR"/>
    </w:rPr>
  </w:style>
  <w:style w:type="character" w:customStyle="1" w:styleId="JonEncabezadoCar">
    <w:name w:val="Jon (Encabezado) Car"/>
    <w:link w:val="JonEncabezado"/>
    <w:rsid w:val="0095645A"/>
    <w:rPr>
      <w:color w:val="000099"/>
      <w:sz w:val="28"/>
      <w:szCs w:val="28"/>
      <w:lang w:val="es-CR" w:eastAsia="ar-SA"/>
    </w:rPr>
  </w:style>
  <w:style w:type="paragraph" w:customStyle="1" w:styleId="Jontranscrib">
    <w:name w:val="Jon (transcrib.)"/>
    <w:basedOn w:val="Normal"/>
    <w:link w:val="JontranscribCar"/>
    <w:qFormat/>
    <w:rsid w:val="0095645A"/>
    <w:pPr>
      <w:ind w:left="851" w:right="851" w:firstLine="709"/>
      <w:jc w:val="both"/>
    </w:pPr>
    <w:rPr>
      <w:color w:val="000099"/>
      <w:sz w:val="26"/>
      <w:szCs w:val="26"/>
      <w:lang w:val="es-ES_tradnl"/>
    </w:rPr>
  </w:style>
  <w:style w:type="character" w:customStyle="1" w:styleId="JontranscribCar">
    <w:name w:val="Jon (transcrib.) Car"/>
    <w:link w:val="Jontranscrib"/>
    <w:rsid w:val="0095645A"/>
    <w:rPr>
      <w:color w:val="000099"/>
      <w:sz w:val="26"/>
      <w:szCs w:val="26"/>
      <w:lang w:val="es-ES_tradnl" w:eastAsia="ar-SA"/>
    </w:rPr>
  </w:style>
  <w:style w:type="paragraph" w:customStyle="1" w:styleId="app-page-detaildocumentany">
    <w:name w:val="app-page-detail_document_any"/>
    <w:basedOn w:val="Normal"/>
    <w:qFormat/>
    <w:rsid w:val="0095645A"/>
    <w:pPr>
      <w:suppressAutoHyphens w:val="0"/>
      <w:spacing w:line="300" w:lineRule="atLeast"/>
    </w:pPr>
    <w:rPr>
      <w:rFonts w:ascii="Arial" w:eastAsia="Calibri" w:hAnsi="Arial" w:cs="Arial"/>
      <w:color w:val="000000"/>
      <w:sz w:val="21"/>
      <w:szCs w:val="21"/>
      <w:lang w:val="es-CR" w:eastAsia="es-ES"/>
    </w:rPr>
  </w:style>
  <w:style w:type="paragraph" w:customStyle="1" w:styleId="dispositiva">
    <w:name w:val="dispositiva"/>
    <w:basedOn w:val="Normal"/>
    <w:link w:val="dispositivaCar"/>
    <w:qFormat/>
    <w:rsid w:val="0095645A"/>
    <w:pPr>
      <w:spacing w:line="480" w:lineRule="auto"/>
      <w:ind w:firstLine="709"/>
      <w:jc w:val="both"/>
    </w:pPr>
    <w:rPr>
      <w:sz w:val="28"/>
      <w:szCs w:val="28"/>
      <w:lang w:val="es-ES_tradnl"/>
    </w:rPr>
  </w:style>
  <w:style w:type="character" w:customStyle="1" w:styleId="dispositivaCar">
    <w:name w:val="dispositiva Car"/>
    <w:link w:val="dispositiva"/>
    <w:qFormat/>
    <w:rsid w:val="0095645A"/>
    <w:rPr>
      <w:sz w:val="28"/>
      <w:szCs w:val="28"/>
      <w:lang w:val="es-ES_tradnl" w:eastAsia="ar-SA"/>
    </w:rPr>
  </w:style>
  <w:style w:type="paragraph" w:customStyle="1" w:styleId="Saludo1">
    <w:name w:val="Saludo1"/>
    <w:rsid w:val="0095645A"/>
    <w:pPr>
      <w:widowControl w:val="0"/>
      <w:suppressAutoHyphens/>
      <w:autoSpaceDE w:val="0"/>
    </w:pPr>
    <w:rPr>
      <w:rFonts w:ascii="Arial" w:eastAsia="Arial" w:hAnsi="Arial" w:cs="Arial"/>
      <w:kern w:val="1"/>
      <w:shd w:val="clear" w:color="auto" w:fill="FFFFFF"/>
      <w:lang w:bidi="es-ES"/>
    </w:rPr>
  </w:style>
  <w:style w:type="paragraph" w:customStyle="1" w:styleId="gestion">
    <w:name w:val="gestion"/>
    <w:basedOn w:val="Normal"/>
    <w:link w:val="gestionCar"/>
    <w:qFormat/>
    <w:rsid w:val="0095645A"/>
    <w:pPr>
      <w:spacing w:before="120" w:after="120"/>
      <w:ind w:left="851" w:right="851" w:firstLine="709"/>
      <w:jc w:val="both"/>
    </w:pPr>
    <w:rPr>
      <w:color w:val="000099"/>
      <w:sz w:val="26"/>
      <w:szCs w:val="26"/>
      <w:lang w:val="es-ES_tradnl"/>
    </w:rPr>
  </w:style>
  <w:style w:type="character" w:customStyle="1" w:styleId="gestionCar">
    <w:name w:val="gestion Car"/>
    <w:link w:val="gestion"/>
    <w:qFormat/>
    <w:rsid w:val="0095645A"/>
    <w:rPr>
      <w:color w:val="000099"/>
      <w:sz w:val="26"/>
      <w:szCs w:val="26"/>
      <w:lang w:val="es-ES_tradnl" w:eastAsia="ar-SA"/>
    </w:rPr>
  </w:style>
  <w:style w:type="paragraph" w:customStyle="1" w:styleId="yiv8732814394ydp37db12b2msonormal">
    <w:name w:val="yiv8732814394ydp37db12b2msonormal"/>
    <w:basedOn w:val="Normal"/>
    <w:rsid w:val="0095645A"/>
    <w:pPr>
      <w:suppressAutoHyphens w:val="0"/>
      <w:spacing w:before="100" w:beforeAutospacing="1" w:after="100" w:afterAutospacing="1"/>
    </w:pPr>
    <w:rPr>
      <w:rFonts w:eastAsia="Calibri"/>
      <w:lang w:val="es-CR" w:eastAsia="es-CR"/>
    </w:rPr>
  </w:style>
  <w:style w:type="paragraph" w:customStyle="1" w:styleId="Bgestinconnmero">
    <w:name w:val="B gestión con número"/>
    <w:basedOn w:val="Normal"/>
    <w:link w:val="BgestinconnmeroCar"/>
    <w:uiPriority w:val="99"/>
    <w:qFormat/>
    <w:rsid w:val="0095645A"/>
    <w:pPr>
      <w:numPr>
        <w:numId w:val="13"/>
      </w:numPr>
      <w:suppressAutoHyphens w:val="0"/>
      <w:spacing w:after="120" w:line="360" w:lineRule="auto"/>
      <w:ind w:right="851"/>
      <w:jc w:val="both"/>
    </w:pPr>
    <w:rPr>
      <w:b/>
      <w:color w:val="000099"/>
      <w:sz w:val="26"/>
      <w:szCs w:val="26"/>
    </w:rPr>
  </w:style>
  <w:style w:type="character" w:customStyle="1" w:styleId="BgestinconnmeroCar">
    <w:name w:val="B gestión con número Car"/>
    <w:link w:val="Bgestinconnmero"/>
    <w:uiPriority w:val="99"/>
    <w:rsid w:val="0095645A"/>
    <w:rPr>
      <w:b/>
      <w:color w:val="000099"/>
      <w:sz w:val="26"/>
      <w:szCs w:val="26"/>
      <w:lang w:eastAsia="ar-SA"/>
    </w:rPr>
  </w:style>
  <w:style w:type="numbering" w:customStyle="1" w:styleId="Sinlista111">
    <w:name w:val="Sin lista111"/>
    <w:next w:val="Sinlista"/>
    <w:uiPriority w:val="99"/>
    <w:unhideWhenUsed/>
    <w:rsid w:val="0095645A"/>
  </w:style>
  <w:style w:type="paragraph" w:customStyle="1" w:styleId="Car10">
    <w:name w:val="Car1"/>
    <w:basedOn w:val="Normal"/>
    <w:qFormat/>
    <w:rsid w:val="0095645A"/>
    <w:pPr>
      <w:spacing w:after="160" w:line="240" w:lineRule="exact"/>
    </w:pPr>
    <w:rPr>
      <w:rFonts w:ascii="Verdana" w:hAnsi="Verdana"/>
      <w:sz w:val="20"/>
      <w:szCs w:val="21"/>
      <w:lang w:val="en-AU"/>
    </w:rPr>
  </w:style>
  <w:style w:type="paragraph" w:customStyle="1" w:styleId="CharChar20">
    <w:name w:val="Char Char2"/>
    <w:basedOn w:val="Normal"/>
    <w:uiPriority w:val="99"/>
    <w:qFormat/>
    <w:rsid w:val="0095645A"/>
    <w:pPr>
      <w:suppressAutoHyphens w:val="0"/>
      <w:spacing w:after="160" w:line="240" w:lineRule="exact"/>
    </w:pPr>
    <w:rPr>
      <w:rFonts w:ascii="Verdana" w:hAnsi="Verdana"/>
      <w:sz w:val="20"/>
      <w:szCs w:val="21"/>
      <w:lang w:val="en-AU" w:eastAsia="en-US"/>
    </w:rPr>
  </w:style>
  <w:style w:type="paragraph" w:customStyle="1" w:styleId="Prrafodelista11">
    <w:name w:val="Párrafo de lista11"/>
    <w:basedOn w:val="Normal"/>
    <w:uiPriority w:val="99"/>
    <w:qFormat/>
    <w:rsid w:val="0095645A"/>
    <w:pPr>
      <w:widowControl w:val="0"/>
      <w:suppressAutoHyphens w:val="0"/>
      <w:autoSpaceDE w:val="0"/>
      <w:autoSpaceDN w:val="0"/>
      <w:adjustRightInd w:val="0"/>
      <w:ind w:left="708"/>
    </w:pPr>
    <w:rPr>
      <w:rFonts w:ascii="Arial" w:hAnsi="Arial" w:cs="Arial"/>
      <w:sz w:val="20"/>
      <w:szCs w:val="20"/>
      <w:u w:color="000000"/>
      <w:shd w:val="clear" w:color="auto" w:fill="FFFFFF"/>
      <w:lang w:eastAsia="es-ES"/>
    </w:rPr>
  </w:style>
  <w:style w:type="paragraph" w:customStyle="1" w:styleId="CarCarCarCarCarCar1">
    <w:name w:val="Car Car Car Car Car Car1"/>
    <w:basedOn w:val="Normal"/>
    <w:rsid w:val="0095645A"/>
    <w:pPr>
      <w:suppressAutoHyphens w:val="0"/>
      <w:spacing w:after="160" w:line="240" w:lineRule="exact"/>
    </w:pPr>
    <w:rPr>
      <w:rFonts w:ascii="Verdana" w:hAnsi="Verdana" w:cs="Verdana"/>
      <w:sz w:val="20"/>
      <w:szCs w:val="20"/>
      <w:lang w:val="en-AU" w:eastAsia="en-US"/>
    </w:rPr>
  </w:style>
  <w:style w:type="paragraph" w:customStyle="1" w:styleId="Textodebloque11">
    <w:name w:val="Texto de bloque11"/>
    <w:basedOn w:val="Normal"/>
    <w:uiPriority w:val="99"/>
    <w:rsid w:val="0095645A"/>
    <w:pPr>
      <w:widowControl w:val="0"/>
      <w:autoSpaceDE w:val="0"/>
      <w:ind w:left="-540" w:right="-415" w:firstLine="1248"/>
      <w:jc w:val="both"/>
    </w:pPr>
    <w:rPr>
      <w:rFonts w:ascii="Arial" w:hAnsi="Arial" w:cs="Arial"/>
      <w:lang w:eastAsia="zh-CN"/>
    </w:rPr>
  </w:style>
  <w:style w:type="table" w:customStyle="1" w:styleId="TablaWeb11">
    <w:name w:val="Tabla Web 11"/>
    <w:basedOn w:val="Tablanormal"/>
    <w:rsid w:val="0095645A"/>
    <w:rPr>
      <w:lang w:val="es-MX"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extoindependiente221">
    <w:name w:val="Texto independiente 221"/>
    <w:basedOn w:val="Normal"/>
    <w:uiPriority w:val="99"/>
    <w:qFormat/>
    <w:rsid w:val="0095645A"/>
    <w:pPr>
      <w:spacing w:line="360" w:lineRule="auto"/>
      <w:jc w:val="both"/>
    </w:pPr>
    <w:rPr>
      <w:rFonts w:ascii="Arial" w:hAnsi="Arial" w:cs="Arial"/>
      <w:kern w:val="1"/>
      <w:szCs w:val="20"/>
      <w:lang w:val="es-CR"/>
    </w:rPr>
  </w:style>
  <w:style w:type="paragraph" w:customStyle="1" w:styleId="Sangra2detindependiente110">
    <w:name w:val="Sangría 2 de t. independiente11"/>
    <w:basedOn w:val="Normal"/>
    <w:uiPriority w:val="99"/>
    <w:qFormat/>
    <w:rsid w:val="0095645A"/>
    <w:pPr>
      <w:tabs>
        <w:tab w:val="left" w:pos="2835"/>
      </w:tabs>
      <w:overflowPunct w:val="0"/>
      <w:autoSpaceDE w:val="0"/>
      <w:ind w:left="2835" w:hanging="2835"/>
      <w:jc w:val="both"/>
      <w:textAlignment w:val="baseline"/>
    </w:pPr>
    <w:rPr>
      <w:rFonts w:ascii="Georgia" w:hAnsi="Georgia" w:cs="Georgia"/>
      <w:sz w:val="28"/>
      <w:szCs w:val="20"/>
      <w:lang w:val="es-ES_tradnl" w:eastAsia="zh-CN"/>
    </w:rPr>
  </w:style>
  <w:style w:type="paragraph" w:customStyle="1" w:styleId="TtulodeTDC1">
    <w:name w:val="Título de TDC1"/>
    <w:basedOn w:val="Ttulo1"/>
    <w:next w:val="Normal"/>
    <w:qFormat/>
    <w:rsid w:val="0095645A"/>
    <w:pPr>
      <w:keepNext w:val="0"/>
      <w:pBdr>
        <w:top w:val="single" w:sz="24" w:space="0" w:color="4F81BD"/>
        <w:left w:val="single" w:sz="24" w:space="0" w:color="4F81BD"/>
        <w:bottom w:val="single" w:sz="24" w:space="0" w:color="4F81BD"/>
        <w:right w:val="single" w:sz="24" w:space="0" w:color="4F81BD"/>
      </w:pBdr>
      <w:shd w:val="clear" w:color="auto" w:fill="4F81BD"/>
      <w:suppressAutoHyphens w:val="0"/>
      <w:spacing w:before="0" w:after="0"/>
      <w:outlineLvl w:val="9"/>
    </w:pPr>
    <w:rPr>
      <w:rFonts w:cs="Times New Roman"/>
      <w:smallCaps/>
      <w:spacing w:val="15"/>
      <w:kern w:val="0"/>
      <w:sz w:val="28"/>
      <w:szCs w:val="22"/>
      <w:u w:val="none"/>
      <w:lang w:eastAsia="en-US" w:bidi="en-US"/>
    </w:rPr>
  </w:style>
  <w:style w:type="character" w:customStyle="1" w:styleId="s1">
    <w:name w:val="s1"/>
    <w:rsid w:val="0095645A"/>
  </w:style>
  <w:style w:type="paragraph" w:customStyle="1" w:styleId="paragraph">
    <w:name w:val="paragraph"/>
    <w:aliases w:val="Paragraph,PARAGRAPH,PG,pa,at"/>
    <w:basedOn w:val="Normal"/>
    <w:qFormat/>
    <w:rsid w:val="0095645A"/>
    <w:pPr>
      <w:suppressAutoHyphens w:val="0"/>
      <w:spacing w:before="100" w:beforeAutospacing="1" w:after="100" w:afterAutospacing="1"/>
    </w:pPr>
    <w:rPr>
      <w:lang w:val="es-CR" w:eastAsia="es-CR"/>
    </w:rPr>
  </w:style>
  <w:style w:type="character" w:customStyle="1" w:styleId="normaltextrun">
    <w:name w:val="normaltextrun"/>
    <w:qFormat/>
    <w:rsid w:val="0095645A"/>
  </w:style>
  <w:style w:type="character" w:customStyle="1" w:styleId="eop">
    <w:name w:val="eop"/>
    <w:qFormat/>
    <w:rsid w:val="0095645A"/>
  </w:style>
  <w:style w:type="table" w:customStyle="1" w:styleId="TableNormal">
    <w:name w:val="Table Normal"/>
    <w:unhideWhenUsed/>
    <w:qFormat/>
    <w:rsid w:val="0095645A"/>
    <w:rPr>
      <w:rFonts w:ascii="Liberation Serif" w:eastAsia="NSimSun" w:hAnsi="Liberation Serif" w:cs="Arial"/>
      <w:kern w:val="2"/>
      <w:szCs w:val="24"/>
      <w:lang w:val="es-CR" w:eastAsia="zh-CN" w:bidi="hi-IN"/>
    </w:rPr>
    <w:tblPr>
      <w:tblInd w:w="0" w:type="dxa"/>
      <w:tblCellMar>
        <w:top w:w="0" w:type="dxa"/>
        <w:left w:w="0" w:type="dxa"/>
        <w:bottom w:w="0" w:type="dxa"/>
        <w:right w:w="0" w:type="dxa"/>
      </w:tblCellMar>
    </w:tblPr>
  </w:style>
  <w:style w:type="paragraph" w:customStyle="1" w:styleId="Cierre1">
    <w:name w:val="Cierre1"/>
    <w:basedOn w:val="Normal"/>
    <w:rsid w:val="0095645A"/>
    <w:pPr>
      <w:widowControl w:val="0"/>
      <w:ind w:left="4252"/>
    </w:pPr>
    <w:rPr>
      <w:rFonts w:eastAsia="Arial" w:cs="Mangal"/>
      <w:kern w:val="1"/>
      <w:lang w:val="es-CR" w:eastAsia="zh-CN" w:bidi="hi-IN"/>
    </w:rPr>
  </w:style>
  <w:style w:type="paragraph" w:customStyle="1" w:styleId="Encabezado4">
    <w:name w:val="Encabezado 4"/>
    <w:next w:val="Standard0"/>
    <w:uiPriority w:val="99"/>
    <w:qFormat/>
    <w:rsid w:val="0095645A"/>
    <w:pPr>
      <w:keepNext/>
      <w:widowControl w:val="0"/>
      <w:autoSpaceDE w:val="0"/>
      <w:autoSpaceDN w:val="0"/>
      <w:adjustRightInd w:val="0"/>
      <w:jc w:val="center"/>
      <w:outlineLvl w:val="3"/>
    </w:pPr>
    <w:rPr>
      <w:b/>
      <w:bCs/>
      <w:sz w:val="32"/>
      <w:szCs w:val="32"/>
      <w:lang w:val="es-CR" w:eastAsia="es-CR"/>
    </w:rPr>
  </w:style>
  <w:style w:type="paragraph" w:customStyle="1" w:styleId="Encabezado6">
    <w:name w:val="Encabezado 6"/>
    <w:next w:val="Standard0"/>
    <w:qFormat/>
    <w:rsid w:val="0095645A"/>
    <w:pPr>
      <w:keepNext/>
      <w:widowControl w:val="0"/>
      <w:autoSpaceDE w:val="0"/>
      <w:autoSpaceDN w:val="0"/>
      <w:adjustRightInd w:val="0"/>
      <w:jc w:val="center"/>
      <w:outlineLvl w:val="5"/>
    </w:pPr>
    <w:rPr>
      <w:b/>
      <w:bCs/>
      <w:i/>
      <w:iCs/>
      <w:sz w:val="22"/>
      <w:szCs w:val="22"/>
      <w:u w:val="single"/>
      <w:lang w:val="es-CR" w:eastAsia="es-CR"/>
    </w:rPr>
  </w:style>
  <w:style w:type="paragraph" w:customStyle="1" w:styleId="Encabezado7">
    <w:name w:val="Encabezado 7"/>
    <w:next w:val="Standard0"/>
    <w:uiPriority w:val="99"/>
    <w:qFormat/>
    <w:rsid w:val="0095645A"/>
    <w:pPr>
      <w:keepNext/>
      <w:widowControl w:val="0"/>
      <w:autoSpaceDE w:val="0"/>
      <w:autoSpaceDN w:val="0"/>
      <w:adjustRightInd w:val="0"/>
      <w:jc w:val="center"/>
      <w:outlineLvl w:val="6"/>
    </w:pPr>
    <w:rPr>
      <w:b/>
      <w:bCs/>
      <w:sz w:val="22"/>
      <w:szCs w:val="22"/>
      <w:lang w:val="es-CR" w:eastAsia="es-CR"/>
    </w:rPr>
  </w:style>
  <w:style w:type="paragraph" w:customStyle="1" w:styleId="Encabezado8">
    <w:name w:val="Encabezado 8"/>
    <w:next w:val="Standard0"/>
    <w:uiPriority w:val="99"/>
    <w:qFormat/>
    <w:rsid w:val="0095645A"/>
    <w:pPr>
      <w:keepNext/>
      <w:widowControl w:val="0"/>
      <w:autoSpaceDE w:val="0"/>
      <w:autoSpaceDN w:val="0"/>
      <w:adjustRightInd w:val="0"/>
      <w:outlineLvl w:val="7"/>
    </w:pPr>
    <w:rPr>
      <w:b/>
      <w:bCs/>
      <w:lang w:val="es-CR" w:eastAsia="es-CR"/>
    </w:rPr>
  </w:style>
  <w:style w:type="paragraph" w:customStyle="1" w:styleId="Encabezado9">
    <w:name w:val="Encabezado 9"/>
    <w:next w:val="Standard0"/>
    <w:uiPriority w:val="99"/>
    <w:qFormat/>
    <w:rsid w:val="0095645A"/>
    <w:pPr>
      <w:keepNext/>
      <w:widowControl w:val="0"/>
      <w:autoSpaceDE w:val="0"/>
      <w:autoSpaceDN w:val="0"/>
      <w:adjustRightInd w:val="0"/>
      <w:ind w:left="360"/>
      <w:jc w:val="center"/>
      <w:outlineLvl w:val="8"/>
    </w:pPr>
    <w:rPr>
      <w:b/>
      <w:bCs/>
      <w:sz w:val="22"/>
      <w:szCs w:val="22"/>
      <w:u w:val="double"/>
      <w:lang w:val="es-CR" w:eastAsia="es-CR"/>
    </w:rPr>
  </w:style>
  <w:style w:type="character" w:styleId="AcrnimoHTML">
    <w:name w:val="HTML Acronym"/>
    <w:uiPriority w:val="99"/>
    <w:rsid w:val="0095645A"/>
  </w:style>
  <w:style w:type="character" w:customStyle="1" w:styleId="CarCar11">
    <w:name w:val="Car Car1"/>
    <w:qFormat/>
    <w:rsid w:val="0095645A"/>
  </w:style>
  <w:style w:type="character" w:customStyle="1" w:styleId="CarCar30">
    <w:name w:val="Car Car3"/>
    <w:qFormat/>
    <w:rsid w:val="0095645A"/>
    <w:rPr>
      <w:i/>
      <w:iCs/>
      <w:sz w:val="28"/>
      <w:szCs w:val="28"/>
    </w:rPr>
  </w:style>
  <w:style w:type="character" w:customStyle="1" w:styleId="RTFNum210">
    <w:name w:val="RTF_Num 2 10"/>
    <w:uiPriority w:val="99"/>
    <w:qFormat/>
    <w:rsid w:val="0095645A"/>
    <w:rPr>
      <w:color w:val="000000"/>
    </w:rPr>
  </w:style>
  <w:style w:type="character" w:customStyle="1" w:styleId="RTFNum29">
    <w:name w:val="RTF_Num 2 9"/>
    <w:qFormat/>
    <w:rsid w:val="0095645A"/>
    <w:rPr>
      <w:rFonts w:ascii="Wingdings" w:hAnsi="Wingdings" w:cs="Wingdings"/>
    </w:rPr>
  </w:style>
  <w:style w:type="character" w:customStyle="1" w:styleId="RTFNum28">
    <w:name w:val="RTF_Num 2 8"/>
    <w:qFormat/>
    <w:rsid w:val="0095645A"/>
    <w:rPr>
      <w:rFonts w:ascii="Courier New" w:hAnsi="Courier New" w:cs="Courier New"/>
    </w:rPr>
  </w:style>
  <w:style w:type="character" w:customStyle="1" w:styleId="RTFNum27">
    <w:name w:val="RTF_Num 2 7"/>
    <w:qFormat/>
    <w:rsid w:val="0095645A"/>
    <w:rPr>
      <w:rFonts w:ascii="Symbol" w:hAnsi="Symbol" w:cs="Symbol"/>
    </w:rPr>
  </w:style>
  <w:style w:type="character" w:customStyle="1" w:styleId="RTFNum26">
    <w:name w:val="RTF_Num 2 6"/>
    <w:qFormat/>
    <w:rsid w:val="0095645A"/>
    <w:rPr>
      <w:rFonts w:ascii="Wingdings" w:hAnsi="Wingdings" w:cs="Wingdings"/>
    </w:rPr>
  </w:style>
  <w:style w:type="character" w:customStyle="1" w:styleId="RTFNum25">
    <w:name w:val="RTF_Num 2 5"/>
    <w:qFormat/>
    <w:rsid w:val="0095645A"/>
    <w:rPr>
      <w:rFonts w:ascii="Courier New" w:hAnsi="Courier New" w:cs="Courier New"/>
    </w:rPr>
  </w:style>
  <w:style w:type="character" w:customStyle="1" w:styleId="RTFNum24">
    <w:name w:val="RTF_Num 2 4"/>
    <w:qFormat/>
    <w:rsid w:val="0095645A"/>
    <w:rPr>
      <w:rFonts w:ascii="Symbol" w:hAnsi="Symbol" w:cs="Symbol"/>
    </w:rPr>
  </w:style>
  <w:style w:type="character" w:customStyle="1" w:styleId="RTFNum23">
    <w:name w:val="RTF_Num 2 3"/>
    <w:qFormat/>
    <w:rsid w:val="0095645A"/>
    <w:rPr>
      <w:rFonts w:ascii="Wingdings" w:hAnsi="Wingdings" w:cs="Wingdings"/>
    </w:rPr>
  </w:style>
  <w:style w:type="character" w:customStyle="1" w:styleId="RTFNum22">
    <w:name w:val="RTF_Num 2 2"/>
    <w:qFormat/>
    <w:rsid w:val="0095645A"/>
    <w:rPr>
      <w:rFonts w:ascii="Courier New" w:hAnsi="Courier New" w:cs="Courier New"/>
    </w:rPr>
  </w:style>
  <w:style w:type="character" w:customStyle="1" w:styleId="RTFNum21">
    <w:name w:val="RTF_Num 2 1"/>
    <w:qFormat/>
    <w:rsid w:val="0095645A"/>
    <w:rPr>
      <w:rFonts w:ascii="Symbol" w:hAnsi="Symbol" w:cs="Symbol"/>
    </w:rPr>
  </w:style>
  <w:style w:type="character" w:customStyle="1" w:styleId="WW8Num8z3">
    <w:name w:val="WW8Num8z3"/>
    <w:qFormat/>
    <w:rsid w:val="0095645A"/>
    <w:rPr>
      <w:rFonts w:ascii="Symbol" w:hAnsi="Symbol" w:cs="Symbol"/>
    </w:rPr>
  </w:style>
  <w:style w:type="character" w:customStyle="1" w:styleId="WW8Num8z2">
    <w:name w:val="WW8Num8z2"/>
    <w:qFormat/>
    <w:rsid w:val="0095645A"/>
    <w:rPr>
      <w:rFonts w:ascii="Wingdings" w:hAnsi="Wingdings" w:cs="Wingdings"/>
    </w:rPr>
  </w:style>
  <w:style w:type="character" w:customStyle="1" w:styleId="WW8Num8z1">
    <w:name w:val="WW8Num8z1"/>
    <w:qFormat/>
    <w:rsid w:val="0095645A"/>
    <w:rPr>
      <w:rFonts w:ascii="Courier New" w:hAnsi="Courier New" w:cs="Courier New"/>
    </w:rPr>
  </w:style>
  <w:style w:type="character" w:customStyle="1" w:styleId="WW8Num7z3">
    <w:name w:val="WW8Num7z3"/>
    <w:qFormat/>
    <w:rsid w:val="0095645A"/>
    <w:rPr>
      <w:rFonts w:ascii="Symbol" w:hAnsi="Symbol" w:cs="Symbol"/>
    </w:rPr>
  </w:style>
  <w:style w:type="character" w:customStyle="1" w:styleId="WW8Num7z2">
    <w:name w:val="WW8Num7z2"/>
    <w:qFormat/>
    <w:rsid w:val="0095645A"/>
    <w:rPr>
      <w:rFonts w:ascii="Wingdings" w:hAnsi="Wingdings" w:cs="Wingdings"/>
    </w:rPr>
  </w:style>
  <w:style w:type="character" w:customStyle="1" w:styleId="WW8Num7z1">
    <w:name w:val="WW8Num7z1"/>
    <w:qFormat/>
    <w:rsid w:val="0095645A"/>
    <w:rPr>
      <w:rFonts w:ascii="Courier New" w:hAnsi="Courier New" w:cs="Courier New"/>
    </w:rPr>
  </w:style>
  <w:style w:type="character" w:customStyle="1" w:styleId="WW8Num6z3">
    <w:name w:val="WW8Num6z3"/>
    <w:qFormat/>
    <w:rsid w:val="0095645A"/>
    <w:rPr>
      <w:rFonts w:ascii="Symbol" w:hAnsi="Symbol" w:cs="Symbol"/>
    </w:rPr>
  </w:style>
  <w:style w:type="character" w:customStyle="1" w:styleId="WW8Num6z2">
    <w:name w:val="WW8Num6z2"/>
    <w:uiPriority w:val="99"/>
    <w:qFormat/>
    <w:rsid w:val="0095645A"/>
    <w:rPr>
      <w:rFonts w:ascii="Wingdings" w:hAnsi="Wingdings" w:cs="Wingdings"/>
    </w:rPr>
  </w:style>
  <w:style w:type="character" w:customStyle="1" w:styleId="WW8Num6z1">
    <w:name w:val="WW8Num6z1"/>
    <w:qFormat/>
    <w:rsid w:val="0095645A"/>
    <w:rPr>
      <w:rFonts w:ascii="Courier New" w:hAnsi="Courier New" w:cs="Courier New"/>
    </w:rPr>
  </w:style>
  <w:style w:type="character" w:customStyle="1" w:styleId="WW8Num5z3">
    <w:name w:val="WW8Num5z3"/>
    <w:qFormat/>
    <w:rsid w:val="0095645A"/>
    <w:rPr>
      <w:rFonts w:ascii="Symbol" w:hAnsi="Symbol" w:cs="Symbol"/>
    </w:rPr>
  </w:style>
  <w:style w:type="character" w:customStyle="1" w:styleId="WW8Num5z2">
    <w:name w:val="WW8Num5z2"/>
    <w:qFormat/>
    <w:rsid w:val="0095645A"/>
    <w:rPr>
      <w:rFonts w:ascii="Wingdings" w:hAnsi="Wingdings" w:cs="Wingdings"/>
    </w:rPr>
  </w:style>
  <w:style w:type="character" w:customStyle="1" w:styleId="WW8Num4z2">
    <w:name w:val="WW8Num4z2"/>
    <w:qFormat/>
    <w:rsid w:val="0095645A"/>
    <w:rPr>
      <w:rFonts w:ascii="Wingdings" w:hAnsi="Wingdings" w:cs="Wingdings"/>
    </w:rPr>
  </w:style>
  <w:style w:type="character" w:customStyle="1" w:styleId="WW8Num4z1">
    <w:name w:val="WW8Num4z1"/>
    <w:qFormat/>
    <w:rsid w:val="0095645A"/>
    <w:rPr>
      <w:rFonts w:ascii="Courier New" w:hAnsi="Courier New" w:cs="Courier New"/>
    </w:rPr>
  </w:style>
  <w:style w:type="character" w:customStyle="1" w:styleId="CarCar110">
    <w:name w:val="Car Car11"/>
    <w:qFormat/>
    <w:rsid w:val="0095645A"/>
    <w:rPr>
      <w:b/>
      <w:bCs/>
      <w:i/>
      <w:iCs/>
      <w:sz w:val="28"/>
      <w:szCs w:val="28"/>
      <w:u w:val="double"/>
    </w:rPr>
  </w:style>
  <w:style w:type="character" w:customStyle="1" w:styleId="CarCar12">
    <w:name w:val="Car Car12"/>
    <w:uiPriority w:val="99"/>
    <w:qFormat/>
    <w:rsid w:val="0095645A"/>
    <w:rPr>
      <w:b/>
      <w:bCs/>
    </w:rPr>
  </w:style>
  <w:style w:type="character" w:customStyle="1" w:styleId="WW8Num14z3">
    <w:name w:val="WW8Num14z3"/>
    <w:qFormat/>
    <w:rsid w:val="0095645A"/>
    <w:rPr>
      <w:rFonts w:ascii="Symbol" w:hAnsi="Symbol" w:cs="Symbol"/>
    </w:rPr>
  </w:style>
  <w:style w:type="character" w:customStyle="1" w:styleId="WW8Num14z2">
    <w:name w:val="WW8Num14z2"/>
    <w:qFormat/>
    <w:rsid w:val="0095645A"/>
    <w:rPr>
      <w:rFonts w:ascii="Wingdings" w:hAnsi="Wingdings" w:cs="Wingdings"/>
    </w:rPr>
  </w:style>
  <w:style w:type="character" w:customStyle="1" w:styleId="WW8Num14z1">
    <w:name w:val="WW8Num14z1"/>
    <w:qFormat/>
    <w:rsid w:val="0095645A"/>
    <w:rPr>
      <w:rFonts w:ascii="Courier New" w:hAnsi="Courier New" w:cs="Courier New"/>
    </w:rPr>
  </w:style>
  <w:style w:type="character" w:customStyle="1" w:styleId="WW8Num14z0">
    <w:name w:val="WW8Num14z0"/>
    <w:qFormat/>
    <w:rsid w:val="0095645A"/>
    <w:rPr>
      <w:rFonts w:ascii="Symbol" w:hAnsi="Symbol" w:cs="Symbol"/>
    </w:rPr>
  </w:style>
  <w:style w:type="character" w:customStyle="1" w:styleId="WW8Num13z3">
    <w:name w:val="WW8Num13z3"/>
    <w:qFormat/>
    <w:rsid w:val="0095645A"/>
    <w:rPr>
      <w:rFonts w:ascii="Symbol" w:hAnsi="Symbol" w:cs="Symbol"/>
    </w:rPr>
  </w:style>
  <w:style w:type="character" w:customStyle="1" w:styleId="WW8Num13z2">
    <w:name w:val="WW8Num13z2"/>
    <w:qFormat/>
    <w:rsid w:val="0095645A"/>
    <w:rPr>
      <w:rFonts w:ascii="Wingdings" w:hAnsi="Wingdings" w:cs="Wingdings"/>
    </w:rPr>
  </w:style>
  <w:style w:type="character" w:customStyle="1" w:styleId="WW8Num13z1">
    <w:name w:val="WW8Num13z1"/>
    <w:qFormat/>
    <w:rsid w:val="0095645A"/>
    <w:rPr>
      <w:rFonts w:ascii="Courier New" w:hAnsi="Courier New" w:cs="Courier New"/>
    </w:rPr>
  </w:style>
  <w:style w:type="character" w:customStyle="1" w:styleId="WW8Num13z0">
    <w:name w:val="WW8Num13z0"/>
    <w:qFormat/>
    <w:rsid w:val="0095645A"/>
    <w:rPr>
      <w:rFonts w:ascii="Symbol" w:hAnsi="Symbol" w:cs="Symbol"/>
    </w:rPr>
  </w:style>
  <w:style w:type="character" w:customStyle="1" w:styleId="WW8Num12z3">
    <w:name w:val="WW8Num12z3"/>
    <w:qFormat/>
    <w:rsid w:val="0095645A"/>
    <w:rPr>
      <w:rFonts w:ascii="Symbol" w:hAnsi="Symbol" w:cs="Symbol"/>
    </w:rPr>
  </w:style>
  <w:style w:type="character" w:customStyle="1" w:styleId="WW8Num12z2">
    <w:name w:val="WW8Num12z2"/>
    <w:qFormat/>
    <w:rsid w:val="0095645A"/>
    <w:rPr>
      <w:rFonts w:ascii="Wingdings" w:hAnsi="Wingdings" w:cs="Wingdings"/>
    </w:rPr>
  </w:style>
  <w:style w:type="character" w:customStyle="1" w:styleId="WW8Num12z1">
    <w:name w:val="WW8Num12z1"/>
    <w:qFormat/>
    <w:rsid w:val="0095645A"/>
    <w:rPr>
      <w:rFonts w:ascii="Courier New" w:hAnsi="Courier New" w:cs="Courier New"/>
    </w:rPr>
  </w:style>
  <w:style w:type="character" w:customStyle="1" w:styleId="WW8Num12z0">
    <w:name w:val="WW8Num12z0"/>
    <w:qFormat/>
    <w:rsid w:val="0095645A"/>
    <w:rPr>
      <w:rFonts w:ascii="Symbol" w:hAnsi="Symbol" w:cs="Symbol"/>
    </w:rPr>
  </w:style>
  <w:style w:type="character" w:customStyle="1" w:styleId="WW8Num11z8">
    <w:name w:val="WW8Num11z8"/>
    <w:qFormat/>
    <w:rsid w:val="0095645A"/>
  </w:style>
  <w:style w:type="character" w:customStyle="1" w:styleId="WW8Num11z7">
    <w:name w:val="WW8Num11z7"/>
    <w:qFormat/>
    <w:rsid w:val="0095645A"/>
  </w:style>
  <w:style w:type="character" w:customStyle="1" w:styleId="WW8Num11z6">
    <w:name w:val="WW8Num11z6"/>
    <w:qFormat/>
    <w:rsid w:val="0095645A"/>
  </w:style>
  <w:style w:type="character" w:customStyle="1" w:styleId="WW8Num11z5">
    <w:name w:val="WW8Num11z5"/>
    <w:qFormat/>
    <w:rsid w:val="0095645A"/>
  </w:style>
  <w:style w:type="character" w:customStyle="1" w:styleId="WW8Num11z4">
    <w:name w:val="WW8Num11z4"/>
    <w:qFormat/>
    <w:rsid w:val="0095645A"/>
  </w:style>
  <w:style w:type="character" w:customStyle="1" w:styleId="WW8Num11z3">
    <w:name w:val="WW8Num11z3"/>
    <w:qFormat/>
    <w:rsid w:val="0095645A"/>
  </w:style>
  <w:style w:type="character" w:customStyle="1" w:styleId="WW8Num11z2">
    <w:name w:val="WW8Num11z2"/>
    <w:qFormat/>
    <w:rsid w:val="0095645A"/>
  </w:style>
  <w:style w:type="character" w:customStyle="1" w:styleId="WW8Num11z1">
    <w:name w:val="WW8Num11z1"/>
    <w:qFormat/>
    <w:rsid w:val="0095645A"/>
  </w:style>
  <w:style w:type="character" w:customStyle="1" w:styleId="WW8Num11z0">
    <w:name w:val="WW8Num11z0"/>
    <w:qFormat/>
    <w:rsid w:val="0095645A"/>
    <w:rPr>
      <w:rFonts w:ascii="Calibri" w:hAnsi="Calibri" w:cs="Calibri"/>
    </w:rPr>
  </w:style>
  <w:style w:type="character" w:customStyle="1" w:styleId="WW8Num10z0">
    <w:name w:val="WW8Num10z0"/>
    <w:qFormat/>
    <w:rsid w:val="0095645A"/>
    <w:rPr>
      <w:rFonts w:ascii="Symbol" w:hAnsi="Symbol" w:cs="Symbol"/>
    </w:rPr>
  </w:style>
  <w:style w:type="character" w:customStyle="1" w:styleId="WW8Num9z0">
    <w:name w:val="WW8Num9z0"/>
    <w:qFormat/>
    <w:rsid w:val="0095645A"/>
  </w:style>
  <w:style w:type="character" w:customStyle="1" w:styleId="WW8Num8z0">
    <w:name w:val="WW8Num8z0"/>
    <w:qFormat/>
    <w:rsid w:val="0095645A"/>
    <w:rPr>
      <w:rFonts w:ascii="Symbol" w:hAnsi="Symbol" w:cs="Symbol"/>
    </w:rPr>
  </w:style>
  <w:style w:type="character" w:customStyle="1" w:styleId="Fuentedeprrafopredeter5">
    <w:name w:val="Fuente de párrafo predeter.5"/>
    <w:qFormat/>
    <w:rsid w:val="0095645A"/>
  </w:style>
  <w:style w:type="character" w:customStyle="1" w:styleId="WW8Num3z8">
    <w:name w:val="WW8Num3z8"/>
    <w:qFormat/>
    <w:rsid w:val="0095645A"/>
  </w:style>
  <w:style w:type="character" w:customStyle="1" w:styleId="WW8Num3z7">
    <w:name w:val="WW8Num3z7"/>
    <w:qFormat/>
    <w:rsid w:val="0095645A"/>
  </w:style>
  <w:style w:type="character" w:customStyle="1" w:styleId="WW8Num3z6">
    <w:name w:val="WW8Num3z6"/>
    <w:qFormat/>
    <w:rsid w:val="0095645A"/>
  </w:style>
  <w:style w:type="character" w:customStyle="1" w:styleId="WW8Num3z5">
    <w:name w:val="WW8Num3z5"/>
    <w:qFormat/>
    <w:rsid w:val="0095645A"/>
  </w:style>
  <w:style w:type="character" w:customStyle="1" w:styleId="WW8Num3z4">
    <w:name w:val="WW8Num3z4"/>
    <w:qFormat/>
    <w:rsid w:val="0095645A"/>
  </w:style>
  <w:style w:type="character" w:customStyle="1" w:styleId="WW8Num3z3">
    <w:name w:val="WW8Num3z3"/>
    <w:qFormat/>
    <w:rsid w:val="0095645A"/>
  </w:style>
  <w:style w:type="character" w:customStyle="1" w:styleId="WW8Num3z2">
    <w:name w:val="WW8Num3z2"/>
    <w:qFormat/>
    <w:rsid w:val="0095645A"/>
  </w:style>
  <w:style w:type="character" w:customStyle="1" w:styleId="WW8Num3z1">
    <w:name w:val="WW8Num3z1"/>
    <w:qFormat/>
    <w:rsid w:val="0095645A"/>
  </w:style>
  <w:style w:type="character" w:customStyle="1" w:styleId="WW8Num7z0">
    <w:name w:val="WW8Num7z0"/>
    <w:qFormat/>
    <w:rsid w:val="0095645A"/>
  </w:style>
  <w:style w:type="character" w:customStyle="1" w:styleId="WW8Num6z0">
    <w:name w:val="WW8Num6z0"/>
    <w:qFormat/>
    <w:rsid w:val="0095645A"/>
  </w:style>
  <w:style w:type="character" w:customStyle="1" w:styleId="WW8Num5z1">
    <w:name w:val="WW8Num5z1"/>
    <w:qFormat/>
    <w:rsid w:val="0095645A"/>
  </w:style>
  <w:style w:type="character" w:customStyle="1" w:styleId="WW8Num5z0">
    <w:name w:val="WW8Num5z0"/>
    <w:qFormat/>
    <w:rsid w:val="0095645A"/>
  </w:style>
  <w:style w:type="character" w:customStyle="1" w:styleId="WW8Num4z0">
    <w:name w:val="WW8Num4z0"/>
    <w:qFormat/>
    <w:rsid w:val="0095645A"/>
  </w:style>
  <w:style w:type="character" w:customStyle="1" w:styleId="WW8Num3z0">
    <w:name w:val="WW8Num3z0"/>
    <w:qFormat/>
    <w:rsid w:val="0095645A"/>
  </w:style>
  <w:style w:type="paragraph" w:styleId="Cita">
    <w:name w:val="Quote"/>
    <w:basedOn w:val="Normal"/>
    <w:link w:val="CitaCar"/>
    <w:qFormat/>
    <w:rsid w:val="0095645A"/>
    <w:pPr>
      <w:widowControl w:val="0"/>
      <w:suppressAutoHyphens w:val="0"/>
      <w:autoSpaceDE w:val="0"/>
      <w:autoSpaceDN w:val="0"/>
      <w:adjustRightInd w:val="0"/>
      <w:spacing w:after="283"/>
      <w:ind w:left="567" w:right="567"/>
    </w:pPr>
    <w:rPr>
      <w:rFonts w:ascii="Arial" w:hAnsi="Arial" w:cs="Arial"/>
      <w:lang w:val="es-CR" w:eastAsia="es-CR"/>
    </w:rPr>
  </w:style>
  <w:style w:type="character" w:customStyle="1" w:styleId="CitaCar">
    <w:name w:val="Cita Car"/>
    <w:basedOn w:val="Fuentedeprrafopredeter"/>
    <w:link w:val="Cita"/>
    <w:qFormat/>
    <w:rsid w:val="0095645A"/>
    <w:rPr>
      <w:rFonts w:ascii="Arial" w:hAnsi="Arial" w:cs="Arial"/>
      <w:sz w:val="24"/>
      <w:szCs w:val="24"/>
      <w:lang w:val="es-CR" w:eastAsia="es-CR"/>
    </w:rPr>
  </w:style>
  <w:style w:type="paragraph" w:customStyle="1" w:styleId="Encabezamiento">
    <w:name w:val="Encabezamiento"/>
    <w:qFormat/>
    <w:rsid w:val="0095645A"/>
    <w:pPr>
      <w:widowControl w:val="0"/>
      <w:autoSpaceDE w:val="0"/>
      <w:autoSpaceDN w:val="0"/>
      <w:adjustRightInd w:val="0"/>
    </w:pPr>
    <w:rPr>
      <w:rFonts w:ascii="Arial" w:hAnsi="Arial" w:cs="Arial"/>
      <w:sz w:val="24"/>
      <w:szCs w:val="24"/>
      <w:lang w:val="es-CR" w:eastAsia="es-CR"/>
    </w:rPr>
  </w:style>
  <w:style w:type="paragraph" w:customStyle="1" w:styleId="Framecontents0">
    <w:name w:val="Frame contents"/>
    <w:rsid w:val="0095645A"/>
    <w:pPr>
      <w:widowControl w:val="0"/>
      <w:autoSpaceDE w:val="0"/>
      <w:autoSpaceDN w:val="0"/>
      <w:adjustRightInd w:val="0"/>
      <w:jc w:val="both"/>
    </w:pPr>
    <w:rPr>
      <w:color w:val="993300"/>
      <w:sz w:val="22"/>
      <w:szCs w:val="22"/>
      <w:lang w:val="es-CR" w:eastAsia="es-CR"/>
    </w:rPr>
  </w:style>
  <w:style w:type="paragraph" w:customStyle="1" w:styleId="WW-TableHeading1">
    <w:name w:val="WW-Table Heading1"/>
    <w:uiPriority w:val="99"/>
    <w:qFormat/>
    <w:rsid w:val="0095645A"/>
    <w:pPr>
      <w:widowControl w:val="0"/>
      <w:autoSpaceDE w:val="0"/>
      <w:autoSpaceDN w:val="0"/>
      <w:adjustRightInd w:val="0"/>
      <w:jc w:val="center"/>
    </w:pPr>
    <w:rPr>
      <w:b/>
      <w:bCs/>
      <w:sz w:val="22"/>
      <w:szCs w:val="22"/>
      <w:lang w:val="es-CR" w:eastAsia="es-CR"/>
    </w:rPr>
  </w:style>
  <w:style w:type="paragraph" w:customStyle="1" w:styleId="WW-TableContents10">
    <w:name w:val="WW-Table Contents1"/>
    <w:uiPriority w:val="99"/>
    <w:qFormat/>
    <w:rsid w:val="0095645A"/>
    <w:pPr>
      <w:widowControl w:val="0"/>
      <w:autoSpaceDE w:val="0"/>
      <w:autoSpaceDN w:val="0"/>
      <w:adjustRightInd w:val="0"/>
    </w:pPr>
    <w:rPr>
      <w:sz w:val="22"/>
      <w:szCs w:val="22"/>
      <w:lang w:val="es-CR" w:eastAsia="es-CR"/>
    </w:rPr>
  </w:style>
  <w:style w:type="paragraph" w:customStyle="1" w:styleId="WW-footer1">
    <w:name w:val="WW-footer1"/>
    <w:uiPriority w:val="99"/>
    <w:qFormat/>
    <w:rsid w:val="0095645A"/>
    <w:pPr>
      <w:widowControl w:val="0"/>
      <w:autoSpaceDE w:val="0"/>
      <w:autoSpaceDN w:val="0"/>
      <w:adjustRightInd w:val="0"/>
    </w:pPr>
    <w:rPr>
      <w:sz w:val="22"/>
      <w:szCs w:val="22"/>
      <w:lang w:val="es-CR" w:eastAsia="es-CR"/>
    </w:rPr>
  </w:style>
  <w:style w:type="paragraph" w:customStyle="1" w:styleId="WW-TableHeading">
    <w:name w:val="WW-Table Heading"/>
    <w:uiPriority w:val="99"/>
    <w:qFormat/>
    <w:rsid w:val="0095645A"/>
    <w:pPr>
      <w:widowControl w:val="0"/>
      <w:autoSpaceDE w:val="0"/>
      <w:autoSpaceDN w:val="0"/>
      <w:adjustRightInd w:val="0"/>
      <w:jc w:val="center"/>
    </w:pPr>
    <w:rPr>
      <w:b/>
      <w:bCs/>
      <w:sz w:val="22"/>
      <w:szCs w:val="22"/>
      <w:lang w:val="es-CR" w:eastAsia="es-CR"/>
    </w:rPr>
  </w:style>
  <w:style w:type="paragraph" w:customStyle="1" w:styleId="WW-TableContents">
    <w:name w:val="WW-Table Contents"/>
    <w:uiPriority w:val="99"/>
    <w:qFormat/>
    <w:rsid w:val="0095645A"/>
    <w:pPr>
      <w:widowControl w:val="0"/>
      <w:autoSpaceDE w:val="0"/>
      <w:autoSpaceDN w:val="0"/>
      <w:adjustRightInd w:val="0"/>
    </w:pPr>
    <w:rPr>
      <w:sz w:val="22"/>
      <w:szCs w:val="22"/>
      <w:lang w:val="es-CR" w:eastAsia="es-CR"/>
    </w:rPr>
  </w:style>
  <w:style w:type="paragraph" w:customStyle="1" w:styleId="WW-footer">
    <w:name w:val="WW-footer"/>
    <w:uiPriority w:val="99"/>
    <w:qFormat/>
    <w:rsid w:val="0095645A"/>
    <w:pPr>
      <w:widowControl w:val="0"/>
      <w:autoSpaceDE w:val="0"/>
      <w:autoSpaceDN w:val="0"/>
      <w:adjustRightInd w:val="0"/>
    </w:pPr>
    <w:rPr>
      <w:sz w:val="22"/>
      <w:szCs w:val="22"/>
      <w:lang w:val="es-CR" w:eastAsia="es-CR"/>
    </w:rPr>
  </w:style>
  <w:style w:type="paragraph" w:customStyle="1" w:styleId="Framecontentsuser">
    <w:name w:val="Frame contents (user)"/>
    <w:uiPriority w:val="99"/>
    <w:rsid w:val="0095645A"/>
    <w:pPr>
      <w:widowControl w:val="0"/>
      <w:autoSpaceDE w:val="0"/>
      <w:autoSpaceDN w:val="0"/>
      <w:adjustRightInd w:val="0"/>
      <w:jc w:val="both"/>
    </w:pPr>
    <w:rPr>
      <w:color w:val="993300"/>
      <w:sz w:val="22"/>
      <w:szCs w:val="22"/>
      <w:lang w:val="es-CR" w:eastAsia="es-CR"/>
    </w:rPr>
  </w:style>
  <w:style w:type="paragraph" w:customStyle="1" w:styleId="TableHeadinguser">
    <w:name w:val="Table Heading (user)"/>
    <w:uiPriority w:val="99"/>
    <w:rsid w:val="0095645A"/>
    <w:pPr>
      <w:widowControl w:val="0"/>
      <w:autoSpaceDE w:val="0"/>
      <w:autoSpaceDN w:val="0"/>
      <w:adjustRightInd w:val="0"/>
      <w:jc w:val="center"/>
    </w:pPr>
    <w:rPr>
      <w:b/>
      <w:bCs/>
      <w:sz w:val="22"/>
      <w:szCs w:val="22"/>
      <w:lang w:val="es-CR" w:eastAsia="es-CR"/>
    </w:rPr>
  </w:style>
  <w:style w:type="paragraph" w:customStyle="1" w:styleId="Textbodyindent">
    <w:name w:val="Text body indent"/>
    <w:uiPriority w:val="99"/>
    <w:qFormat/>
    <w:rsid w:val="0095645A"/>
    <w:pPr>
      <w:widowControl w:val="0"/>
      <w:autoSpaceDE w:val="0"/>
      <w:autoSpaceDN w:val="0"/>
      <w:adjustRightInd w:val="0"/>
      <w:jc w:val="both"/>
    </w:pPr>
    <w:rPr>
      <w:rFonts w:ascii="Arial" w:hAnsi="Arial" w:cs="Arial"/>
      <w:color w:val="000000"/>
      <w:sz w:val="19"/>
      <w:szCs w:val="19"/>
      <w:lang w:val="es-CR" w:eastAsia="es-CR"/>
    </w:rPr>
  </w:style>
  <w:style w:type="paragraph" w:customStyle="1" w:styleId="WW-Index1">
    <w:name w:val="WW-Index1"/>
    <w:uiPriority w:val="99"/>
    <w:qFormat/>
    <w:rsid w:val="0095645A"/>
    <w:pPr>
      <w:widowControl w:val="0"/>
      <w:autoSpaceDE w:val="0"/>
      <w:autoSpaceDN w:val="0"/>
      <w:adjustRightInd w:val="0"/>
    </w:pPr>
    <w:rPr>
      <w:sz w:val="22"/>
      <w:szCs w:val="22"/>
      <w:lang w:val="es-CR" w:eastAsia="es-CR"/>
    </w:rPr>
  </w:style>
  <w:style w:type="paragraph" w:customStyle="1" w:styleId="WW-caption1">
    <w:name w:val="WW-caption1"/>
    <w:uiPriority w:val="99"/>
    <w:qFormat/>
    <w:rsid w:val="0095645A"/>
    <w:pPr>
      <w:widowControl w:val="0"/>
      <w:autoSpaceDE w:val="0"/>
      <w:autoSpaceDN w:val="0"/>
      <w:adjustRightInd w:val="0"/>
      <w:spacing w:before="120" w:after="120"/>
    </w:pPr>
    <w:rPr>
      <w:i/>
      <w:iCs/>
      <w:sz w:val="24"/>
      <w:szCs w:val="24"/>
      <w:lang w:val="es-CR" w:eastAsia="es-CR"/>
    </w:rPr>
  </w:style>
  <w:style w:type="paragraph" w:customStyle="1" w:styleId="WW-Heading1">
    <w:name w:val="WW-Heading1"/>
    <w:next w:val="Textbody"/>
    <w:uiPriority w:val="99"/>
    <w:qFormat/>
    <w:rsid w:val="0095645A"/>
    <w:pPr>
      <w:keepNext/>
      <w:widowControl w:val="0"/>
      <w:autoSpaceDE w:val="0"/>
      <w:autoSpaceDN w:val="0"/>
      <w:adjustRightInd w:val="0"/>
      <w:spacing w:before="240" w:after="120"/>
    </w:pPr>
    <w:rPr>
      <w:rFonts w:ascii="Arial" w:hAnsi="Arial" w:cs="Arial"/>
      <w:sz w:val="28"/>
      <w:szCs w:val="28"/>
      <w:lang w:val="es-CR" w:eastAsia="es-CR"/>
    </w:rPr>
  </w:style>
  <w:style w:type="paragraph" w:customStyle="1" w:styleId="WW-Index">
    <w:name w:val="WW-Index"/>
    <w:uiPriority w:val="99"/>
    <w:qFormat/>
    <w:rsid w:val="0095645A"/>
    <w:pPr>
      <w:widowControl w:val="0"/>
      <w:autoSpaceDE w:val="0"/>
      <w:autoSpaceDN w:val="0"/>
      <w:adjustRightInd w:val="0"/>
    </w:pPr>
    <w:rPr>
      <w:sz w:val="22"/>
      <w:szCs w:val="22"/>
      <w:lang w:val="es-CR" w:eastAsia="es-CR"/>
    </w:rPr>
  </w:style>
  <w:style w:type="paragraph" w:customStyle="1" w:styleId="WW-caption">
    <w:name w:val="WW-caption"/>
    <w:uiPriority w:val="99"/>
    <w:qFormat/>
    <w:rsid w:val="0095645A"/>
    <w:pPr>
      <w:widowControl w:val="0"/>
      <w:autoSpaceDE w:val="0"/>
      <w:autoSpaceDN w:val="0"/>
      <w:adjustRightInd w:val="0"/>
      <w:spacing w:before="120" w:after="120"/>
    </w:pPr>
    <w:rPr>
      <w:i/>
      <w:iCs/>
      <w:sz w:val="24"/>
      <w:szCs w:val="24"/>
      <w:lang w:val="es-CR" w:eastAsia="es-CR"/>
    </w:rPr>
  </w:style>
  <w:style w:type="paragraph" w:customStyle="1" w:styleId="WW-Heading">
    <w:name w:val="WW-Heading"/>
    <w:next w:val="Textbody"/>
    <w:uiPriority w:val="99"/>
    <w:qFormat/>
    <w:rsid w:val="0095645A"/>
    <w:pPr>
      <w:keepNext/>
      <w:widowControl w:val="0"/>
      <w:autoSpaceDE w:val="0"/>
      <w:autoSpaceDN w:val="0"/>
      <w:adjustRightInd w:val="0"/>
      <w:spacing w:before="240" w:after="120"/>
    </w:pPr>
    <w:rPr>
      <w:rFonts w:ascii="Arial" w:hAnsi="Arial" w:cs="Arial"/>
      <w:sz w:val="28"/>
      <w:szCs w:val="28"/>
      <w:lang w:val="es-CR" w:eastAsia="es-CR"/>
    </w:rPr>
  </w:style>
  <w:style w:type="paragraph" w:customStyle="1" w:styleId="Indexuser">
    <w:name w:val="Index (user)"/>
    <w:uiPriority w:val="99"/>
    <w:rsid w:val="0095645A"/>
    <w:pPr>
      <w:widowControl w:val="0"/>
      <w:autoSpaceDE w:val="0"/>
      <w:autoSpaceDN w:val="0"/>
      <w:adjustRightInd w:val="0"/>
    </w:pPr>
    <w:rPr>
      <w:sz w:val="22"/>
      <w:szCs w:val="22"/>
      <w:lang w:val="es-CR" w:eastAsia="es-CR"/>
    </w:rPr>
  </w:style>
  <w:style w:type="paragraph" w:customStyle="1" w:styleId="Headinguser">
    <w:name w:val="Heading (user)"/>
    <w:next w:val="Textbody"/>
    <w:uiPriority w:val="99"/>
    <w:rsid w:val="0095645A"/>
    <w:pPr>
      <w:keepNext/>
      <w:widowControl w:val="0"/>
      <w:autoSpaceDE w:val="0"/>
      <w:autoSpaceDN w:val="0"/>
      <w:adjustRightInd w:val="0"/>
      <w:spacing w:before="240" w:after="120"/>
    </w:pPr>
    <w:rPr>
      <w:rFonts w:ascii="Arial" w:hAnsi="Arial" w:cs="Arial"/>
      <w:sz w:val="28"/>
      <w:szCs w:val="28"/>
      <w:lang w:val="es-CR" w:eastAsia="es-CR"/>
    </w:rPr>
  </w:style>
  <w:style w:type="paragraph" w:customStyle="1" w:styleId="Index">
    <w:name w:val="Index"/>
    <w:qFormat/>
    <w:rsid w:val="0095645A"/>
    <w:pPr>
      <w:widowControl w:val="0"/>
      <w:autoSpaceDE w:val="0"/>
      <w:autoSpaceDN w:val="0"/>
      <w:adjustRightInd w:val="0"/>
    </w:pPr>
    <w:rPr>
      <w:sz w:val="22"/>
      <w:szCs w:val="22"/>
      <w:lang w:val="es-CR" w:eastAsia="es-CR"/>
    </w:rPr>
  </w:style>
  <w:style w:type="paragraph" w:customStyle="1" w:styleId="Heading">
    <w:name w:val="Heading"/>
    <w:qFormat/>
    <w:rsid w:val="0095645A"/>
    <w:pPr>
      <w:widowControl w:val="0"/>
      <w:autoSpaceDE w:val="0"/>
      <w:autoSpaceDN w:val="0"/>
      <w:adjustRightInd w:val="0"/>
    </w:pPr>
    <w:rPr>
      <w:sz w:val="22"/>
      <w:szCs w:val="22"/>
      <w:lang w:val="es-CR" w:eastAsia="es-CR"/>
    </w:rPr>
  </w:style>
  <w:style w:type="paragraph" w:customStyle="1" w:styleId="Epgrafe4">
    <w:name w:val="Epígrafe4"/>
    <w:uiPriority w:val="99"/>
    <w:qFormat/>
    <w:rsid w:val="0095645A"/>
    <w:pPr>
      <w:widowControl w:val="0"/>
      <w:autoSpaceDE w:val="0"/>
      <w:autoSpaceDN w:val="0"/>
      <w:adjustRightInd w:val="0"/>
      <w:spacing w:before="120" w:after="120"/>
    </w:pPr>
    <w:rPr>
      <w:rFonts w:ascii="Arial" w:hAnsi="Arial" w:cs="Arial"/>
      <w:i/>
      <w:iCs/>
      <w:sz w:val="24"/>
      <w:szCs w:val="24"/>
      <w:lang w:val="es-CR" w:eastAsia="es-CR"/>
    </w:rPr>
  </w:style>
  <w:style w:type="paragraph" w:customStyle="1" w:styleId="Encabezado40">
    <w:name w:val="Encabezado4"/>
    <w:next w:val="Cuerpodetexto"/>
    <w:qFormat/>
    <w:rsid w:val="0095645A"/>
    <w:pPr>
      <w:keepNext/>
      <w:widowControl w:val="0"/>
      <w:autoSpaceDE w:val="0"/>
      <w:autoSpaceDN w:val="0"/>
      <w:adjustRightInd w:val="0"/>
      <w:spacing w:before="240" w:after="120"/>
      <w:jc w:val="center"/>
    </w:pPr>
    <w:rPr>
      <w:rFonts w:ascii="Arial" w:hAnsi="Arial" w:cs="Arial"/>
      <w:b/>
      <w:bCs/>
      <w:sz w:val="56"/>
      <w:szCs w:val="56"/>
      <w:lang w:val="es-CR" w:eastAsia="es-CR"/>
    </w:rPr>
  </w:style>
  <w:style w:type="paragraph" w:customStyle="1" w:styleId="Encabezado5">
    <w:name w:val="Encabezado5"/>
    <w:next w:val="Cuerpodetexto"/>
    <w:qFormat/>
    <w:rsid w:val="0095645A"/>
    <w:pPr>
      <w:keepNext/>
      <w:widowControl w:val="0"/>
      <w:autoSpaceDE w:val="0"/>
      <w:autoSpaceDN w:val="0"/>
      <w:adjustRightInd w:val="0"/>
      <w:spacing w:before="240" w:after="120"/>
    </w:pPr>
    <w:rPr>
      <w:rFonts w:ascii="Arial" w:hAnsi="Arial" w:cs="Arial"/>
      <w:sz w:val="28"/>
      <w:szCs w:val="28"/>
      <w:lang w:val="es-CR" w:eastAsia="es-CR"/>
    </w:rPr>
  </w:style>
  <w:style w:type="paragraph" w:customStyle="1" w:styleId="Leyenda">
    <w:name w:val="Leyenda"/>
    <w:uiPriority w:val="99"/>
    <w:qFormat/>
    <w:rsid w:val="0095645A"/>
    <w:pPr>
      <w:widowControl w:val="0"/>
      <w:autoSpaceDE w:val="0"/>
      <w:autoSpaceDN w:val="0"/>
      <w:adjustRightInd w:val="0"/>
      <w:spacing w:before="120" w:after="120"/>
    </w:pPr>
    <w:rPr>
      <w:rFonts w:ascii="Arial" w:hAnsi="Arial" w:cs="Arial"/>
      <w:i/>
      <w:iCs/>
      <w:sz w:val="24"/>
      <w:szCs w:val="24"/>
      <w:lang w:val="es-CR" w:eastAsia="es-CR"/>
    </w:rPr>
  </w:style>
  <w:style w:type="paragraph" w:customStyle="1" w:styleId="Standarduser">
    <w:name w:val="Standard (user)"/>
    <w:rsid w:val="0095645A"/>
    <w:pPr>
      <w:widowControl w:val="0"/>
      <w:suppressAutoHyphens/>
      <w:autoSpaceDE w:val="0"/>
      <w:autoSpaceDN w:val="0"/>
      <w:textAlignment w:val="baseline"/>
    </w:pPr>
    <w:rPr>
      <w:rFonts w:ascii="Book Antiqua" w:eastAsia="Book Antiqua" w:hAnsi="Book Antiqua" w:cs="Book Antiqua"/>
      <w:kern w:val="3"/>
      <w:sz w:val="22"/>
      <w:szCs w:val="22"/>
      <w:lang w:val="es-CR" w:eastAsia="zh-CN" w:bidi="es-CR"/>
    </w:rPr>
  </w:style>
  <w:style w:type="character" w:customStyle="1" w:styleId="WW8Num4z3">
    <w:name w:val="WW8Num4z3"/>
    <w:qFormat/>
    <w:rsid w:val="0095645A"/>
  </w:style>
  <w:style w:type="character" w:customStyle="1" w:styleId="WW8Num4z4">
    <w:name w:val="WW8Num4z4"/>
    <w:qFormat/>
    <w:rsid w:val="0095645A"/>
  </w:style>
  <w:style w:type="character" w:customStyle="1" w:styleId="WW8Num4z5">
    <w:name w:val="WW8Num4z5"/>
    <w:qFormat/>
    <w:rsid w:val="0095645A"/>
  </w:style>
  <w:style w:type="character" w:customStyle="1" w:styleId="WW8Num4z6">
    <w:name w:val="WW8Num4z6"/>
    <w:qFormat/>
    <w:rsid w:val="0095645A"/>
  </w:style>
  <w:style w:type="character" w:customStyle="1" w:styleId="WW8Num4z7">
    <w:name w:val="WW8Num4z7"/>
    <w:qFormat/>
    <w:rsid w:val="0095645A"/>
  </w:style>
  <w:style w:type="character" w:customStyle="1" w:styleId="WW8Num4z8">
    <w:name w:val="WW8Num4z8"/>
    <w:qFormat/>
    <w:rsid w:val="0095645A"/>
  </w:style>
  <w:style w:type="character" w:customStyle="1" w:styleId="Fuentedeprrafopredeter6">
    <w:name w:val="Fuente de párrafo predeter.6"/>
    <w:qFormat/>
    <w:rsid w:val="0095645A"/>
  </w:style>
  <w:style w:type="paragraph" w:customStyle="1" w:styleId="Ttulo11">
    <w:name w:val="Título 11"/>
    <w:next w:val="Normal"/>
    <w:qFormat/>
    <w:rsid w:val="0095645A"/>
    <w:pPr>
      <w:keepNext/>
      <w:widowControl w:val="0"/>
      <w:suppressAutoHyphens/>
      <w:autoSpaceDE w:val="0"/>
      <w:jc w:val="center"/>
    </w:pPr>
    <w:rPr>
      <w:b/>
      <w:bCs/>
      <w:sz w:val="22"/>
      <w:szCs w:val="22"/>
      <w:lang w:val="es-CR" w:eastAsia="zh-CN" w:bidi="es-CR"/>
    </w:rPr>
  </w:style>
  <w:style w:type="paragraph" w:customStyle="1" w:styleId="Ttulo22">
    <w:name w:val="Título 22"/>
    <w:next w:val="Normal"/>
    <w:uiPriority w:val="99"/>
    <w:rsid w:val="0095645A"/>
    <w:pPr>
      <w:keepNext/>
      <w:widowControl w:val="0"/>
      <w:suppressAutoHyphens/>
      <w:autoSpaceDE w:val="0"/>
      <w:spacing w:before="240" w:after="60" w:line="0" w:lineRule="atLeast"/>
      <w:jc w:val="center"/>
    </w:pPr>
    <w:rPr>
      <w:rFonts w:ascii="Book Antiqua" w:eastAsia="Book Antiqua" w:hAnsi="Book Antiqua" w:cs="Book Antiqua"/>
      <w:b/>
      <w:bCs/>
      <w:i/>
      <w:iCs/>
      <w:sz w:val="28"/>
      <w:szCs w:val="28"/>
      <w:u w:val="double"/>
      <w:lang w:val="es-CR" w:eastAsia="zh-CN" w:bidi="es-CR"/>
    </w:rPr>
  </w:style>
  <w:style w:type="paragraph" w:customStyle="1" w:styleId="Ttulo32">
    <w:name w:val="Título 32"/>
    <w:next w:val="Normal"/>
    <w:uiPriority w:val="99"/>
    <w:rsid w:val="0095645A"/>
    <w:pPr>
      <w:keepNext/>
      <w:widowControl w:val="0"/>
      <w:suppressAutoHyphens/>
      <w:autoSpaceDE w:val="0"/>
      <w:spacing w:before="240" w:after="60" w:line="0" w:lineRule="atLeast"/>
      <w:jc w:val="center"/>
    </w:pPr>
    <w:rPr>
      <w:rFonts w:ascii="Book Antiqua" w:eastAsia="Book Antiqua" w:hAnsi="Book Antiqua" w:cs="Book Antiqua"/>
      <w:b/>
      <w:bCs/>
      <w:i/>
      <w:iCs/>
      <w:sz w:val="24"/>
      <w:szCs w:val="24"/>
      <w:u w:val="double"/>
      <w:lang w:val="es-CR" w:eastAsia="zh-CN" w:bidi="es-CR"/>
    </w:rPr>
  </w:style>
  <w:style w:type="paragraph" w:customStyle="1" w:styleId="Ttulo42">
    <w:name w:val="Título 42"/>
    <w:next w:val="Normal"/>
    <w:rsid w:val="0095645A"/>
    <w:pPr>
      <w:keepNext/>
      <w:widowControl w:val="0"/>
      <w:suppressAutoHyphens/>
      <w:autoSpaceDE w:val="0"/>
      <w:jc w:val="center"/>
    </w:pPr>
    <w:rPr>
      <w:b/>
      <w:bCs/>
      <w:sz w:val="32"/>
      <w:szCs w:val="32"/>
      <w:lang w:val="es-CR" w:eastAsia="zh-CN" w:bidi="es-CR"/>
    </w:rPr>
  </w:style>
  <w:style w:type="paragraph" w:customStyle="1" w:styleId="Ttulo61">
    <w:name w:val="Título 61"/>
    <w:next w:val="Normal"/>
    <w:uiPriority w:val="99"/>
    <w:qFormat/>
    <w:rsid w:val="0095645A"/>
    <w:pPr>
      <w:keepNext/>
      <w:widowControl w:val="0"/>
      <w:suppressAutoHyphens/>
      <w:autoSpaceDE w:val="0"/>
      <w:jc w:val="center"/>
    </w:pPr>
    <w:rPr>
      <w:rFonts w:ascii="Book Antiqua" w:eastAsia="Book Antiqua" w:hAnsi="Book Antiqua" w:cs="Book Antiqua"/>
      <w:b/>
      <w:bCs/>
      <w:i/>
      <w:iCs/>
      <w:sz w:val="22"/>
      <w:szCs w:val="22"/>
      <w:u w:val="single"/>
      <w:lang w:val="es-CR" w:eastAsia="zh-CN" w:bidi="es-CR"/>
    </w:rPr>
  </w:style>
  <w:style w:type="paragraph" w:customStyle="1" w:styleId="Ttulo71">
    <w:name w:val="Título 71"/>
    <w:next w:val="Normal"/>
    <w:uiPriority w:val="99"/>
    <w:qFormat/>
    <w:rsid w:val="0095645A"/>
    <w:pPr>
      <w:keepNext/>
      <w:widowControl w:val="0"/>
      <w:suppressAutoHyphens/>
      <w:autoSpaceDE w:val="0"/>
      <w:jc w:val="center"/>
    </w:pPr>
    <w:rPr>
      <w:b/>
      <w:bCs/>
      <w:sz w:val="22"/>
      <w:szCs w:val="22"/>
      <w:lang w:val="es-CR" w:eastAsia="zh-CN" w:bidi="es-CR"/>
    </w:rPr>
  </w:style>
  <w:style w:type="paragraph" w:customStyle="1" w:styleId="Ttulo81">
    <w:name w:val="Título 81"/>
    <w:next w:val="Normal"/>
    <w:uiPriority w:val="99"/>
    <w:qFormat/>
    <w:rsid w:val="0095645A"/>
    <w:pPr>
      <w:keepNext/>
      <w:widowControl w:val="0"/>
      <w:suppressAutoHyphens/>
      <w:autoSpaceDE w:val="0"/>
    </w:pPr>
    <w:rPr>
      <w:b/>
      <w:bCs/>
      <w:lang w:val="es-CR" w:eastAsia="zh-CN" w:bidi="es-CR"/>
    </w:rPr>
  </w:style>
  <w:style w:type="paragraph" w:customStyle="1" w:styleId="Ttulo91">
    <w:name w:val="Título 91"/>
    <w:next w:val="Normal"/>
    <w:uiPriority w:val="99"/>
    <w:qFormat/>
    <w:rsid w:val="0095645A"/>
    <w:pPr>
      <w:keepNext/>
      <w:widowControl w:val="0"/>
      <w:suppressAutoHyphens/>
      <w:autoSpaceDE w:val="0"/>
      <w:ind w:left="360"/>
      <w:jc w:val="center"/>
    </w:pPr>
    <w:rPr>
      <w:rFonts w:ascii="Book Antiqua" w:eastAsia="Book Antiqua" w:hAnsi="Book Antiqua" w:cs="Book Antiqua"/>
      <w:b/>
      <w:bCs/>
      <w:sz w:val="22"/>
      <w:szCs w:val="22"/>
      <w:u w:val="double"/>
      <w:lang w:val="es-CR" w:eastAsia="zh-CN" w:bidi="es-CR"/>
    </w:rPr>
  </w:style>
  <w:style w:type="paragraph" w:customStyle="1" w:styleId="Encabezado60">
    <w:name w:val="Encabezado6"/>
    <w:rsid w:val="0095645A"/>
    <w:pPr>
      <w:widowControl w:val="0"/>
      <w:suppressAutoHyphens/>
      <w:autoSpaceDE w:val="0"/>
      <w:spacing w:line="360" w:lineRule="auto"/>
      <w:jc w:val="both"/>
    </w:pPr>
    <w:rPr>
      <w:rFonts w:ascii="Book Antiqua" w:eastAsia="Book Antiqua" w:hAnsi="Book Antiqua" w:cs="Book Antiqua"/>
      <w:sz w:val="22"/>
      <w:szCs w:val="22"/>
      <w:lang w:val="es-CR" w:eastAsia="zh-CN" w:bidi="es-CR"/>
    </w:rPr>
  </w:style>
  <w:style w:type="paragraph" w:customStyle="1" w:styleId="Piedepgina1">
    <w:name w:val="Pie de página1"/>
    <w:uiPriority w:val="99"/>
    <w:qFormat/>
    <w:rsid w:val="0095645A"/>
    <w:pPr>
      <w:widowControl w:val="0"/>
      <w:suppressAutoHyphens/>
      <w:autoSpaceDE w:val="0"/>
    </w:pPr>
    <w:rPr>
      <w:rFonts w:ascii="Book Antiqua" w:eastAsia="Book Antiqua" w:hAnsi="Book Antiqua" w:cs="Book Antiqua"/>
      <w:sz w:val="22"/>
      <w:szCs w:val="22"/>
      <w:lang w:val="es-CR" w:eastAsia="zh-CN" w:bidi="es-CR"/>
    </w:rPr>
  </w:style>
  <w:style w:type="paragraph" w:customStyle="1" w:styleId="CharChar11">
    <w:name w:val="Char Char1"/>
    <w:basedOn w:val="Normal"/>
    <w:qFormat/>
    <w:rsid w:val="0095645A"/>
    <w:pPr>
      <w:suppressAutoHyphens w:val="0"/>
      <w:spacing w:after="160" w:line="240" w:lineRule="exact"/>
    </w:pPr>
    <w:rPr>
      <w:rFonts w:ascii="Verdana" w:hAnsi="Verdana"/>
      <w:sz w:val="20"/>
      <w:szCs w:val="21"/>
      <w:lang w:val="en-AU" w:eastAsia="en-US"/>
    </w:rPr>
  </w:style>
  <w:style w:type="character" w:customStyle="1" w:styleId="WW8Num5z4">
    <w:name w:val="WW8Num5z4"/>
    <w:qFormat/>
    <w:rsid w:val="0095645A"/>
  </w:style>
  <w:style w:type="character" w:customStyle="1" w:styleId="WW8Num5z5">
    <w:name w:val="WW8Num5z5"/>
    <w:qFormat/>
    <w:rsid w:val="0095645A"/>
  </w:style>
  <w:style w:type="character" w:customStyle="1" w:styleId="WW8Num5z6">
    <w:name w:val="WW8Num5z6"/>
    <w:qFormat/>
    <w:rsid w:val="0095645A"/>
  </w:style>
  <w:style w:type="character" w:customStyle="1" w:styleId="WW8Num5z7">
    <w:name w:val="WW8Num5z7"/>
    <w:qFormat/>
    <w:rsid w:val="0095645A"/>
  </w:style>
  <w:style w:type="character" w:customStyle="1" w:styleId="WW8Num5z8">
    <w:name w:val="WW8Num5z8"/>
    <w:qFormat/>
    <w:rsid w:val="0095645A"/>
  </w:style>
  <w:style w:type="character" w:customStyle="1" w:styleId="CarCar14">
    <w:name w:val="Car Car14"/>
    <w:uiPriority w:val="99"/>
    <w:rsid w:val="0095645A"/>
    <w:rPr>
      <w:rFonts w:ascii="Calibri" w:eastAsia="Times New Roman" w:hAnsi="Calibri" w:cs="Mangal"/>
      <w:color w:val="000000"/>
      <w:kern w:val="1"/>
      <w:sz w:val="24"/>
      <w:szCs w:val="21"/>
      <w:lang w:val="es-CR" w:bidi="hi-IN"/>
    </w:rPr>
  </w:style>
  <w:style w:type="character" w:customStyle="1" w:styleId="WW-EnlacedeInternet">
    <w:name w:val="WW-Enlace de Internet"/>
    <w:rsid w:val="0095645A"/>
    <w:rPr>
      <w:color w:val="0000FF"/>
      <w:u w:val="single"/>
    </w:rPr>
  </w:style>
  <w:style w:type="character" w:customStyle="1" w:styleId="Character20style">
    <w:name w:val="Character_20_style"/>
    <w:rsid w:val="0095645A"/>
  </w:style>
  <w:style w:type="character" w:customStyle="1" w:styleId="ListLabel10">
    <w:name w:val="ListLabel 10"/>
    <w:qFormat/>
    <w:rsid w:val="0095645A"/>
    <w:rPr>
      <w:rFonts w:ascii="Calibri Light" w:hAnsi="Calibri Light" w:cs="Calibri Light"/>
      <w:b/>
      <w:sz w:val="26"/>
    </w:rPr>
  </w:style>
  <w:style w:type="paragraph" w:customStyle="1" w:styleId="Pie">
    <w:name w:val="Pie"/>
    <w:basedOn w:val="Normal"/>
    <w:rsid w:val="0095645A"/>
    <w:pPr>
      <w:spacing w:before="120" w:after="120"/>
    </w:pPr>
    <w:rPr>
      <w:rFonts w:ascii="Calibri" w:eastAsia="Mangal" w:hAnsi="Calibri" w:cs="Calibri"/>
      <w:i/>
      <w:color w:val="000000"/>
      <w:kern w:val="1"/>
      <w:lang w:val="es-CR" w:eastAsia="zh-CN" w:bidi="hi-IN"/>
    </w:rPr>
  </w:style>
  <w:style w:type="paragraph" w:customStyle="1" w:styleId="Lista27">
    <w:name w:val="Lista 27"/>
    <w:basedOn w:val="Normal"/>
    <w:uiPriority w:val="99"/>
    <w:rsid w:val="0095645A"/>
    <w:pPr>
      <w:spacing w:after="200"/>
      <w:ind w:left="566" w:hanging="283"/>
    </w:pPr>
    <w:rPr>
      <w:rFonts w:ascii="Calibri" w:eastAsia="Calibri" w:hAnsi="Calibri" w:cs="Calibri"/>
      <w:color w:val="000000"/>
      <w:kern w:val="1"/>
      <w:sz w:val="20"/>
      <w:lang w:val="es-MX" w:eastAsia="zh-CN" w:bidi="hi-IN"/>
    </w:rPr>
  </w:style>
  <w:style w:type="paragraph" w:customStyle="1" w:styleId="Lista21">
    <w:name w:val="Lista 21"/>
    <w:basedOn w:val="Normal"/>
    <w:rsid w:val="0095645A"/>
    <w:pPr>
      <w:ind w:left="566" w:hanging="283"/>
    </w:pPr>
    <w:rPr>
      <w:rFonts w:eastAsia="Arial"/>
      <w:kern w:val="1"/>
      <w:sz w:val="20"/>
      <w:szCs w:val="20"/>
      <w:lang w:val="es-MX" w:eastAsia="zh-CN"/>
    </w:rPr>
  </w:style>
  <w:style w:type="paragraph" w:customStyle="1" w:styleId="WW-Cuerpodetexto">
    <w:name w:val="WW-Cuerpo de texto"/>
    <w:basedOn w:val="Normal"/>
    <w:qFormat/>
    <w:rsid w:val="0095645A"/>
    <w:pPr>
      <w:widowControl w:val="0"/>
      <w:suppressAutoHyphens w:val="0"/>
      <w:autoSpaceDE w:val="0"/>
      <w:spacing w:after="140" w:line="288" w:lineRule="auto"/>
    </w:pPr>
    <w:rPr>
      <w:rFonts w:ascii="Liberation Serif" w:hAnsi="Liberation Serif"/>
      <w:kern w:val="1"/>
      <w:lang w:eastAsia="zh-CN"/>
    </w:rPr>
  </w:style>
  <w:style w:type="paragraph" w:customStyle="1" w:styleId="Prrafodelista4">
    <w:name w:val="Párrafo de lista4"/>
    <w:basedOn w:val="Normal"/>
    <w:qFormat/>
    <w:rsid w:val="0095645A"/>
    <w:pPr>
      <w:spacing w:after="160"/>
      <w:ind w:left="720"/>
      <w:contextualSpacing/>
    </w:pPr>
    <w:rPr>
      <w:rFonts w:ascii="Calibri" w:eastAsia="Calibri" w:hAnsi="Calibri" w:cs="Liberation Serif"/>
      <w:color w:val="000000"/>
      <w:kern w:val="1"/>
      <w:sz w:val="22"/>
      <w:lang w:val="es-CR" w:eastAsia="zh-CN" w:bidi="hi-IN"/>
    </w:rPr>
  </w:style>
  <w:style w:type="paragraph" w:customStyle="1" w:styleId="LO-Normal">
    <w:name w:val="LO-Normal"/>
    <w:qFormat/>
    <w:rsid w:val="0095645A"/>
    <w:pPr>
      <w:widowControl w:val="0"/>
      <w:suppressAutoHyphens/>
      <w:spacing w:line="254" w:lineRule="auto"/>
    </w:pPr>
    <w:rPr>
      <w:rFonts w:ascii="Calibri" w:eastAsia="Calibri" w:hAnsi="Calibri" w:cs="font428"/>
      <w:color w:val="00000A"/>
      <w:sz w:val="24"/>
      <w:szCs w:val="22"/>
      <w:lang w:val="es-CR" w:eastAsia="en-US"/>
    </w:rPr>
  </w:style>
  <w:style w:type="paragraph" w:customStyle="1" w:styleId="LO-Normal1">
    <w:name w:val="LO-Normal1"/>
    <w:uiPriority w:val="99"/>
    <w:rsid w:val="0095645A"/>
    <w:pPr>
      <w:widowControl w:val="0"/>
      <w:suppressAutoHyphens/>
      <w:spacing w:line="254" w:lineRule="auto"/>
    </w:pPr>
    <w:rPr>
      <w:rFonts w:ascii="Calibri" w:eastAsia="Calibri" w:hAnsi="Calibri" w:cs="font428"/>
      <w:color w:val="00000A"/>
      <w:sz w:val="24"/>
      <w:szCs w:val="22"/>
      <w:lang w:val="es-CR" w:eastAsia="en-US"/>
    </w:rPr>
  </w:style>
  <w:style w:type="paragraph" w:customStyle="1" w:styleId="LO-Normal3">
    <w:name w:val="LO-Normal3"/>
    <w:rsid w:val="0095645A"/>
    <w:pPr>
      <w:widowControl w:val="0"/>
      <w:suppressAutoHyphens/>
    </w:pPr>
    <w:rPr>
      <w:rFonts w:ascii="Liberation Serif" w:eastAsia="SimSun" w:hAnsi="Liberation Serif" w:cs="Mangal"/>
      <w:sz w:val="24"/>
      <w:szCs w:val="24"/>
      <w:lang w:eastAsia="zh-CN" w:bidi="hi-IN"/>
    </w:rPr>
  </w:style>
  <w:style w:type="character" w:customStyle="1" w:styleId="highlight">
    <w:name w:val="highlight"/>
    <w:rsid w:val="0095645A"/>
  </w:style>
  <w:style w:type="paragraph" w:customStyle="1" w:styleId="Agestinvieta">
    <w:name w:val="A gestión viñeta"/>
    <w:basedOn w:val="Sinespaciado"/>
    <w:link w:val="AgestinvietaCar"/>
    <w:qFormat/>
    <w:rsid w:val="0095645A"/>
    <w:pPr>
      <w:numPr>
        <w:numId w:val="15"/>
      </w:numPr>
      <w:ind w:left="0" w:firstLine="0"/>
    </w:pPr>
  </w:style>
  <w:style w:type="paragraph" w:customStyle="1" w:styleId="AgestinN">
    <w:name w:val="A gestión N°"/>
    <w:basedOn w:val="Normal"/>
    <w:link w:val="AgestinNCar"/>
    <w:qFormat/>
    <w:rsid w:val="0095645A"/>
    <w:pPr>
      <w:numPr>
        <w:numId w:val="16"/>
      </w:numPr>
      <w:suppressAutoHyphens w:val="0"/>
      <w:spacing w:before="120" w:after="120"/>
      <w:ind w:right="851"/>
      <w:jc w:val="both"/>
    </w:pPr>
    <w:rPr>
      <w:color w:val="000099"/>
      <w:sz w:val="26"/>
      <w:szCs w:val="26"/>
      <w:lang w:val="es-ES_tradnl"/>
    </w:rPr>
  </w:style>
  <w:style w:type="character" w:customStyle="1" w:styleId="AgestinvietaCar">
    <w:name w:val="A gestión viñeta Car"/>
    <w:link w:val="Agestinvieta"/>
    <w:rsid w:val="0095645A"/>
    <w:rPr>
      <w:rFonts w:ascii="Calibri" w:eastAsia="Calibri" w:hAnsi="Calibri" w:cs="Calibri"/>
      <w:sz w:val="22"/>
      <w:szCs w:val="22"/>
      <w:lang w:eastAsia="ar-SA"/>
    </w:rPr>
  </w:style>
  <w:style w:type="paragraph" w:customStyle="1" w:styleId="Bgestintitulosub">
    <w:name w:val="B gestión titulo sub"/>
    <w:basedOn w:val="AAgestin"/>
    <w:link w:val="BgestintitulosubCar"/>
    <w:rsid w:val="0095645A"/>
    <w:pPr>
      <w:suppressAutoHyphens w:val="0"/>
    </w:pPr>
    <w:rPr>
      <w:b/>
      <w:szCs w:val="24"/>
      <w:u w:val="single"/>
      <w:lang w:val="es-CR"/>
    </w:rPr>
  </w:style>
  <w:style w:type="character" w:customStyle="1" w:styleId="AgestinNCar">
    <w:name w:val="A gestión N° Car"/>
    <w:link w:val="AgestinN"/>
    <w:rsid w:val="0095645A"/>
    <w:rPr>
      <w:color w:val="000099"/>
      <w:sz w:val="26"/>
      <w:szCs w:val="26"/>
      <w:lang w:val="es-ES_tradnl" w:eastAsia="ar-SA"/>
    </w:rPr>
  </w:style>
  <w:style w:type="paragraph" w:customStyle="1" w:styleId="Bgesnromano">
    <w:name w:val="B ges n° romano"/>
    <w:basedOn w:val="Normal"/>
    <w:link w:val="BgesnromanoCar"/>
    <w:rsid w:val="0095645A"/>
    <w:pPr>
      <w:numPr>
        <w:numId w:val="17"/>
      </w:numPr>
      <w:suppressAutoHyphens w:val="0"/>
      <w:spacing w:before="120" w:after="120"/>
      <w:ind w:left="851" w:right="851" w:firstLine="0"/>
      <w:jc w:val="both"/>
    </w:pPr>
    <w:rPr>
      <w:i/>
      <w:color w:val="000099"/>
      <w:sz w:val="26"/>
      <w:szCs w:val="26"/>
      <w:lang w:val="es-ES_tradnl"/>
    </w:rPr>
  </w:style>
  <w:style w:type="character" w:customStyle="1" w:styleId="BgestintitulosubCar">
    <w:name w:val="B gestión titulo sub Car"/>
    <w:link w:val="Bgestintitulosub"/>
    <w:rsid w:val="0095645A"/>
    <w:rPr>
      <w:b/>
      <w:color w:val="000099"/>
      <w:sz w:val="26"/>
      <w:szCs w:val="24"/>
      <w:u w:val="single"/>
      <w:lang w:val="es-CR" w:eastAsia="ar-SA"/>
    </w:rPr>
  </w:style>
  <w:style w:type="character" w:customStyle="1" w:styleId="BgesnromanoCar">
    <w:name w:val="B ges n° romano Car"/>
    <w:link w:val="Bgesnromano"/>
    <w:rsid w:val="0095645A"/>
    <w:rPr>
      <w:i/>
      <w:color w:val="000099"/>
      <w:sz w:val="26"/>
      <w:szCs w:val="26"/>
      <w:lang w:val="es-ES_tradnl" w:eastAsia="ar-SA"/>
    </w:rPr>
  </w:style>
  <w:style w:type="paragraph" w:customStyle="1" w:styleId="Textodebloque2">
    <w:name w:val="Texto de bloque2"/>
    <w:basedOn w:val="Normal"/>
    <w:rsid w:val="0095645A"/>
    <w:pPr>
      <w:suppressAutoHyphens w:val="0"/>
      <w:ind w:left="283" w:right="334" w:hanging="283"/>
      <w:jc w:val="both"/>
    </w:pPr>
    <w:rPr>
      <w:rFonts w:ascii="Arial" w:hAnsi="Arial"/>
      <w:szCs w:val="20"/>
      <w:lang w:val="es-CR" w:eastAsia="es-ES"/>
    </w:rPr>
  </w:style>
  <w:style w:type="paragraph" w:customStyle="1" w:styleId="Textoindependiente23">
    <w:name w:val="Texto independiente 23"/>
    <w:basedOn w:val="Normal"/>
    <w:rsid w:val="0095645A"/>
    <w:pPr>
      <w:suppressAutoHyphens w:val="0"/>
      <w:ind w:right="334" w:hanging="283"/>
      <w:jc w:val="both"/>
    </w:pPr>
    <w:rPr>
      <w:rFonts w:ascii="Arial" w:hAnsi="Arial"/>
      <w:szCs w:val="20"/>
      <w:lang w:val="es-CR" w:eastAsia="es-ES"/>
    </w:rPr>
  </w:style>
  <w:style w:type="paragraph" w:customStyle="1" w:styleId="Textoindependiente32">
    <w:name w:val="Texto independiente 32"/>
    <w:basedOn w:val="Normal"/>
    <w:rsid w:val="0095645A"/>
    <w:pPr>
      <w:suppressAutoHyphens w:val="0"/>
      <w:ind w:right="334"/>
      <w:jc w:val="both"/>
    </w:pPr>
    <w:rPr>
      <w:rFonts w:ascii="Arial" w:hAnsi="Arial"/>
      <w:b/>
      <w:szCs w:val="20"/>
      <w:lang w:val="es-CR" w:eastAsia="es-ES"/>
    </w:rPr>
  </w:style>
  <w:style w:type="paragraph" w:customStyle="1" w:styleId="Textoindependiente231">
    <w:name w:val="Texto independiente 231"/>
    <w:rsid w:val="0095645A"/>
    <w:pPr>
      <w:autoSpaceDE w:val="0"/>
      <w:autoSpaceDN w:val="0"/>
      <w:adjustRightInd w:val="0"/>
      <w:spacing w:after="120" w:line="480" w:lineRule="auto"/>
    </w:pPr>
    <w:rPr>
      <w:rFonts w:ascii="Arial" w:hAnsi="Arial"/>
      <w:sz w:val="24"/>
      <w:szCs w:val="24"/>
      <w:lang w:val="es-CR"/>
    </w:rPr>
  </w:style>
  <w:style w:type="paragraph" w:customStyle="1" w:styleId="Textoindependiente321">
    <w:name w:val="Texto independiente 321"/>
    <w:rsid w:val="0095645A"/>
    <w:pPr>
      <w:autoSpaceDE w:val="0"/>
      <w:autoSpaceDN w:val="0"/>
      <w:adjustRightInd w:val="0"/>
      <w:spacing w:after="120"/>
    </w:pPr>
    <w:rPr>
      <w:rFonts w:ascii="Arial" w:hAnsi="Arial"/>
      <w:sz w:val="16"/>
      <w:szCs w:val="16"/>
      <w:lang w:val="es-CR"/>
    </w:rPr>
  </w:style>
  <w:style w:type="paragraph" w:customStyle="1" w:styleId="Noparagraphstyle">
    <w:name w:val="[No paragraph style]"/>
    <w:rsid w:val="0095645A"/>
    <w:pPr>
      <w:autoSpaceDE w:val="0"/>
      <w:autoSpaceDN w:val="0"/>
      <w:adjustRightInd w:val="0"/>
      <w:spacing w:line="288" w:lineRule="auto"/>
    </w:pPr>
    <w:rPr>
      <w:rFonts w:ascii="Arial" w:hAnsi="Arial" w:cs="Arial"/>
      <w:color w:val="000000"/>
      <w:sz w:val="24"/>
      <w:szCs w:val="24"/>
      <w:shd w:val="clear" w:color="auto" w:fill="FFFFFF"/>
      <w:vertAlign w:val="subscript"/>
      <w:lang w:val="es-CR"/>
    </w:rPr>
  </w:style>
  <w:style w:type="character" w:customStyle="1" w:styleId="Fuentedeencabezadopredeter">
    <w:name w:val="Fuente de encabezado predeter."/>
    <w:rsid w:val="0095645A"/>
  </w:style>
  <w:style w:type="paragraph" w:customStyle="1" w:styleId="Estilo3">
    <w:name w:val="Estilo3"/>
    <w:next w:val="Normal"/>
    <w:qFormat/>
    <w:rsid w:val="0095645A"/>
    <w:pPr>
      <w:autoSpaceDE w:val="0"/>
      <w:autoSpaceDN w:val="0"/>
      <w:adjustRightInd w:val="0"/>
    </w:pPr>
    <w:rPr>
      <w:rFonts w:ascii="Arial" w:hAnsi="Arial" w:cs="Arial"/>
      <w:sz w:val="24"/>
      <w:szCs w:val="24"/>
      <w:lang w:val="es-CR"/>
    </w:rPr>
  </w:style>
  <w:style w:type="character" w:customStyle="1" w:styleId="StrongEmphasis">
    <w:name w:val="Strong Emphasis"/>
    <w:qFormat/>
    <w:rsid w:val="0095645A"/>
    <w:rPr>
      <w:b/>
      <w:bCs/>
      <w:color w:val="000000"/>
      <w:shd w:val="clear" w:color="auto" w:fill="FFFFFF"/>
    </w:rPr>
  </w:style>
  <w:style w:type="character" w:customStyle="1" w:styleId="BulletSymbols">
    <w:name w:val="Bullet Symbols"/>
    <w:rsid w:val="0095645A"/>
    <w:rPr>
      <w:rFonts w:ascii="Arial Unicode MS" w:eastAsia="Arial Unicode MS" w:cs="Arial Unicode MS"/>
      <w:color w:val="000000"/>
      <w:sz w:val="18"/>
      <w:szCs w:val="18"/>
      <w:shd w:val="clear" w:color="auto" w:fill="FFFFFF"/>
    </w:rPr>
  </w:style>
  <w:style w:type="character" w:customStyle="1" w:styleId="WW8NumSt1z0">
    <w:name w:val="WW8NumSt1z0"/>
    <w:rsid w:val="0095645A"/>
    <w:rPr>
      <w:rFonts w:ascii="Symbol" w:hAnsi="Symbol" w:cs="Symbol"/>
      <w:color w:val="000000"/>
      <w:shd w:val="clear" w:color="auto" w:fill="FFFFFF"/>
    </w:rPr>
  </w:style>
  <w:style w:type="character" w:customStyle="1" w:styleId="RTFNum31">
    <w:name w:val="RTF_Num 3 1"/>
    <w:rsid w:val="0095645A"/>
    <w:rPr>
      <w:rFonts w:ascii="Wingdings" w:hAnsi="Wingdings" w:cs="Wingdings"/>
      <w:color w:val="000000"/>
      <w:u w:val="single"/>
      <w:shd w:val="clear" w:color="auto" w:fill="FFFFFF"/>
    </w:rPr>
  </w:style>
  <w:style w:type="character" w:customStyle="1" w:styleId="RTFNum32">
    <w:name w:val="RTF_Num 3 2"/>
    <w:rsid w:val="0095645A"/>
    <w:rPr>
      <w:rFonts w:ascii="Wingdings" w:hAnsi="Wingdings" w:cs="Wingdings"/>
      <w:color w:val="000000"/>
      <w:u w:val="single"/>
      <w:shd w:val="clear" w:color="auto" w:fill="FFFFFF"/>
    </w:rPr>
  </w:style>
  <w:style w:type="character" w:customStyle="1" w:styleId="RTFNum33">
    <w:name w:val="RTF_Num 3 3"/>
    <w:rsid w:val="0095645A"/>
    <w:rPr>
      <w:rFonts w:ascii="Arial Unicode MS" w:eastAsia="Arial Unicode MS" w:cs="Arial Unicode MS"/>
      <w:color w:val="000000"/>
      <w:sz w:val="18"/>
      <w:szCs w:val="18"/>
      <w:shd w:val="clear" w:color="auto" w:fill="FFFFFF"/>
    </w:rPr>
  </w:style>
  <w:style w:type="character" w:customStyle="1" w:styleId="RTFNum34">
    <w:name w:val="RTF_Num 3 4"/>
    <w:rsid w:val="0095645A"/>
    <w:rPr>
      <w:rFonts w:ascii="Arial Unicode MS" w:eastAsia="Arial Unicode MS" w:cs="Arial Unicode MS"/>
      <w:color w:val="000000"/>
      <w:sz w:val="18"/>
      <w:szCs w:val="18"/>
      <w:shd w:val="clear" w:color="auto" w:fill="FFFFFF"/>
    </w:rPr>
  </w:style>
  <w:style w:type="character" w:customStyle="1" w:styleId="RTFNum35">
    <w:name w:val="RTF_Num 3 5"/>
    <w:rsid w:val="0095645A"/>
    <w:rPr>
      <w:rFonts w:ascii="Wingdings 2" w:hAnsi="Wingdings 2" w:cs="Wingdings 2"/>
      <w:color w:val="000000"/>
      <w:sz w:val="18"/>
      <w:szCs w:val="18"/>
      <w:shd w:val="clear" w:color="auto" w:fill="FFFFFF"/>
    </w:rPr>
  </w:style>
  <w:style w:type="character" w:customStyle="1" w:styleId="RTFNum36">
    <w:name w:val="RTF_Num 3 6"/>
    <w:rsid w:val="0095645A"/>
    <w:rPr>
      <w:rFonts w:ascii="Arial Unicode MS" w:eastAsia="Arial Unicode MS" w:cs="Arial Unicode MS"/>
      <w:color w:val="000000"/>
      <w:sz w:val="18"/>
      <w:szCs w:val="18"/>
      <w:shd w:val="clear" w:color="auto" w:fill="FFFFFF"/>
    </w:rPr>
  </w:style>
  <w:style w:type="character" w:customStyle="1" w:styleId="RTFNum37">
    <w:name w:val="RTF_Num 3 7"/>
    <w:rsid w:val="0095645A"/>
    <w:rPr>
      <w:rFonts w:ascii="Arial Unicode MS" w:eastAsia="Arial Unicode MS" w:cs="Arial Unicode MS"/>
      <w:color w:val="000000"/>
      <w:sz w:val="18"/>
      <w:szCs w:val="18"/>
      <w:shd w:val="clear" w:color="auto" w:fill="FFFFFF"/>
    </w:rPr>
  </w:style>
  <w:style w:type="character" w:customStyle="1" w:styleId="RTFNum38">
    <w:name w:val="RTF_Num 3 8"/>
    <w:rsid w:val="0095645A"/>
    <w:rPr>
      <w:rFonts w:ascii="Wingdings 2" w:hAnsi="Wingdings 2" w:cs="Wingdings 2"/>
      <w:color w:val="000000"/>
      <w:sz w:val="18"/>
      <w:szCs w:val="18"/>
      <w:shd w:val="clear" w:color="auto" w:fill="FFFFFF"/>
    </w:rPr>
  </w:style>
  <w:style w:type="character" w:customStyle="1" w:styleId="RTFNum39">
    <w:name w:val="RTF_Num 3 9"/>
    <w:rsid w:val="0095645A"/>
    <w:rPr>
      <w:rFonts w:ascii="Arial Unicode MS" w:eastAsia="Arial Unicode MS" w:cs="Arial Unicode MS"/>
      <w:color w:val="000000"/>
      <w:sz w:val="18"/>
      <w:szCs w:val="18"/>
      <w:shd w:val="clear" w:color="auto" w:fill="FFFFFF"/>
    </w:rPr>
  </w:style>
  <w:style w:type="character" w:customStyle="1" w:styleId="RTFNum42">
    <w:name w:val="RTF_Num 4 2"/>
    <w:rsid w:val="0095645A"/>
    <w:rPr>
      <w:rFonts w:ascii="Wingdings" w:hAnsi="Wingdings" w:cs="Wingdings"/>
      <w:color w:val="000000"/>
      <w:u w:val="single"/>
      <w:shd w:val="clear" w:color="auto" w:fill="FFFFFF"/>
    </w:rPr>
  </w:style>
  <w:style w:type="character" w:customStyle="1" w:styleId="RTFNum82">
    <w:name w:val="RTF_Num 8 2"/>
    <w:rsid w:val="0095645A"/>
    <w:rPr>
      <w:rFonts w:ascii="Symbol" w:hAnsi="Symbol" w:cs="Symbol"/>
      <w:color w:val="000000"/>
      <w:u w:val="single"/>
      <w:shd w:val="clear" w:color="auto" w:fill="FFFFFF"/>
    </w:rPr>
  </w:style>
  <w:style w:type="character" w:customStyle="1" w:styleId="RTFNum122">
    <w:name w:val="RTF_Num 12 2"/>
    <w:rsid w:val="0095645A"/>
    <w:rPr>
      <w:rFonts w:ascii="Symbol" w:hAnsi="Symbol" w:cs="Symbol"/>
      <w:color w:val="000000"/>
      <w:u w:val="single"/>
      <w:shd w:val="clear" w:color="auto" w:fill="FFFFFF"/>
    </w:rPr>
  </w:style>
  <w:style w:type="character" w:customStyle="1" w:styleId="RTFNum132">
    <w:name w:val="RTF_Num 13 2"/>
    <w:rsid w:val="0095645A"/>
    <w:rPr>
      <w:rFonts w:ascii="Wingdings" w:hAnsi="Wingdings" w:cs="Wingdings"/>
      <w:color w:val="000000"/>
      <w:u w:val="single"/>
      <w:shd w:val="clear" w:color="auto" w:fill="FFFFFF"/>
    </w:rPr>
  </w:style>
  <w:style w:type="character" w:customStyle="1" w:styleId="RTFNum142">
    <w:name w:val="RTF_Num 14 2"/>
    <w:rsid w:val="0095645A"/>
    <w:rPr>
      <w:rFonts w:ascii="Symbol" w:hAnsi="Symbol" w:cs="Symbol"/>
      <w:color w:val="000000"/>
      <w:u w:val="single"/>
      <w:shd w:val="clear" w:color="auto" w:fill="FFFFFF"/>
    </w:rPr>
  </w:style>
  <w:style w:type="character" w:customStyle="1" w:styleId="RTFNum152">
    <w:name w:val="RTF_Num 15 2"/>
    <w:rsid w:val="0095645A"/>
    <w:rPr>
      <w:rFonts w:ascii="Symbol" w:hAnsi="Symbol" w:cs="Symbol"/>
      <w:color w:val="000000"/>
      <w:u w:val="single"/>
      <w:shd w:val="clear" w:color="auto" w:fill="FFFFFF"/>
    </w:rPr>
  </w:style>
  <w:style w:type="character" w:customStyle="1" w:styleId="RTFNum162">
    <w:name w:val="RTF_Num 16 2"/>
    <w:rsid w:val="0095645A"/>
    <w:rPr>
      <w:rFonts w:ascii="Wingdings" w:hAnsi="Wingdings" w:cs="Wingdings"/>
      <w:color w:val="000000"/>
      <w:u w:val="single"/>
      <w:shd w:val="clear" w:color="auto" w:fill="FFFFFF"/>
    </w:rPr>
  </w:style>
  <w:style w:type="character" w:customStyle="1" w:styleId="RTFNum182">
    <w:name w:val="RTF_Num 18 2"/>
    <w:rsid w:val="0095645A"/>
    <w:rPr>
      <w:rFonts w:ascii="Symbol" w:hAnsi="Symbol" w:cs="Symbol"/>
      <w:color w:val="000000"/>
      <w:u w:val="single"/>
      <w:shd w:val="clear" w:color="auto" w:fill="FFFFFF"/>
    </w:rPr>
  </w:style>
  <w:style w:type="character" w:customStyle="1" w:styleId="RTFNum192">
    <w:name w:val="RTF_Num 19 2"/>
    <w:rsid w:val="0095645A"/>
    <w:rPr>
      <w:rFonts w:ascii="Symbol" w:hAnsi="Symbol" w:cs="Symbol"/>
      <w:color w:val="000000"/>
      <w:u w:val="single"/>
      <w:shd w:val="clear" w:color="auto" w:fill="FFFFFF"/>
    </w:rPr>
  </w:style>
  <w:style w:type="character" w:customStyle="1" w:styleId="RTFNum212">
    <w:name w:val="RTF_Num 21 2"/>
    <w:rsid w:val="0095645A"/>
    <w:rPr>
      <w:rFonts w:ascii="Symbol" w:hAnsi="Symbol" w:cs="Symbol"/>
      <w:color w:val="000000"/>
      <w:u w:val="single"/>
      <w:shd w:val="clear" w:color="auto" w:fill="FFFFFF"/>
    </w:rPr>
  </w:style>
  <w:style w:type="character" w:customStyle="1" w:styleId="RTFNum242">
    <w:name w:val="RTF_Num 24 2"/>
    <w:rsid w:val="0095645A"/>
    <w:rPr>
      <w:rFonts w:ascii="Wingdings" w:hAnsi="Wingdings" w:cs="Wingdings"/>
      <w:color w:val="000000"/>
      <w:u w:val="single"/>
      <w:shd w:val="clear" w:color="auto" w:fill="FFFFFF"/>
    </w:rPr>
  </w:style>
  <w:style w:type="character" w:customStyle="1" w:styleId="RTFNum262">
    <w:name w:val="RTF_Num 26 2"/>
    <w:rsid w:val="0095645A"/>
    <w:rPr>
      <w:rFonts w:ascii="Wingdings" w:hAnsi="Wingdings" w:cs="Wingdings"/>
      <w:color w:val="000000"/>
      <w:u w:val="single"/>
      <w:shd w:val="clear" w:color="auto" w:fill="FFFFFF"/>
    </w:rPr>
  </w:style>
  <w:style w:type="character" w:customStyle="1" w:styleId="RTFNum272">
    <w:name w:val="RTF_Num 27 2"/>
    <w:rsid w:val="0095645A"/>
    <w:rPr>
      <w:rFonts w:ascii="Wingdings" w:hAnsi="Wingdings" w:cs="Wingdings"/>
      <w:color w:val="000000"/>
      <w:u w:val="single"/>
      <w:shd w:val="clear" w:color="auto" w:fill="FFFFFF"/>
    </w:rPr>
  </w:style>
  <w:style w:type="character" w:customStyle="1" w:styleId="RTFNum282">
    <w:name w:val="RTF_Num 28 2"/>
    <w:rsid w:val="0095645A"/>
    <w:rPr>
      <w:rFonts w:ascii="Wingdings" w:hAnsi="Wingdings" w:cs="Wingdings"/>
      <w:color w:val="000000"/>
      <w:u w:val="single"/>
      <w:shd w:val="clear" w:color="auto" w:fill="FFFFFF"/>
    </w:rPr>
  </w:style>
  <w:style w:type="character" w:customStyle="1" w:styleId="RTFNum292">
    <w:name w:val="RTF_Num 29 2"/>
    <w:rsid w:val="0095645A"/>
    <w:rPr>
      <w:rFonts w:ascii="Wingdings" w:hAnsi="Wingdings" w:cs="Wingdings"/>
      <w:color w:val="000000"/>
      <w:u w:val="single"/>
      <w:shd w:val="clear" w:color="auto" w:fill="FFFFFF"/>
    </w:rPr>
  </w:style>
  <w:style w:type="character" w:customStyle="1" w:styleId="RTFNum302">
    <w:name w:val="RTF_Num 30 2"/>
    <w:rsid w:val="0095645A"/>
    <w:rPr>
      <w:rFonts w:ascii="Symbol" w:hAnsi="Symbol" w:cs="Symbol"/>
      <w:color w:val="000000"/>
      <w:u w:val="single"/>
      <w:shd w:val="clear" w:color="auto" w:fill="FFFFFF"/>
    </w:rPr>
  </w:style>
  <w:style w:type="character" w:customStyle="1" w:styleId="RTFNum322">
    <w:name w:val="RTF_Num 32 2"/>
    <w:rsid w:val="0095645A"/>
    <w:rPr>
      <w:rFonts w:ascii="Wingdings" w:hAnsi="Wingdings" w:cs="Wingdings"/>
      <w:color w:val="000000"/>
      <w:u w:val="single"/>
      <w:shd w:val="clear" w:color="auto" w:fill="FFFFFF"/>
    </w:rPr>
  </w:style>
  <w:style w:type="character" w:customStyle="1" w:styleId="RTFNum342">
    <w:name w:val="RTF_Num 34 2"/>
    <w:rsid w:val="0095645A"/>
    <w:rPr>
      <w:rFonts w:ascii="Symbol" w:hAnsi="Symbol" w:cs="Symbol"/>
      <w:color w:val="000000"/>
      <w:u w:val="single"/>
      <w:shd w:val="clear" w:color="auto" w:fill="FFFFFF"/>
    </w:rPr>
  </w:style>
  <w:style w:type="character" w:customStyle="1" w:styleId="RTFNum352">
    <w:name w:val="RTF_Num 35 2"/>
    <w:rsid w:val="0095645A"/>
    <w:rPr>
      <w:rFonts w:ascii="Wingdings" w:hAnsi="Wingdings" w:cs="Wingdings"/>
      <w:color w:val="000000"/>
      <w:u w:val="single"/>
      <w:shd w:val="clear" w:color="auto" w:fill="FFFFFF"/>
    </w:rPr>
  </w:style>
  <w:style w:type="character" w:customStyle="1" w:styleId="RTFNum362">
    <w:name w:val="RTF_Num 36 2"/>
    <w:rsid w:val="0095645A"/>
    <w:rPr>
      <w:rFonts w:ascii="Wingdings" w:hAnsi="Wingdings" w:cs="Wingdings"/>
      <w:color w:val="000000"/>
      <w:u w:val="single"/>
      <w:shd w:val="clear" w:color="auto" w:fill="FFFFFF"/>
    </w:rPr>
  </w:style>
  <w:style w:type="character" w:customStyle="1" w:styleId="RTFNum382">
    <w:name w:val="RTF_Num 38 2"/>
    <w:rsid w:val="0095645A"/>
    <w:rPr>
      <w:rFonts w:ascii="Wingdings" w:hAnsi="Wingdings" w:cs="Wingdings"/>
      <w:color w:val="000000"/>
      <w:u w:val="single"/>
      <w:shd w:val="clear" w:color="auto" w:fill="FFFFFF"/>
    </w:rPr>
  </w:style>
  <w:style w:type="character" w:customStyle="1" w:styleId="RTFNum392">
    <w:name w:val="RTF_Num 39 2"/>
    <w:rsid w:val="0095645A"/>
    <w:rPr>
      <w:rFonts w:ascii="Symbol" w:hAnsi="Symbol" w:cs="Symbol"/>
      <w:color w:val="000000"/>
      <w:u w:val="single"/>
      <w:shd w:val="clear" w:color="auto" w:fill="FFFFFF"/>
    </w:rPr>
  </w:style>
  <w:style w:type="character" w:customStyle="1" w:styleId="RTFNum402">
    <w:name w:val="RTF_Num 40 2"/>
    <w:rsid w:val="0095645A"/>
    <w:rPr>
      <w:rFonts w:ascii="Wingdings" w:hAnsi="Wingdings" w:cs="Wingdings"/>
      <w:color w:val="000000"/>
      <w:u w:val="single"/>
      <w:shd w:val="clear" w:color="auto" w:fill="FFFFFF"/>
    </w:rPr>
  </w:style>
  <w:style w:type="character" w:customStyle="1" w:styleId="RTFNum412">
    <w:name w:val="RTF_Num 41 2"/>
    <w:rsid w:val="0095645A"/>
    <w:rPr>
      <w:rFonts w:ascii="Wingdings" w:hAnsi="Wingdings" w:cs="Wingdings"/>
      <w:color w:val="000000"/>
      <w:u w:val="single"/>
      <w:shd w:val="clear" w:color="auto" w:fill="FFFFFF"/>
    </w:rPr>
  </w:style>
  <w:style w:type="character" w:customStyle="1" w:styleId="RTFNum422">
    <w:name w:val="RTF_Num 42 2"/>
    <w:rsid w:val="0095645A"/>
    <w:rPr>
      <w:rFonts w:ascii="Symbol" w:hAnsi="Symbol" w:cs="Symbol"/>
      <w:color w:val="000000"/>
      <w:u w:val="single"/>
      <w:shd w:val="clear" w:color="auto" w:fill="FFFFFF"/>
    </w:rPr>
  </w:style>
  <w:style w:type="character" w:customStyle="1" w:styleId="RTFNum442">
    <w:name w:val="RTF_Num 44 2"/>
    <w:rsid w:val="0095645A"/>
    <w:rPr>
      <w:rFonts w:ascii="Symbol" w:hAnsi="Symbol" w:cs="Symbol"/>
      <w:color w:val="000000"/>
      <w:u w:val="single"/>
      <w:shd w:val="clear" w:color="auto" w:fill="FFFFFF"/>
    </w:rPr>
  </w:style>
  <w:style w:type="character" w:customStyle="1" w:styleId="RTFNum452">
    <w:name w:val="RTF_Num 45 2"/>
    <w:rsid w:val="0095645A"/>
    <w:rPr>
      <w:rFonts w:ascii="Symbol" w:hAnsi="Symbol" w:cs="Symbol"/>
      <w:color w:val="000000"/>
      <w:u w:val="single"/>
      <w:shd w:val="clear" w:color="auto" w:fill="FFFFFF"/>
    </w:rPr>
  </w:style>
  <w:style w:type="character" w:customStyle="1" w:styleId="RTFNum462">
    <w:name w:val="RTF_Num 46 2"/>
    <w:rsid w:val="0095645A"/>
    <w:rPr>
      <w:rFonts w:ascii="Symbol" w:hAnsi="Symbol" w:cs="Symbol"/>
      <w:color w:val="000000"/>
      <w:u w:val="single"/>
      <w:shd w:val="clear" w:color="auto" w:fill="FFFFFF"/>
    </w:rPr>
  </w:style>
  <w:style w:type="character" w:customStyle="1" w:styleId="RTFNum472">
    <w:name w:val="RTF_Num 47 2"/>
    <w:rsid w:val="0095645A"/>
    <w:rPr>
      <w:rFonts w:ascii="Wingdings" w:hAnsi="Wingdings" w:cs="Wingdings"/>
      <w:color w:val="000000"/>
      <w:u w:val="single"/>
      <w:shd w:val="clear" w:color="auto" w:fill="FFFFFF"/>
    </w:rPr>
  </w:style>
  <w:style w:type="character" w:customStyle="1" w:styleId="RTFNum482">
    <w:name w:val="RTF_Num 48 2"/>
    <w:rsid w:val="0095645A"/>
    <w:rPr>
      <w:rFonts w:ascii="Wingdings" w:hAnsi="Wingdings" w:cs="Wingdings"/>
      <w:color w:val="000000"/>
      <w:u w:val="single"/>
      <w:shd w:val="clear" w:color="auto" w:fill="FFFFFF"/>
    </w:rPr>
  </w:style>
  <w:style w:type="character" w:customStyle="1" w:styleId="RTFNum492">
    <w:name w:val="RTF_Num 49 2"/>
    <w:rsid w:val="0095645A"/>
    <w:rPr>
      <w:rFonts w:ascii="Wingdings" w:hAnsi="Wingdings" w:cs="Wingdings"/>
      <w:color w:val="000000"/>
      <w:u w:val="single"/>
      <w:shd w:val="clear" w:color="auto" w:fill="FFFFFF"/>
    </w:rPr>
  </w:style>
  <w:style w:type="character" w:customStyle="1" w:styleId="RTFNum502">
    <w:name w:val="RTF_Num 50 2"/>
    <w:rsid w:val="0095645A"/>
    <w:rPr>
      <w:rFonts w:ascii="Wingdings" w:hAnsi="Wingdings" w:cs="Wingdings"/>
      <w:color w:val="000000"/>
      <w:u w:val="single"/>
      <w:shd w:val="clear" w:color="auto" w:fill="FFFFFF"/>
    </w:rPr>
  </w:style>
  <w:style w:type="character" w:customStyle="1" w:styleId="RTFNum512">
    <w:name w:val="RTF_Num 51 2"/>
    <w:rsid w:val="0095645A"/>
    <w:rPr>
      <w:rFonts w:ascii="Wingdings" w:hAnsi="Wingdings" w:cs="Wingdings"/>
      <w:color w:val="000000"/>
      <w:u w:val="single"/>
      <w:shd w:val="clear" w:color="auto" w:fill="FFFFFF"/>
    </w:rPr>
  </w:style>
  <w:style w:type="character" w:customStyle="1" w:styleId="RTFNum522">
    <w:name w:val="RTF_Num 52 2"/>
    <w:rsid w:val="0095645A"/>
    <w:rPr>
      <w:rFonts w:ascii="Wingdings" w:hAnsi="Wingdings" w:cs="Wingdings"/>
      <w:color w:val="000000"/>
      <w:u w:val="single"/>
      <w:shd w:val="clear" w:color="auto" w:fill="FFFFFF"/>
    </w:rPr>
  </w:style>
  <w:style w:type="character" w:customStyle="1" w:styleId="RTFNum532">
    <w:name w:val="RTF_Num 53 2"/>
    <w:rsid w:val="0095645A"/>
    <w:rPr>
      <w:rFonts w:ascii="Wingdings" w:hAnsi="Wingdings" w:cs="Wingdings"/>
      <w:color w:val="000000"/>
      <w:u w:val="single"/>
      <w:shd w:val="clear" w:color="auto" w:fill="FFFFFF"/>
    </w:rPr>
  </w:style>
  <w:style w:type="character" w:customStyle="1" w:styleId="RTFNum542">
    <w:name w:val="RTF_Num 54 2"/>
    <w:rsid w:val="0095645A"/>
    <w:rPr>
      <w:rFonts w:ascii="Wingdings" w:hAnsi="Wingdings" w:cs="Wingdings"/>
      <w:color w:val="000000"/>
      <w:u w:val="single"/>
      <w:shd w:val="clear" w:color="auto" w:fill="FFFFFF"/>
    </w:rPr>
  </w:style>
  <w:style w:type="character" w:customStyle="1" w:styleId="RTFNum552">
    <w:name w:val="RTF_Num 55 2"/>
    <w:rsid w:val="0095645A"/>
    <w:rPr>
      <w:rFonts w:ascii="Wingdings" w:hAnsi="Wingdings" w:cs="Wingdings"/>
      <w:color w:val="000000"/>
      <w:u w:val="single"/>
      <w:shd w:val="clear" w:color="auto" w:fill="FFFFFF"/>
    </w:rPr>
  </w:style>
  <w:style w:type="character" w:customStyle="1" w:styleId="RTFNum562">
    <w:name w:val="RTF_Num 56 2"/>
    <w:rsid w:val="0095645A"/>
    <w:rPr>
      <w:rFonts w:ascii="Wingdings" w:hAnsi="Wingdings" w:cs="Wingdings"/>
      <w:color w:val="000000"/>
      <w:u w:val="single"/>
      <w:shd w:val="clear" w:color="auto" w:fill="FFFFFF"/>
    </w:rPr>
  </w:style>
  <w:style w:type="character" w:customStyle="1" w:styleId="RTFNum572">
    <w:name w:val="RTF_Num 57 2"/>
    <w:rsid w:val="0095645A"/>
    <w:rPr>
      <w:rFonts w:ascii="Wingdings" w:hAnsi="Wingdings" w:cs="Wingdings"/>
      <w:color w:val="000000"/>
      <w:u w:val="single"/>
      <w:shd w:val="clear" w:color="auto" w:fill="FFFFFF"/>
    </w:rPr>
  </w:style>
  <w:style w:type="character" w:customStyle="1" w:styleId="RTFNum582">
    <w:name w:val="RTF_Num 58 2"/>
    <w:rsid w:val="0095645A"/>
    <w:rPr>
      <w:rFonts w:ascii="Wingdings" w:hAnsi="Wingdings" w:cs="Wingdings"/>
      <w:color w:val="000000"/>
      <w:u w:val="single"/>
      <w:shd w:val="clear" w:color="auto" w:fill="FFFFFF"/>
    </w:rPr>
  </w:style>
  <w:style w:type="character" w:customStyle="1" w:styleId="RTFNum592">
    <w:name w:val="RTF_Num 59 2"/>
    <w:rsid w:val="0095645A"/>
    <w:rPr>
      <w:rFonts w:ascii="Wingdings" w:hAnsi="Wingdings" w:cs="Wingdings"/>
      <w:color w:val="000000"/>
      <w:u w:val="single"/>
      <w:shd w:val="clear" w:color="auto" w:fill="FFFFFF"/>
    </w:rPr>
  </w:style>
  <w:style w:type="character" w:customStyle="1" w:styleId="RTFNum602">
    <w:name w:val="RTF_Num 60 2"/>
    <w:rsid w:val="0095645A"/>
    <w:rPr>
      <w:rFonts w:ascii="Wingdings" w:hAnsi="Wingdings" w:cs="Wingdings"/>
      <w:color w:val="000000"/>
      <w:u w:val="single"/>
      <w:shd w:val="clear" w:color="auto" w:fill="FFFFFF"/>
    </w:rPr>
  </w:style>
  <w:style w:type="character" w:customStyle="1" w:styleId="RTFNum612">
    <w:name w:val="RTF_Num 61 2"/>
    <w:rsid w:val="0095645A"/>
    <w:rPr>
      <w:rFonts w:ascii="Wingdings" w:hAnsi="Wingdings" w:cs="Wingdings"/>
      <w:color w:val="000000"/>
      <w:u w:val="single"/>
      <w:shd w:val="clear" w:color="auto" w:fill="FFFFFF"/>
    </w:rPr>
  </w:style>
  <w:style w:type="character" w:customStyle="1" w:styleId="RTFNum622">
    <w:name w:val="RTF_Num 62 2"/>
    <w:rsid w:val="0095645A"/>
    <w:rPr>
      <w:rFonts w:ascii="Wingdings" w:hAnsi="Wingdings" w:cs="Wingdings"/>
      <w:color w:val="000000"/>
      <w:u w:val="single"/>
      <w:shd w:val="clear" w:color="auto" w:fill="FFFFFF"/>
    </w:rPr>
  </w:style>
  <w:style w:type="character" w:customStyle="1" w:styleId="RTFNum632">
    <w:name w:val="RTF_Num 63 2"/>
    <w:rsid w:val="0095645A"/>
    <w:rPr>
      <w:rFonts w:ascii="Wingdings" w:hAnsi="Wingdings" w:cs="Wingdings"/>
      <w:color w:val="000000"/>
      <w:u w:val="single"/>
      <w:shd w:val="clear" w:color="auto" w:fill="FFFFFF"/>
    </w:rPr>
  </w:style>
  <w:style w:type="character" w:customStyle="1" w:styleId="RTFNum642">
    <w:name w:val="RTF_Num 64 2"/>
    <w:rsid w:val="0095645A"/>
    <w:rPr>
      <w:rFonts w:ascii="Wingdings" w:hAnsi="Wingdings" w:cs="Wingdings"/>
      <w:color w:val="000000"/>
      <w:u w:val="single"/>
      <w:shd w:val="clear" w:color="auto" w:fill="FFFFFF"/>
    </w:rPr>
  </w:style>
  <w:style w:type="character" w:customStyle="1" w:styleId="RTFNum652">
    <w:name w:val="RTF_Num 65 2"/>
    <w:rsid w:val="0095645A"/>
    <w:rPr>
      <w:rFonts w:ascii="Wingdings" w:hAnsi="Wingdings" w:cs="Wingdings"/>
      <w:color w:val="000000"/>
      <w:u w:val="single"/>
      <w:shd w:val="clear" w:color="auto" w:fill="FFFFFF"/>
    </w:rPr>
  </w:style>
  <w:style w:type="character" w:customStyle="1" w:styleId="RTFNum662">
    <w:name w:val="RTF_Num 66 2"/>
    <w:rsid w:val="0095645A"/>
    <w:rPr>
      <w:rFonts w:ascii="Wingdings" w:hAnsi="Wingdings" w:cs="Wingdings"/>
      <w:color w:val="000000"/>
      <w:u w:val="single"/>
      <w:shd w:val="clear" w:color="auto" w:fill="FFFFFF"/>
    </w:rPr>
  </w:style>
  <w:style w:type="character" w:customStyle="1" w:styleId="RTFNum672">
    <w:name w:val="RTF_Num 67 2"/>
    <w:rsid w:val="0095645A"/>
    <w:rPr>
      <w:rFonts w:ascii="Wingdings" w:hAnsi="Wingdings" w:cs="Wingdings"/>
      <w:color w:val="000000"/>
      <w:u w:val="single"/>
      <w:shd w:val="clear" w:color="auto" w:fill="FFFFFF"/>
    </w:rPr>
  </w:style>
  <w:style w:type="character" w:customStyle="1" w:styleId="RTFNum682">
    <w:name w:val="RTF_Num 68 2"/>
    <w:rsid w:val="0095645A"/>
    <w:rPr>
      <w:rFonts w:ascii="Wingdings" w:hAnsi="Wingdings" w:cs="Wingdings"/>
      <w:color w:val="000000"/>
      <w:u w:val="single"/>
      <w:shd w:val="clear" w:color="auto" w:fill="FFFFFF"/>
    </w:rPr>
  </w:style>
  <w:style w:type="character" w:customStyle="1" w:styleId="RTFNum692">
    <w:name w:val="RTF_Num 69 2"/>
    <w:rsid w:val="0095645A"/>
    <w:rPr>
      <w:rFonts w:ascii="Wingdings" w:hAnsi="Wingdings" w:cs="Wingdings"/>
      <w:color w:val="000000"/>
      <w:u w:val="single"/>
      <w:shd w:val="clear" w:color="auto" w:fill="FFFFFF"/>
    </w:rPr>
  </w:style>
  <w:style w:type="character" w:customStyle="1" w:styleId="RTFNum702">
    <w:name w:val="RTF_Num 70 2"/>
    <w:rsid w:val="0095645A"/>
    <w:rPr>
      <w:rFonts w:ascii="Wingdings" w:hAnsi="Wingdings" w:cs="Wingdings"/>
      <w:color w:val="000000"/>
      <w:u w:val="single"/>
      <w:shd w:val="clear" w:color="auto" w:fill="FFFFFF"/>
    </w:rPr>
  </w:style>
  <w:style w:type="character" w:customStyle="1" w:styleId="RTFNum712">
    <w:name w:val="RTF_Num 71 2"/>
    <w:rsid w:val="0095645A"/>
    <w:rPr>
      <w:rFonts w:ascii="Wingdings" w:hAnsi="Wingdings" w:cs="Wingdings"/>
      <w:color w:val="000000"/>
      <w:u w:val="single"/>
      <w:shd w:val="clear" w:color="auto" w:fill="FFFFFF"/>
    </w:rPr>
  </w:style>
  <w:style w:type="character" w:customStyle="1" w:styleId="RTFNum722">
    <w:name w:val="RTF_Num 72 2"/>
    <w:rsid w:val="0095645A"/>
    <w:rPr>
      <w:rFonts w:ascii="Symbol" w:hAnsi="Symbol" w:cs="Symbol"/>
      <w:color w:val="000000"/>
      <w:u w:val="single"/>
      <w:shd w:val="clear" w:color="auto" w:fill="FFFFFF"/>
    </w:rPr>
  </w:style>
  <w:style w:type="character" w:customStyle="1" w:styleId="RTFNum732">
    <w:name w:val="RTF_Num 73 2"/>
    <w:rsid w:val="0095645A"/>
    <w:rPr>
      <w:rFonts w:ascii="Wingdings" w:hAnsi="Wingdings" w:cs="Wingdings"/>
      <w:color w:val="000000"/>
      <w:u w:val="single"/>
      <w:shd w:val="clear" w:color="auto" w:fill="FFFFFF"/>
    </w:rPr>
  </w:style>
  <w:style w:type="character" w:customStyle="1" w:styleId="RTFNum742">
    <w:name w:val="RTF_Num 74 2"/>
    <w:rsid w:val="0095645A"/>
    <w:rPr>
      <w:rFonts w:ascii="Wingdings" w:hAnsi="Wingdings" w:cs="Wingdings"/>
      <w:color w:val="000000"/>
      <w:u w:val="single"/>
      <w:shd w:val="clear" w:color="auto" w:fill="FFFFFF"/>
    </w:rPr>
  </w:style>
  <w:style w:type="character" w:customStyle="1" w:styleId="RTFNum752">
    <w:name w:val="RTF_Num 75 2"/>
    <w:rsid w:val="0095645A"/>
    <w:rPr>
      <w:rFonts w:ascii="Symbol" w:hAnsi="Symbol" w:cs="Symbol"/>
      <w:color w:val="000000"/>
      <w:u w:val="single"/>
      <w:shd w:val="clear" w:color="auto" w:fill="FFFFFF"/>
    </w:rPr>
  </w:style>
  <w:style w:type="character" w:customStyle="1" w:styleId="RTFNum762">
    <w:name w:val="RTF_Num 76 2"/>
    <w:rsid w:val="0095645A"/>
    <w:rPr>
      <w:rFonts w:ascii="Wingdings" w:hAnsi="Wingdings" w:cs="Wingdings"/>
      <w:color w:val="000000"/>
      <w:u w:val="single"/>
      <w:shd w:val="clear" w:color="auto" w:fill="FFFFFF"/>
    </w:rPr>
  </w:style>
  <w:style w:type="character" w:customStyle="1" w:styleId="RTFNum772">
    <w:name w:val="RTF_Num 77 2"/>
    <w:rsid w:val="0095645A"/>
    <w:rPr>
      <w:rFonts w:ascii="Symbol" w:hAnsi="Symbol" w:cs="Symbol"/>
      <w:color w:val="000000"/>
      <w:u w:val="single"/>
      <w:shd w:val="clear" w:color="auto" w:fill="FFFFFF"/>
    </w:rPr>
  </w:style>
  <w:style w:type="character" w:customStyle="1" w:styleId="RTFNum782">
    <w:name w:val="RTF_Num 78 2"/>
    <w:rsid w:val="0095645A"/>
    <w:rPr>
      <w:rFonts w:ascii="Wingdings" w:hAnsi="Wingdings" w:cs="Wingdings"/>
      <w:color w:val="000000"/>
      <w:u w:val="single"/>
      <w:shd w:val="clear" w:color="auto" w:fill="FFFFFF"/>
    </w:rPr>
  </w:style>
  <w:style w:type="character" w:customStyle="1" w:styleId="RTFNum792">
    <w:name w:val="RTF_Num 79 2"/>
    <w:rsid w:val="0095645A"/>
    <w:rPr>
      <w:rFonts w:ascii="Wingdings" w:hAnsi="Wingdings" w:cs="Wingdings"/>
      <w:color w:val="000000"/>
      <w:u w:val="single"/>
      <w:shd w:val="clear" w:color="auto" w:fill="FFFFFF"/>
    </w:rPr>
  </w:style>
  <w:style w:type="character" w:customStyle="1" w:styleId="RTFNum802">
    <w:name w:val="RTF_Num 80 2"/>
    <w:rsid w:val="0095645A"/>
    <w:rPr>
      <w:rFonts w:ascii="Wingdings" w:hAnsi="Wingdings" w:cs="Wingdings"/>
      <w:color w:val="000000"/>
      <w:u w:val="single"/>
      <w:shd w:val="clear" w:color="auto" w:fill="FFFFFF"/>
    </w:rPr>
  </w:style>
  <w:style w:type="character" w:customStyle="1" w:styleId="RTFNum812">
    <w:name w:val="RTF_Num 81 2"/>
    <w:rsid w:val="0095645A"/>
    <w:rPr>
      <w:rFonts w:ascii="Wingdings" w:hAnsi="Wingdings" w:cs="Wingdings"/>
      <w:color w:val="000000"/>
      <w:u w:val="single"/>
      <w:shd w:val="clear" w:color="auto" w:fill="FFFFFF"/>
    </w:rPr>
  </w:style>
  <w:style w:type="character" w:customStyle="1" w:styleId="RTFNum822">
    <w:name w:val="RTF_Num 82 2"/>
    <w:rsid w:val="0095645A"/>
    <w:rPr>
      <w:rFonts w:ascii="Wingdings" w:hAnsi="Wingdings" w:cs="Wingdings"/>
      <w:color w:val="000000"/>
      <w:u w:val="single"/>
      <w:shd w:val="clear" w:color="auto" w:fill="FFFFFF"/>
    </w:rPr>
  </w:style>
  <w:style w:type="character" w:customStyle="1" w:styleId="RTFNum832">
    <w:name w:val="RTF_Num 83 2"/>
    <w:rsid w:val="0095645A"/>
    <w:rPr>
      <w:rFonts w:ascii="Wingdings" w:hAnsi="Wingdings" w:cs="Wingdings"/>
      <w:color w:val="000000"/>
      <w:u w:val="single"/>
      <w:shd w:val="clear" w:color="auto" w:fill="FFFFFF"/>
    </w:rPr>
  </w:style>
  <w:style w:type="character" w:customStyle="1" w:styleId="RTFNum842">
    <w:name w:val="RTF_Num 84 2"/>
    <w:rsid w:val="0095645A"/>
    <w:rPr>
      <w:rFonts w:ascii="Wingdings" w:hAnsi="Wingdings" w:cs="Wingdings"/>
      <w:color w:val="000000"/>
      <w:u w:val="single"/>
      <w:shd w:val="clear" w:color="auto" w:fill="FFFFFF"/>
    </w:rPr>
  </w:style>
  <w:style w:type="character" w:customStyle="1" w:styleId="RTFNum852">
    <w:name w:val="RTF_Num 85 2"/>
    <w:rsid w:val="0095645A"/>
    <w:rPr>
      <w:rFonts w:ascii="Wingdings" w:hAnsi="Wingdings" w:cs="Wingdings"/>
      <w:color w:val="000000"/>
      <w:u w:val="single"/>
      <w:shd w:val="clear" w:color="auto" w:fill="FFFFFF"/>
    </w:rPr>
  </w:style>
  <w:style w:type="character" w:customStyle="1" w:styleId="RTFNum862">
    <w:name w:val="RTF_Num 86 2"/>
    <w:rsid w:val="0095645A"/>
    <w:rPr>
      <w:rFonts w:ascii="Wingdings" w:hAnsi="Wingdings" w:cs="Wingdings"/>
      <w:color w:val="000000"/>
      <w:u w:val="single"/>
      <w:shd w:val="clear" w:color="auto" w:fill="FFFFFF"/>
    </w:rPr>
  </w:style>
  <w:style w:type="character" w:customStyle="1" w:styleId="RTFNum872">
    <w:name w:val="RTF_Num 87 2"/>
    <w:rsid w:val="0095645A"/>
    <w:rPr>
      <w:rFonts w:ascii="Wingdings" w:hAnsi="Wingdings" w:cs="Wingdings"/>
      <w:color w:val="000000"/>
      <w:u w:val="single"/>
      <w:shd w:val="clear" w:color="auto" w:fill="FFFFFF"/>
    </w:rPr>
  </w:style>
  <w:style w:type="character" w:customStyle="1" w:styleId="RTFNum882">
    <w:name w:val="RTF_Num 88 2"/>
    <w:rsid w:val="0095645A"/>
    <w:rPr>
      <w:rFonts w:ascii="Wingdings" w:hAnsi="Wingdings" w:cs="Wingdings"/>
      <w:color w:val="000000"/>
      <w:u w:val="single"/>
      <w:shd w:val="clear" w:color="auto" w:fill="FFFFFF"/>
    </w:rPr>
  </w:style>
  <w:style w:type="character" w:customStyle="1" w:styleId="RTFNum892">
    <w:name w:val="RTF_Num 89 2"/>
    <w:rsid w:val="0095645A"/>
    <w:rPr>
      <w:rFonts w:ascii="Wingdings" w:hAnsi="Wingdings" w:cs="Wingdings"/>
      <w:color w:val="000000"/>
      <w:u w:val="single"/>
      <w:shd w:val="clear" w:color="auto" w:fill="FFFFFF"/>
    </w:rPr>
  </w:style>
  <w:style w:type="character" w:customStyle="1" w:styleId="RTFNum902">
    <w:name w:val="RTF_Num 90 2"/>
    <w:rsid w:val="0095645A"/>
    <w:rPr>
      <w:rFonts w:ascii="Wingdings" w:hAnsi="Wingdings" w:cs="Wingdings"/>
      <w:color w:val="000000"/>
      <w:u w:val="single"/>
      <w:shd w:val="clear" w:color="auto" w:fill="FFFFFF"/>
    </w:rPr>
  </w:style>
  <w:style w:type="character" w:customStyle="1" w:styleId="RTFNum912">
    <w:name w:val="RTF_Num 91 2"/>
    <w:rsid w:val="0095645A"/>
    <w:rPr>
      <w:rFonts w:ascii="Symbol" w:hAnsi="Symbol" w:cs="Symbol"/>
      <w:color w:val="000000"/>
      <w:u w:val="single"/>
      <w:shd w:val="clear" w:color="auto" w:fill="FFFFFF"/>
    </w:rPr>
  </w:style>
  <w:style w:type="character" w:customStyle="1" w:styleId="RTFNum922">
    <w:name w:val="RTF_Num 92 2"/>
    <w:rsid w:val="0095645A"/>
    <w:rPr>
      <w:rFonts w:ascii="Symbol" w:hAnsi="Symbol" w:cs="Symbol"/>
      <w:color w:val="000000"/>
      <w:u w:val="single"/>
      <w:shd w:val="clear" w:color="auto" w:fill="FFFFFF"/>
    </w:rPr>
  </w:style>
  <w:style w:type="character" w:customStyle="1" w:styleId="RTFNum932">
    <w:name w:val="RTF_Num 93 2"/>
    <w:rsid w:val="0095645A"/>
    <w:rPr>
      <w:rFonts w:ascii="Symbol" w:hAnsi="Symbol" w:cs="Symbol"/>
      <w:color w:val="000000"/>
      <w:u w:val="single"/>
      <w:shd w:val="clear" w:color="auto" w:fill="FFFFFF"/>
    </w:rPr>
  </w:style>
  <w:style w:type="character" w:customStyle="1" w:styleId="RTFNum942">
    <w:name w:val="RTF_Num 94 2"/>
    <w:rsid w:val="0095645A"/>
    <w:rPr>
      <w:rFonts w:ascii="Wingdings" w:hAnsi="Wingdings" w:cs="Wingdings"/>
      <w:color w:val="000000"/>
      <w:u w:val="single"/>
      <w:shd w:val="clear" w:color="auto" w:fill="FFFFFF"/>
    </w:rPr>
  </w:style>
  <w:style w:type="character" w:customStyle="1" w:styleId="RTFNum952">
    <w:name w:val="RTF_Num 95 2"/>
    <w:rsid w:val="0095645A"/>
    <w:rPr>
      <w:rFonts w:ascii="Wingdings" w:hAnsi="Wingdings" w:cs="Wingdings"/>
      <w:color w:val="000000"/>
      <w:u w:val="single"/>
      <w:shd w:val="clear" w:color="auto" w:fill="FFFFFF"/>
    </w:rPr>
  </w:style>
  <w:style w:type="character" w:customStyle="1" w:styleId="RTFNum962">
    <w:name w:val="RTF_Num 96 2"/>
    <w:rsid w:val="0095645A"/>
    <w:rPr>
      <w:rFonts w:ascii="Wingdings" w:hAnsi="Wingdings" w:cs="Wingdings"/>
      <w:color w:val="000000"/>
      <w:u w:val="single"/>
      <w:shd w:val="clear" w:color="auto" w:fill="FFFFFF"/>
    </w:rPr>
  </w:style>
  <w:style w:type="character" w:customStyle="1" w:styleId="RTFNum972">
    <w:name w:val="RTF_Num 97 2"/>
    <w:rsid w:val="0095645A"/>
    <w:rPr>
      <w:rFonts w:ascii="Symbol" w:hAnsi="Symbol" w:cs="Symbol"/>
      <w:color w:val="000000"/>
      <w:u w:val="single"/>
      <w:shd w:val="clear" w:color="auto" w:fill="FFFFFF"/>
    </w:rPr>
  </w:style>
  <w:style w:type="character" w:customStyle="1" w:styleId="RTFNum982">
    <w:name w:val="RTF_Num 98 2"/>
    <w:rsid w:val="0095645A"/>
    <w:rPr>
      <w:rFonts w:ascii="Symbol" w:hAnsi="Symbol" w:cs="Symbol"/>
      <w:color w:val="000000"/>
      <w:u w:val="single"/>
      <w:shd w:val="clear" w:color="auto" w:fill="FFFFFF"/>
    </w:rPr>
  </w:style>
  <w:style w:type="character" w:customStyle="1" w:styleId="RTFNum992">
    <w:name w:val="RTF_Num 99 2"/>
    <w:rsid w:val="0095645A"/>
    <w:rPr>
      <w:rFonts w:ascii="Symbol" w:hAnsi="Symbol" w:cs="Symbol"/>
      <w:color w:val="000000"/>
      <w:u w:val="single"/>
      <w:shd w:val="clear" w:color="auto" w:fill="FFFFFF"/>
    </w:rPr>
  </w:style>
  <w:style w:type="character" w:customStyle="1" w:styleId="RTFNum1002">
    <w:name w:val="RTF_Num 100 2"/>
    <w:rsid w:val="0095645A"/>
    <w:rPr>
      <w:rFonts w:ascii="Symbol" w:hAnsi="Symbol" w:cs="Symbol"/>
      <w:color w:val="000000"/>
      <w:u w:val="single"/>
      <w:shd w:val="clear" w:color="auto" w:fill="FFFFFF"/>
    </w:rPr>
  </w:style>
  <w:style w:type="character" w:customStyle="1" w:styleId="RTFNum1012">
    <w:name w:val="RTF_Num 101 2"/>
    <w:rsid w:val="0095645A"/>
    <w:rPr>
      <w:rFonts w:ascii="Symbol" w:hAnsi="Symbol" w:cs="Symbol"/>
      <w:color w:val="000000"/>
      <w:u w:val="single"/>
      <w:shd w:val="clear" w:color="auto" w:fill="FFFFFF"/>
    </w:rPr>
  </w:style>
  <w:style w:type="character" w:customStyle="1" w:styleId="RTFNum1022">
    <w:name w:val="RTF_Num 102 2"/>
    <w:rsid w:val="0095645A"/>
    <w:rPr>
      <w:rFonts w:ascii="Symbol" w:hAnsi="Symbol" w:cs="Symbol"/>
      <w:color w:val="000000"/>
      <w:u w:val="single"/>
      <w:shd w:val="clear" w:color="auto" w:fill="FFFFFF"/>
    </w:rPr>
  </w:style>
  <w:style w:type="character" w:customStyle="1" w:styleId="RTFNum1032">
    <w:name w:val="RTF_Num 103 2"/>
    <w:rsid w:val="0095645A"/>
    <w:rPr>
      <w:rFonts w:ascii="Symbol" w:hAnsi="Symbol" w:cs="Symbol"/>
      <w:color w:val="000000"/>
      <w:u w:val="single"/>
      <w:shd w:val="clear" w:color="auto" w:fill="FFFFFF"/>
    </w:rPr>
  </w:style>
  <w:style w:type="character" w:customStyle="1" w:styleId="RTFNum1042">
    <w:name w:val="RTF_Num 104 2"/>
    <w:rsid w:val="0095645A"/>
    <w:rPr>
      <w:rFonts w:ascii="Symbol" w:hAnsi="Symbol" w:cs="Symbol"/>
      <w:color w:val="000000"/>
      <w:u w:val="single"/>
      <w:shd w:val="clear" w:color="auto" w:fill="FFFFFF"/>
    </w:rPr>
  </w:style>
  <w:style w:type="character" w:customStyle="1" w:styleId="RTFNum1052">
    <w:name w:val="RTF_Num 105 2"/>
    <w:rsid w:val="0095645A"/>
    <w:rPr>
      <w:rFonts w:ascii="Symbol" w:hAnsi="Symbol" w:cs="Symbol"/>
      <w:color w:val="000000"/>
      <w:u w:val="single"/>
      <w:shd w:val="clear" w:color="auto" w:fill="FFFFFF"/>
    </w:rPr>
  </w:style>
  <w:style w:type="character" w:customStyle="1" w:styleId="RTFNum1062">
    <w:name w:val="RTF_Num 106 2"/>
    <w:rsid w:val="0095645A"/>
    <w:rPr>
      <w:rFonts w:ascii="Symbol" w:hAnsi="Symbol" w:cs="Symbol"/>
      <w:color w:val="000000"/>
      <w:u w:val="single"/>
      <w:shd w:val="clear" w:color="auto" w:fill="FFFFFF"/>
    </w:rPr>
  </w:style>
  <w:style w:type="character" w:customStyle="1" w:styleId="RTFNum1072">
    <w:name w:val="RTF_Num 107 2"/>
    <w:rsid w:val="0095645A"/>
    <w:rPr>
      <w:rFonts w:ascii="Symbol" w:hAnsi="Symbol" w:cs="Symbol"/>
      <w:color w:val="000000"/>
      <w:u w:val="single"/>
      <w:shd w:val="clear" w:color="auto" w:fill="FFFFFF"/>
    </w:rPr>
  </w:style>
  <w:style w:type="character" w:customStyle="1" w:styleId="RTFNum1082">
    <w:name w:val="RTF_Num 108 2"/>
    <w:rsid w:val="0095645A"/>
    <w:rPr>
      <w:rFonts w:ascii="Symbol" w:hAnsi="Symbol" w:cs="Symbol"/>
      <w:color w:val="000000"/>
      <w:u w:val="single"/>
      <w:shd w:val="clear" w:color="auto" w:fill="FFFFFF"/>
    </w:rPr>
  </w:style>
  <w:style w:type="character" w:customStyle="1" w:styleId="RTFNum1092">
    <w:name w:val="RTF_Num 109 2"/>
    <w:rsid w:val="0095645A"/>
    <w:rPr>
      <w:rFonts w:ascii="Wingdings" w:hAnsi="Wingdings" w:cs="Wingdings"/>
      <w:color w:val="000000"/>
      <w:u w:val="single"/>
      <w:shd w:val="clear" w:color="auto" w:fill="FFFFFF"/>
    </w:rPr>
  </w:style>
  <w:style w:type="character" w:customStyle="1" w:styleId="RTFNum1102">
    <w:name w:val="RTF_Num 110 2"/>
    <w:rsid w:val="0095645A"/>
    <w:rPr>
      <w:rFonts w:ascii="Symbol" w:hAnsi="Symbol" w:cs="Symbol"/>
      <w:color w:val="000000"/>
      <w:u w:val="single"/>
      <w:shd w:val="clear" w:color="auto" w:fill="FFFFFF"/>
    </w:rPr>
  </w:style>
  <w:style w:type="character" w:customStyle="1" w:styleId="RTFNum1112">
    <w:name w:val="RTF_Num 111 2"/>
    <w:rsid w:val="0095645A"/>
    <w:rPr>
      <w:rFonts w:ascii="Symbol" w:hAnsi="Symbol" w:cs="Symbol"/>
      <w:color w:val="000000"/>
      <w:u w:val="single"/>
      <w:shd w:val="clear" w:color="auto" w:fill="FFFFFF"/>
    </w:rPr>
  </w:style>
  <w:style w:type="character" w:customStyle="1" w:styleId="RTFNum1122">
    <w:name w:val="RTF_Num 112 2"/>
    <w:rsid w:val="0095645A"/>
    <w:rPr>
      <w:rFonts w:ascii="Symbol" w:hAnsi="Symbol" w:cs="Symbol"/>
      <w:color w:val="000000"/>
      <w:u w:val="single"/>
      <w:shd w:val="clear" w:color="auto" w:fill="FFFFFF"/>
    </w:rPr>
  </w:style>
  <w:style w:type="character" w:customStyle="1" w:styleId="RTFNum1132">
    <w:name w:val="RTF_Num 113 2"/>
    <w:rsid w:val="0095645A"/>
    <w:rPr>
      <w:rFonts w:ascii="Symbol" w:hAnsi="Symbol" w:cs="Symbol"/>
      <w:color w:val="000000"/>
      <w:u w:val="single"/>
      <w:shd w:val="clear" w:color="auto" w:fill="FFFFFF"/>
    </w:rPr>
  </w:style>
  <w:style w:type="character" w:customStyle="1" w:styleId="RTFNum1152">
    <w:name w:val="RTF_Num 115 2"/>
    <w:rsid w:val="0095645A"/>
    <w:rPr>
      <w:rFonts w:ascii="Symbol" w:hAnsi="Symbol" w:cs="Symbol"/>
      <w:color w:val="000000"/>
      <w:u w:val="single"/>
      <w:shd w:val="clear" w:color="auto" w:fill="FFFFFF"/>
    </w:rPr>
  </w:style>
  <w:style w:type="character" w:customStyle="1" w:styleId="RTFNum1172">
    <w:name w:val="RTF_Num 117 2"/>
    <w:rsid w:val="0095645A"/>
    <w:rPr>
      <w:rFonts w:ascii="Symbol" w:hAnsi="Symbol" w:cs="Symbol"/>
      <w:color w:val="000000"/>
      <w:u w:val="single"/>
      <w:shd w:val="clear" w:color="auto" w:fill="FFFFFF"/>
    </w:rPr>
  </w:style>
  <w:style w:type="character" w:customStyle="1" w:styleId="RTFNum1182">
    <w:name w:val="RTF_Num 118 2"/>
    <w:rsid w:val="0095645A"/>
    <w:rPr>
      <w:rFonts w:ascii="Symbol" w:hAnsi="Symbol" w:cs="Symbol"/>
      <w:color w:val="000000"/>
      <w:u w:val="single"/>
      <w:shd w:val="clear" w:color="auto" w:fill="FFFFFF"/>
    </w:rPr>
  </w:style>
  <w:style w:type="character" w:customStyle="1" w:styleId="RTFNum1192">
    <w:name w:val="RTF_Num 119 2"/>
    <w:rsid w:val="0095645A"/>
    <w:rPr>
      <w:rFonts w:ascii="Symbol" w:hAnsi="Symbol" w:cs="Symbol"/>
      <w:color w:val="000000"/>
      <w:u w:val="single"/>
      <w:shd w:val="clear" w:color="auto" w:fill="FFFFFF"/>
    </w:rPr>
  </w:style>
  <w:style w:type="character" w:customStyle="1" w:styleId="RTFNum1202">
    <w:name w:val="RTF_Num 120 2"/>
    <w:rsid w:val="0095645A"/>
    <w:rPr>
      <w:rFonts w:ascii="Symbol" w:hAnsi="Symbol" w:cs="Symbol"/>
      <w:color w:val="000000"/>
      <w:u w:val="single"/>
      <w:shd w:val="clear" w:color="auto" w:fill="FFFFFF"/>
    </w:rPr>
  </w:style>
  <w:style w:type="character" w:customStyle="1" w:styleId="RTFNum1212">
    <w:name w:val="RTF_Num 121 2"/>
    <w:rsid w:val="0095645A"/>
    <w:rPr>
      <w:rFonts w:ascii="Symbol" w:hAnsi="Symbol" w:cs="Symbol"/>
      <w:color w:val="000000"/>
      <w:u w:val="single"/>
      <w:shd w:val="clear" w:color="auto" w:fill="FFFFFF"/>
    </w:rPr>
  </w:style>
  <w:style w:type="character" w:customStyle="1" w:styleId="RTFNum1222">
    <w:name w:val="RTF_Num 122 2"/>
    <w:rsid w:val="0095645A"/>
    <w:rPr>
      <w:rFonts w:ascii="Symbol" w:hAnsi="Symbol" w:cs="Symbol"/>
      <w:color w:val="000000"/>
      <w:u w:val="single"/>
      <w:shd w:val="clear" w:color="auto" w:fill="FFFFFF"/>
    </w:rPr>
  </w:style>
  <w:style w:type="character" w:customStyle="1" w:styleId="RTFNum1232">
    <w:name w:val="RTF_Num 123 2"/>
    <w:rsid w:val="0095645A"/>
    <w:rPr>
      <w:rFonts w:ascii="Symbol" w:hAnsi="Symbol" w:cs="Symbol"/>
      <w:color w:val="000000"/>
      <w:u w:val="single"/>
      <w:shd w:val="clear" w:color="auto" w:fill="FFFFFF"/>
    </w:rPr>
  </w:style>
  <w:style w:type="character" w:customStyle="1" w:styleId="RTFNum1262">
    <w:name w:val="RTF_Num 126 2"/>
    <w:rsid w:val="0095645A"/>
    <w:rPr>
      <w:rFonts w:ascii="Symbol" w:hAnsi="Symbol" w:cs="Symbol"/>
      <w:color w:val="000000"/>
      <w:u w:val="single"/>
      <w:shd w:val="clear" w:color="auto" w:fill="FFFFFF"/>
    </w:rPr>
  </w:style>
  <w:style w:type="character" w:customStyle="1" w:styleId="RTFNum1292">
    <w:name w:val="RTF_Num 129 2"/>
    <w:rsid w:val="0095645A"/>
    <w:rPr>
      <w:rFonts w:ascii="Symbol" w:hAnsi="Symbol" w:cs="Symbol"/>
      <w:color w:val="000000"/>
      <w:shd w:val="clear" w:color="auto" w:fill="FFFFFF"/>
    </w:rPr>
  </w:style>
  <w:style w:type="character" w:customStyle="1" w:styleId="RTFNum1302">
    <w:name w:val="RTF_Num 130 2"/>
    <w:rsid w:val="0095645A"/>
    <w:rPr>
      <w:rFonts w:ascii="Symbol" w:hAnsi="Symbol" w:cs="Symbol"/>
      <w:color w:val="000000"/>
      <w:shd w:val="clear" w:color="auto" w:fill="FFFFFF"/>
    </w:rPr>
  </w:style>
  <w:style w:type="character" w:customStyle="1" w:styleId="RTFNum1312">
    <w:name w:val="RTF_Num 131 2"/>
    <w:rsid w:val="0095645A"/>
    <w:rPr>
      <w:rFonts w:ascii="Symbol" w:hAnsi="Symbol" w:cs="Symbol"/>
      <w:color w:val="000000"/>
      <w:shd w:val="clear" w:color="auto" w:fill="FFFFFF"/>
    </w:rPr>
  </w:style>
  <w:style w:type="character" w:customStyle="1" w:styleId="RTFNum1322">
    <w:name w:val="RTF_Num 132 2"/>
    <w:rsid w:val="0095645A"/>
    <w:rPr>
      <w:rFonts w:ascii="Symbol" w:hAnsi="Symbol" w:cs="Symbol"/>
      <w:color w:val="000000"/>
      <w:shd w:val="clear" w:color="auto" w:fill="FFFFFF"/>
    </w:rPr>
  </w:style>
  <w:style w:type="character" w:customStyle="1" w:styleId="RTFNum1332">
    <w:name w:val="RTF_Num 133 2"/>
    <w:rsid w:val="0095645A"/>
    <w:rPr>
      <w:rFonts w:ascii="Symbol" w:hAnsi="Symbol" w:cs="Symbol"/>
      <w:color w:val="000000"/>
      <w:shd w:val="clear" w:color="auto" w:fill="FFFFFF"/>
    </w:rPr>
  </w:style>
  <w:style w:type="character" w:customStyle="1" w:styleId="RTFNum1342">
    <w:name w:val="RTF_Num 134 2"/>
    <w:rsid w:val="0095645A"/>
    <w:rPr>
      <w:rFonts w:ascii="Symbol" w:hAnsi="Symbol" w:cs="Symbol"/>
      <w:color w:val="000000"/>
      <w:shd w:val="clear" w:color="auto" w:fill="FFFFFF"/>
    </w:rPr>
  </w:style>
  <w:style w:type="character" w:customStyle="1" w:styleId="RTFNum1352">
    <w:name w:val="RTF_Num 135 2"/>
    <w:rsid w:val="0095645A"/>
    <w:rPr>
      <w:rFonts w:ascii="Symbol" w:hAnsi="Symbol" w:cs="Symbol"/>
      <w:color w:val="000000"/>
      <w:shd w:val="clear" w:color="auto" w:fill="FFFFFF"/>
    </w:rPr>
  </w:style>
  <w:style w:type="character" w:customStyle="1" w:styleId="RTFNum1362">
    <w:name w:val="RTF_Num 136 2"/>
    <w:rsid w:val="0095645A"/>
    <w:rPr>
      <w:rFonts w:ascii="Symbol" w:hAnsi="Symbol" w:cs="Symbol"/>
      <w:color w:val="000000"/>
      <w:shd w:val="clear" w:color="auto" w:fill="FFFFFF"/>
    </w:rPr>
  </w:style>
  <w:style w:type="character" w:customStyle="1" w:styleId="RTFNum1372">
    <w:name w:val="RTF_Num 137 2"/>
    <w:rsid w:val="0095645A"/>
    <w:rPr>
      <w:rFonts w:ascii="Symbol" w:hAnsi="Symbol" w:cs="Symbol"/>
      <w:color w:val="000000"/>
      <w:shd w:val="clear" w:color="auto" w:fill="FFFFFF"/>
    </w:rPr>
  </w:style>
  <w:style w:type="character" w:customStyle="1" w:styleId="RTFNum1382">
    <w:name w:val="RTF_Num 138 2"/>
    <w:rsid w:val="0095645A"/>
    <w:rPr>
      <w:rFonts w:ascii="Symbol" w:hAnsi="Symbol" w:cs="Symbol"/>
      <w:color w:val="000000"/>
      <w:shd w:val="clear" w:color="auto" w:fill="FFFFFF"/>
    </w:rPr>
  </w:style>
  <w:style w:type="character" w:customStyle="1" w:styleId="RTFNum1392">
    <w:name w:val="RTF_Num 139 2"/>
    <w:rsid w:val="0095645A"/>
    <w:rPr>
      <w:rFonts w:ascii="Symbol" w:hAnsi="Symbol" w:cs="Symbol"/>
      <w:color w:val="000000"/>
      <w:shd w:val="clear" w:color="auto" w:fill="FFFFFF"/>
    </w:rPr>
  </w:style>
  <w:style w:type="character" w:customStyle="1" w:styleId="RTFNum1402">
    <w:name w:val="RTF_Num 140 2"/>
    <w:rsid w:val="0095645A"/>
    <w:rPr>
      <w:rFonts w:ascii="Symbol" w:hAnsi="Symbol" w:cs="Symbol"/>
      <w:color w:val="000000"/>
      <w:shd w:val="clear" w:color="auto" w:fill="FFFFFF"/>
    </w:rPr>
  </w:style>
  <w:style w:type="character" w:customStyle="1" w:styleId="RTFNum1412">
    <w:name w:val="RTF_Num 141 2"/>
    <w:rsid w:val="0095645A"/>
    <w:rPr>
      <w:rFonts w:ascii="Symbol" w:hAnsi="Symbol" w:cs="Symbol"/>
      <w:color w:val="000000"/>
      <w:shd w:val="clear" w:color="auto" w:fill="FFFFFF"/>
    </w:rPr>
  </w:style>
  <w:style w:type="character" w:customStyle="1" w:styleId="RTFNum1422">
    <w:name w:val="RTF_Num 142 2"/>
    <w:rsid w:val="0095645A"/>
    <w:rPr>
      <w:rFonts w:ascii="Symbol" w:hAnsi="Symbol" w:cs="Symbol"/>
      <w:color w:val="000000"/>
      <w:shd w:val="clear" w:color="auto" w:fill="FFFFFF"/>
    </w:rPr>
  </w:style>
  <w:style w:type="character" w:customStyle="1" w:styleId="RTFNum1432">
    <w:name w:val="RTF_Num 143 2"/>
    <w:rsid w:val="0095645A"/>
    <w:rPr>
      <w:rFonts w:ascii="Symbol" w:hAnsi="Symbol" w:cs="Symbol"/>
      <w:color w:val="000000"/>
      <w:shd w:val="clear" w:color="auto" w:fill="FFFFFF"/>
    </w:rPr>
  </w:style>
  <w:style w:type="character" w:customStyle="1" w:styleId="RTFNum1442">
    <w:name w:val="RTF_Num 144 2"/>
    <w:rsid w:val="0095645A"/>
    <w:rPr>
      <w:rFonts w:ascii="Wingdings" w:hAnsi="Wingdings" w:cs="Wingdings"/>
      <w:color w:val="000000"/>
      <w:shd w:val="clear" w:color="auto" w:fill="FFFFFF"/>
    </w:rPr>
  </w:style>
  <w:style w:type="character" w:customStyle="1" w:styleId="RTFNum1452">
    <w:name w:val="RTF_Num 145 2"/>
    <w:rsid w:val="0095645A"/>
    <w:rPr>
      <w:rFonts w:ascii="Symbol" w:hAnsi="Symbol" w:cs="Symbol"/>
      <w:color w:val="000000"/>
      <w:shd w:val="clear" w:color="auto" w:fill="FFFFFF"/>
    </w:rPr>
  </w:style>
  <w:style w:type="character" w:customStyle="1" w:styleId="RTFNum1462">
    <w:name w:val="RTF_Num 146 2"/>
    <w:rsid w:val="0095645A"/>
    <w:rPr>
      <w:rFonts w:ascii="Symbol" w:hAnsi="Symbol" w:cs="Symbol"/>
      <w:color w:val="000000"/>
      <w:shd w:val="clear" w:color="auto" w:fill="FFFFFF"/>
    </w:rPr>
  </w:style>
  <w:style w:type="character" w:customStyle="1" w:styleId="RTFNum1472">
    <w:name w:val="RTF_Num 147 2"/>
    <w:rsid w:val="0095645A"/>
    <w:rPr>
      <w:rFonts w:ascii="Symbol" w:hAnsi="Symbol" w:cs="Symbol"/>
      <w:color w:val="000000"/>
      <w:shd w:val="clear" w:color="auto" w:fill="FFFFFF"/>
    </w:rPr>
  </w:style>
  <w:style w:type="character" w:customStyle="1" w:styleId="RTFNum1482">
    <w:name w:val="RTF_Num 148 2"/>
    <w:rsid w:val="0095645A"/>
    <w:rPr>
      <w:rFonts w:ascii="Symbol" w:hAnsi="Symbol" w:cs="Symbol"/>
      <w:color w:val="000000"/>
      <w:shd w:val="clear" w:color="auto" w:fill="FFFFFF"/>
    </w:rPr>
  </w:style>
  <w:style w:type="character" w:customStyle="1" w:styleId="RTFNum1492">
    <w:name w:val="RTF_Num 149 2"/>
    <w:rsid w:val="0095645A"/>
    <w:rPr>
      <w:rFonts w:ascii="Wingdings" w:hAnsi="Wingdings" w:cs="Wingdings"/>
      <w:color w:val="000000"/>
      <w:shd w:val="clear" w:color="auto" w:fill="FFFFFF"/>
    </w:rPr>
  </w:style>
  <w:style w:type="character" w:customStyle="1" w:styleId="RTFNum1502">
    <w:name w:val="RTF_Num 150 2"/>
    <w:rsid w:val="0095645A"/>
    <w:rPr>
      <w:rFonts w:ascii="Symbol" w:hAnsi="Symbol" w:cs="Symbol"/>
      <w:color w:val="000000"/>
      <w:shd w:val="clear" w:color="auto" w:fill="FFFFFF"/>
    </w:rPr>
  </w:style>
  <w:style w:type="character" w:customStyle="1" w:styleId="RTFNum1512">
    <w:name w:val="RTF_Num 151 2"/>
    <w:rsid w:val="0095645A"/>
    <w:rPr>
      <w:rFonts w:ascii="Symbol" w:hAnsi="Symbol" w:cs="Symbol"/>
      <w:color w:val="000000"/>
      <w:shd w:val="clear" w:color="auto" w:fill="FFFFFF"/>
    </w:rPr>
  </w:style>
  <w:style w:type="character" w:customStyle="1" w:styleId="RTFNum1522">
    <w:name w:val="RTF_Num 152 2"/>
    <w:rsid w:val="0095645A"/>
    <w:rPr>
      <w:rFonts w:ascii="Symbol" w:hAnsi="Symbol" w:cs="Symbol"/>
      <w:color w:val="000000"/>
      <w:shd w:val="clear" w:color="auto" w:fill="FFFFFF"/>
    </w:rPr>
  </w:style>
  <w:style w:type="character" w:customStyle="1" w:styleId="RTFNum1532">
    <w:name w:val="RTF_Num 153 2"/>
    <w:rsid w:val="0095645A"/>
    <w:rPr>
      <w:rFonts w:ascii="Symbol" w:hAnsi="Symbol" w:cs="Symbol"/>
      <w:color w:val="000000"/>
      <w:shd w:val="clear" w:color="auto" w:fill="FFFFFF"/>
    </w:rPr>
  </w:style>
  <w:style w:type="character" w:customStyle="1" w:styleId="RTFNum1542">
    <w:name w:val="RTF_Num 154 2"/>
    <w:rsid w:val="0095645A"/>
    <w:rPr>
      <w:rFonts w:ascii="Symbol" w:hAnsi="Symbol" w:cs="Symbol"/>
      <w:color w:val="000000"/>
      <w:shd w:val="clear" w:color="auto" w:fill="FFFFFF"/>
    </w:rPr>
  </w:style>
  <w:style w:type="character" w:customStyle="1" w:styleId="RTFNum1552">
    <w:name w:val="RTF_Num 155 2"/>
    <w:rsid w:val="0095645A"/>
    <w:rPr>
      <w:rFonts w:ascii="Wingdings" w:hAnsi="Wingdings" w:cs="Wingdings"/>
      <w:color w:val="000000"/>
      <w:shd w:val="clear" w:color="auto" w:fill="FFFFFF"/>
    </w:rPr>
  </w:style>
  <w:style w:type="character" w:customStyle="1" w:styleId="RTFNum1562">
    <w:name w:val="RTF_Num 156 2"/>
    <w:rsid w:val="0095645A"/>
    <w:rPr>
      <w:rFonts w:ascii="Wingdings" w:hAnsi="Wingdings" w:cs="Wingdings"/>
      <w:color w:val="000000"/>
      <w:shd w:val="clear" w:color="auto" w:fill="FFFFFF"/>
    </w:rPr>
  </w:style>
  <w:style w:type="character" w:customStyle="1" w:styleId="RTFNum1572">
    <w:name w:val="RTF_Num 157 2"/>
    <w:rsid w:val="0095645A"/>
    <w:rPr>
      <w:rFonts w:ascii="Wingdings" w:hAnsi="Wingdings" w:cs="Wingdings"/>
      <w:color w:val="000000"/>
      <w:shd w:val="clear" w:color="auto" w:fill="FFFFFF"/>
    </w:rPr>
  </w:style>
  <w:style w:type="character" w:customStyle="1" w:styleId="RTFNum1582">
    <w:name w:val="RTF_Num 158 2"/>
    <w:rsid w:val="0095645A"/>
    <w:rPr>
      <w:rFonts w:ascii="Wingdings" w:hAnsi="Wingdings" w:cs="Wingdings"/>
      <w:color w:val="000000"/>
      <w:shd w:val="clear" w:color="auto" w:fill="FFFFFF"/>
    </w:rPr>
  </w:style>
  <w:style w:type="character" w:customStyle="1" w:styleId="RTFNum1592">
    <w:name w:val="RTF_Num 159 2"/>
    <w:rsid w:val="0095645A"/>
    <w:rPr>
      <w:rFonts w:ascii="Wingdings" w:hAnsi="Wingdings" w:cs="Wingdings"/>
      <w:color w:val="000000"/>
      <w:shd w:val="clear" w:color="auto" w:fill="FFFFFF"/>
    </w:rPr>
  </w:style>
  <w:style w:type="character" w:customStyle="1" w:styleId="RTFNum1602">
    <w:name w:val="RTF_Num 160 2"/>
    <w:rsid w:val="0095645A"/>
    <w:rPr>
      <w:rFonts w:ascii="Wingdings" w:hAnsi="Wingdings" w:cs="Wingdings"/>
      <w:color w:val="000000"/>
      <w:shd w:val="clear" w:color="auto" w:fill="FFFFFF"/>
    </w:rPr>
  </w:style>
  <w:style w:type="character" w:customStyle="1" w:styleId="RTFNum1612">
    <w:name w:val="RTF_Num 161 2"/>
    <w:rsid w:val="0095645A"/>
    <w:rPr>
      <w:rFonts w:ascii="Wingdings" w:hAnsi="Wingdings" w:cs="Wingdings"/>
      <w:color w:val="000000"/>
      <w:shd w:val="clear" w:color="auto" w:fill="FFFFFF"/>
    </w:rPr>
  </w:style>
  <w:style w:type="character" w:customStyle="1" w:styleId="RTFNum1622">
    <w:name w:val="RTF_Num 162 2"/>
    <w:rsid w:val="0095645A"/>
    <w:rPr>
      <w:rFonts w:ascii="Wingdings" w:hAnsi="Wingdings" w:cs="Wingdings"/>
      <w:color w:val="000000"/>
      <w:shd w:val="clear" w:color="auto" w:fill="FFFFFF"/>
    </w:rPr>
  </w:style>
  <w:style w:type="character" w:customStyle="1" w:styleId="RTFNum1632">
    <w:name w:val="RTF_Num 163 2"/>
    <w:rsid w:val="0095645A"/>
    <w:rPr>
      <w:rFonts w:ascii="Symbol" w:hAnsi="Symbol" w:cs="Symbol"/>
      <w:color w:val="000000"/>
      <w:shd w:val="clear" w:color="auto" w:fill="FFFFFF"/>
    </w:rPr>
  </w:style>
  <w:style w:type="character" w:customStyle="1" w:styleId="RTFNum1642">
    <w:name w:val="RTF_Num 164 2"/>
    <w:rsid w:val="0095645A"/>
    <w:rPr>
      <w:rFonts w:ascii="Symbol" w:hAnsi="Symbol" w:cs="Symbol"/>
      <w:color w:val="000000"/>
      <w:shd w:val="clear" w:color="auto" w:fill="FFFFFF"/>
    </w:rPr>
  </w:style>
  <w:style w:type="character" w:customStyle="1" w:styleId="RTFNum1652">
    <w:name w:val="RTF_Num 165 2"/>
    <w:rsid w:val="0095645A"/>
    <w:rPr>
      <w:rFonts w:ascii="Symbol" w:hAnsi="Symbol" w:cs="Symbol"/>
      <w:color w:val="000000"/>
      <w:shd w:val="clear" w:color="auto" w:fill="FFFFFF"/>
    </w:rPr>
  </w:style>
  <w:style w:type="character" w:customStyle="1" w:styleId="RTFNum1662">
    <w:name w:val="RTF_Num 166 2"/>
    <w:rsid w:val="0095645A"/>
    <w:rPr>
      <w:rFonts w:ascii="Wingdings" w:hAnsi="Wingdings" w:cs="Wingdings"/>
      <w:color w:val="000000"/>
      <w:shd w:val="clear" w:color="auto" w:fill="FFFFFF"/>
    </w:rPr>
  </w:style>
  <w:style w:type="character" w:customStyle="1" w:styleId="RTFNum1672">
    <w:name w:val="RTF_Num 167 2"/>
    <w:rsid w:val="0095645A"/>
    <w:rPr>
      <w:rFonts w:ascii="Wingdings" w:hAnsi="Wingdings" w:cs="Wingdings"/>
      <w:color w:val="000000"/>
      <w:shd w:val="clear" w:color="auto" w:fill="FFFFFF"/>
    </w:rPr>
  </w:style>
  <w:style w:type="character" w:customStyle="1" w:styleId="RTFNum1682">
    <w:name w:val="RTF_Num 168 2"/>
    <w:rsid w:val="0095645A"/>
    <w:rPr>
      <w:rFonts w:ascii="Wingdings" w:hAnsi="Wingdings" w:cs="Wingdings"/>
      <w:color w:val="000000"/>
      <w:shd w:val="clear" w:color="auto" w:fill="FFFFFF"/>
    </w:rPr>
  </w:style>
  <w:style w:type="character" w:customStyle="1" w:styleId="RTFNum1692">
    <w:name w:val="RTF_Num 169 2"/>
    <w:rsid w:val="0095645A"/>
    <w:rPr>
      <w:rFonts w:ascii="Symbol" w:hAnsi="Symbol" w:cs="Symbol"/>
      <w:color w:val="000000"/>
      <w:shd w:val="clear" w:color="auto" w:fill="FFFFFF"/>
    </w:rPr>
  </w:style>
  <w:style w:type="character" w:customStyle="1" w:styleId="RTFNum1702">
    <w:name w:val="RTF_Num 170 2"/>
    <w:rsid w:val="0095645A"/>
    <w:rPr>
      <w:rFonts w:ascii="Wingdings" w:hAnsi="Wingdings" w:cs="Wingdings"/>
      <w:color w:val="000000"/>
      <w:shd w:val="clear" w:color="auto" w:fill="FFFFFF"/>
    </w:rPr>
  </w:style>
  <w:style w:type="character" w:customStyle="1" w:styleId="RTFNum1712">
    <w:name w:val="RTF_Num 171 2"/>
    <w:rsid w:val="0095645A"/>
    <w:rPr>
      <w:rFonts w:ascii="Symbol" w:hAnsi="Symbol" w:cs="Symbol"/>
      <w:color w:val="000000"/>
      <w:shd w:val="clear" w:color="auto" w:fill="FFFFFF"/>
    </w:rPr>
  </w:style>
  <w:style w:type="character" w:customStyle="1" w:styleId="RTFNum1722">
    <w:name w:val="RTF_Num 172 2"/>
    <w:rsid w:val="0095645A"/>
    <w:rPr>
      <w:rFonts w:ascii="Symbol" w:hAnsi="Symbol" w:cs="Symbol"/>
      <w:color w:val="000000"/>
      <w:shd w:val="clear" w:color="auto" w:fill="FFFFFF"/>
    </w:rPr>
  </w:style>
  <w:style w:type="character" w:customStyle="1" w:styleId="RTFNum1732">
    <w:name w:val="RTF_Num 173 2"/>
    <w:rsid w:val="0095645A"/>
    <w:rPr>
      <w:rFonts w:ascii="Wingdings" w:hAnsi="Wingdings" w:cs="Wingdings"/>
      <w:color w:val="000000"/>
      <w:shd w:val="clear" w:color="auto" w:fill="FFFFFF"/>
    </w:rPr>
  </w:style>
  <w:style w:type="character" w:customStyle="1" w:styleId="RTFNum1742">
    <w:name w:val="RTF_Num 174 2"/>
    <w:rsid w:val="0095645A"/>
    <w:rPr>
      <w:rFonts w:ascii="Wingdings" w:hAnsi="Wingdings" w:cs="Wingdings"/>
      <w:color w:val="000000"/>
      <w:shd w:val="clear" w:color="auto" w:fill="FFFFFF"/>
    </w:rPr>
  </w:style>
  <w:style w:type="character" w:customStyle="1" w:styleId="RTFNum1752">
    <w:name w:val="RTF_Num 175 2"/>
    <w:rsid w:val="0095645A"/>
    <w:rPr>
      <w:rFonts w:ascii="Wingdings" w:hAnsi="Wingdings" w:cs="Wingdings"/>
      <w:color w:val="000000"/>
      <w:shd w:val="clear" w:color="auto" w:fill="FFFFFF"/>
    </w:rPr>
  </w:style>
  <w:style w:type="character" w:customStyle="1" w:styleId="RTFNum1762">
    <w:name w:val="RTF_Num 176 2"/>
    <w:rsid w:val="0095645A"/>
    <w:rPr>
      <w:rFonts w:ascii="Wingdings" w:hAnsi="Wingdings" w:cs="Wingdings"/>
      <w:color w:val="000000"/>
      <w:shd w:val="clear" w:color="auto" w:fill="FFFFFF"/>
    </w:rPr>
  </w:style>
  <w:style w:type="character" w:customStyle="1" w:styleId="RTFNum1772">
    <w:name w:val="RTF_Num 177 2"/>
    <w:rsid w:val="0095645A"/>
    <w:rPr>
      <w:rFonts w:ascii="Symbol" w:hAnsi="Symbol" w:cs="Symbol"/>
      <w:color w:val="000000"/>
      <w:shd w:val="clear" w:color="auto" w:fill="FFFFFF"/>
    </w:rPr>
  </w:style>
  <w:style w:type="character" w:customStyle="1" w:styleId="RTFNum1782">
    <w:name w:val="RTF_Num 178 2"/>
    <w:rsid w:val="0095645A"/>
    <w:rPr>
      <w:rFonts w:ascii="Wingdings" w:hAnsi="Wingdings" w:cs="Wingdings"/>
      <w:color w:val="000000"/>
      <w:shd w:val="clear" w:color="auto" w:fill="FFFFFF"/>
    </w:rPr>
  </w:style>
  <w:style w:type="character" w:customStyle="1" w:styleId="RTFNum1792">
    <w:name w:val="RTF_Num 179 2"/>
    <w:rsid w:val="0095645A"/>
    <w:rPr>
      <w:rFonts w:ascii="Wingdings" w:hAnsi="Wingdings" w:cs="Wingdings"/>
      <w:color w:val="000000"/>
      <w:shd w:val="clear" w:color="auto" w:fill="FFFFFF"/>
    </w:rPr>
  </w:style>
  <w:style w:type="character" w:customStyle="1" w:styleId="RTFNum1802">
    <w:name w:val="RTF_Num 180 2"/>
    <w:rsid w:val="0095645A"/>
    <w:rPr>
      <w:rFonts w:ascii="Symbol" w:hAnsi="Symbol" w:cs="Symbol"/>
      <w:color w:val="000000"/>
      <w:shd w:val="clear" w:color="auto" w:fill="FFFFFF"/>
    </w:rPr>
  </w:style>
  <w:style w:type="character" w:customStyle="1" w:styleId="RTFNum1812">
    <w:name w:val="RTF_Num 181 2"/>
    <w:rsid w:val="0095645A"/>
    <w:rPr>
      <w:rFonts w:ascii="Wingdings" w:hAnsi="Wingdings" w:cs="Wingdings"/>
      <w:color w:val="000000"/>
      <w:shd w:val="clear" w:color="auto" w:fill="FFFFFF"/>
    </w:rPr>
  </w:style>
  <w:style w:type="character" w:customStyle="1" w:styleId="RTFNum1822">
    <w:name w:val="RTF_Num 182 2"/>
    <w:rsid w:val="0095645A"/>
    <w:rPr>
      <w:rFonts w:ascii="Symbol" w:hAnsi="Symbol" w:cs="Symbol"/>
      <w:color w:val="000000"/>
      <w:shd w:val="clear" w:color="auto" w:fill="FFFFFF"/>
    </w:rPr>
  </w:style>
  <w:style w:type="character" w:customStyle="1" w:styleId="RTFNum1832">
    <w:name w:val="RTF_Num 183 2"/>
    <w:rsid w:val="0095645A"/>
    <w:rPr>
      <w:rFonts w:ascii="Symbol" w:hAnsi="Symbol" w:cs="Symbol"/>
      <w:color w:val="000000"/>
      <w:shd w:val="clear" w:color="auto" w:fill="FFFFFF"/>
    </w:rPr>
  </w:style>
  <w:style w:type="character" w:customStyle="1" w:styleId="RTFNum1842">
    <w:name w:val="RTF_Num 184 2"/>
    <w:rsid w:val="0095645A"/>
    <w:rPr>
      <w:rFonts w:ascii="Symbol" w:hAnsi="Symbol" w:cs="Symbol"/>
      <w:color w:val="000000"/>
      <w:shd w:val="clear" w:color="auto" w:fill="FFFFFF"/>
    </w:rPr>
  </w:style>
  <w:style w:type="character" w:customStyle="1" w:styleId="RTFNum1852">
    <w:name w:val="RTF_Num 185 2"/>
    <w:rsid w:val="0095645A"/>
    <w:rPr>
      <w:rFonts w:ascii="Symbol" w:hAnsi="Symbol" w:cs="Symbol"/>
      <w:color w:val="000000"/>
      <w:shd w:val="clear" w:color="auto" w:fill="FFFFFF"/>
    </w:rPr>
  </w:style>
  <w:style w:type="character" w:customStyle="1" w:styleId="RTFNum1862">
    <w:name w:val="RTF_Num 186 2"/>
    <w:rsid w:val="0095645A"/>
    <w:rPr>
      <w:rFonts w:ascii="Symbol" w:hAnsi="Symbol" w:cs="Symbol"/>
      <w:color w:val="000000"/>
      <w:shd w:val="clear" w:color="auto" w:fill="FFFFFF"/>
    </w:rPr>
  </w:style>
  <w:style w:type="character" w:customStyle="1" w:styleId="RTFNum1872">
    <w:name w:val="RTF_Num 187 2"/>
    <w:rsid w:val="0095645A"/>
    <w:rPr>
      <w:rFonts w:ascii="Symbol" w:hAnsi="Symbol" w:cs="Symbol"/>
      <w:color w:val="000000"/>
      <w:shd w:val="clear" w:color="auto" w:fill="FFFFFF"/>
    </w:rPr>
  </w:style>
  <w:style w:type="character" w:customStyle="1" w:styleId="RTFNum1882">
    <w:name w:val="RTF_Num 188 2"/>
    <w:rsid w:val="0095645A"/>
    <w:rPr>
      <w:rFonts w:ascii="Symbol" w:hAnsi="Symbol" w:cs="Symbol"/>
      <w:color w:val="000000"/>
      <w:shd w:val="clear" w:color="auto" w:fill="FFFFFF"/>
    </w:rPr>
  </w:style>
  <w:style w:type="character" w:customStyle="1" w:styleId="RTFNum1892">
    <w:name w:val="RTF_Num 189 2"/>
    <w:rsid w:val="0095645A"/>
    <w:rPr>
      <w:rFonts w:ascii="Symbol" w:hAnsi="Symbol" w:cs="Symbol"/>
      <w:color w:val="000000"/>
      <w:shd w:val="clear" w:color="auto" w:fill="FFFFFF"/>
    </w:rPr>
  </w:style>
  <w:style w:type="character" w:customStyle="1" w:styleId="RTFNum1902">
    <w:name w:val="RTF_Num 190 2"/>
    <w:rsid w:val="0095645A"/>
    <w:rPr>
      <w:rFonts w:ascii="Symbol" w:hAnsi="Symbol" w:cs="Symbol"/>
      <w:color w:val="000000"/>
      <w:shd w:val="clear" w:color="auto" w:fill="FFFFFF"/>
    </w:rPr>
  </w:style>
  <w:style w:type="character" w:customStyle="1" w:styleId="RTFNum1912">
    <w:name w:val="RTF_Num 191 2"/>
    <w:rsid w:val="0095645A"/>
    <w:rPr>
      <w:rFonts w:ascii="Wingdings" w:hAnsi="Wingdings" w:cs="Wingdings"/>
      <w:color w:val="000000"/>
      <w:shd w:val="clear" w:color="auto" w:fill="FFFFFF"/>
    </w:rPr>
  </w:style>
  <w:style w:type="character" w:customStyle="1" w:styleId="RTFNum1922">
    <w:name w:val="RTF_Num 192 2"/>
    <w:rsid w:val="0095645A"/>
    <w:rPr>
      <w:rFonts w:ascii="Wingdings" w:hAnsi="Wingdings" w:cs="Wingdings"/>
      <w:color w:val="000000"/>
      <w:shd w:val="clear" w:color="auto" w:fill="FFFFFF"/>
    </w:rPr>
  </w:style>
  <w:style w:type="character" w:customStyle="1" w:styleId="RTFNum1932">
    <w:name w:val="RTF_Num 193 2"/>
    <w:rsid w:val="0095645A"/>
    <w:rPr>
      <w:rFonts w:ascii="Symbol" w:hAnsi="Symbol" w:cs="Symbol"/>
      <w:color w:val="000000"/>
      <w:shd w:val="clear" w:color="auto" w:fill="FFFFFF"/>
    </w:rPr>
  </w:style>
  <w:style w:type="character" w:customStyle="1" w:styleId="RTFNum1942">
    <w:name w:val="RTF_Num 194 2"/>
    <w:rsid w:val="0095645A"/>
    <w:rPr>
      <w:rFonts w:ascii="Symbol" w:hAnsi="Symbol" w:cs="Symbol"/>
      <w:color w:val="000000"/>
      <w:shd w:val="clear" w:color="auto" w:fill="FFFFFF"/>
    </w:rPr>
  </w:style>
  <w:style w:type="character" w:customStyle="1" w:styleId="RTFNum1952">
    <w:name w:val="RTF_Num 195 2"/>
    <w:rsid w:val="0095645A"/>
    <w:rPr>
      <w:rFonts w:ascii="Symbol" w:hAnsi="Symbol" w:cs="Symbol"/>
      <w:color w:val="000000"/>
      <w:shd w:val="clear" w:color="auto" w:fill="FFFFFF"/>
    </w:rPr>
  </w:style>
  <w:style w:type="character" w:customStyle="1" w:styleId="RTFNum1962">
    <w:name w:val="RTF_Num 196 2"/>
    <w:rsid w:val="0095645A"/>
    <w:rPr>
      <w:rFonts w:ascii="Wingdings" w:hAnsi="Wingdings" w:cs="Wingdings"/>
      <w:color w:val="000000"/>
      <w:shd w:val="clear" w:color="auto" w:fill="FFFFFF"/>
    </w:rPr>
  </w:style>
  <w:style w:type="character" w:customStyle="1" w:styleId="RTFNum1972">
    <w:name w:val="RTF_Num 197 2"/>
    <w:rsid w:val="0095645A"/>
    <w:rPr>
      <w:rFonts w:ascii="Wingdings" w:hAnsi="Wingdings" w:cs="Wingdings"/>
      <w:color w:val="000000"/>
      <w:shd w:val="clear" w:color="auto" w:fill="FFFFFF"/>
    </w:rPr>
  </w:style>
  <w:style w:type="character" w:customStyle="1" w:styleId="RTFNum1982">
    <w:name w:val="RTF_Num 198 2"/>
    <w:rsid w:val="0095645A"/>
    <w:rPr>
      <w:rFonts w:ascii="Wingdings" w:hAnsi="Wingdings" w:cs="Wingdings"/>
      <w:color w:val="000000"/>
      <w:shd w:val="clear" w:color="auto" w:fill="FFFFFF"/>
    </w:rPr>
  </w:style>
  <w:style w:type="character" w:customStyle="1" w:styleId="RTFNum1992">
    <w:name w:val="RTF_Num 199 2"/>
    <w:rsid w:val="0095645A"/>
    <w:rPr>
      <w:rFonts w:ascii="Wingdings" w:hAnsi="Wingdings" w:cs="Wingdings"/>
      <w:color w:val="000000"/>
      <w:shd w:val="clear" w:color="auto" w:fill="FFFFFF"/>
    </w:rPr>
  </w:style>
  <w:style w:type="character" w:customStyle="1" w:styleId="RTFNum2002">
    <w:name w:val="RTF_Num 200 2"/>
    <w:rsid w:val="0095645A"/>
    <w:rPr>
      <w:rFonts w:ascii="Wingdings" w:hAnsi="Wingdings" w:cs="Wingdings"/>
      <w:color w:val="000000"/>
      <w:shd w:val="clear" w:color="auto" w:fill="FFFFFF"/>
    </w:rPr>
  </w:style>
  <w:style w:type="character" w:customStyle="1" w:styleId="RTFNum2012">
    <w:name w:val="RTF_Num 201 2"/>
    <w:rsid w:val="0095645A"/>
    <w:rPr>
      <w:rFonts w:ascii="Wingdings" w:hAnsi="Wingdings" w:cs="Wingdings"/>
      <w:color w:val="000000"/>
      <w:shd w:val="clear" w:color="auto" w:fill="FFFFFF"/>
    </w:rPr>
  </w:style>
  <w:style w:type="character" w:customStyle="1" w:styleId="RTFNum2022">
    <w:name w:val="RTF_Num 202 2"/>
    <w:rsid w:val="0095645A"/>
    <w:rPr>
      <w:rFonts w:ascii="Wingdings" w:hAnsi="Wingdings" w:cs="Wingdings"/>
      <w:color w:val="000000"/>
      <w:shd w:val="clear" w:color="auto" w:fill="FFFFFF"/>
    </w:rPr>
  </w:style>
  <w:style w:type="character" w:customStyle="1" w:styleId="RTFNum2032">
    <w:name w:val="RTF_Num 203 2"/>
    <w:rsid w:val="0095645A"/>
    <w:rPr>
      <w:rFonts w:ascii="Wingdings" w:hAnsi="Wingdings" w:cs="Wingdings"/>
      <w:color w:val="000000"/>
      <w:shd w:val="clear" w:color="auto" w:fill="FFFFFF"/>
    </w:rPr>
  </w:style>
  <w:style w:type="character" w:customStyle="1" w:styleId="RTFNum2042">
    <w:name w:val="RTF_Num 204 2"/>
    <w:rsid w:val="0095645A"/>
    <w:rPr>
      <w:rFonts w:ascii="Wingdings" w:hAnsi="Wingdings" w:cs="Wingdings"/>
      <w:color w:val="000000"/>
      <w:shd w:val="clear" w:color="auto" w:fill="FFFFFF"/>
    </w:rPr>
  </w:style>
  <w:style w:type="character" w:customStyle="1" w:styleId="RTFNum2052">
    <w:name w:val="RTF_Num 205 2"/>
    <w:rsid w:val="0095645A"/>
    <w:rPr>
      <w:rFonts w:ascii="Wingdings" w:hAnsi="Wingdings" w:cs="Wingdings"/>
      <w:color w:val="000000"/>
      <w:shd w:val="clear" w:color="auto" w:fill="FFFFFF"/>
    </w:rPr>
  </w:style>
  <w:style w:type="character" w:customStyle="1" w:styleId="RTFNum2062">
    <w:name w:val="RTF_Num 206 2"/>
    <w:rsid w:val="0095645A"/>
    <w:rPr>
      <w:rFonts w:ascii="Wingdings" w:hAnsi="Wingdings" w:cs="Wingdings"/>
      <w:color w:val="000000"/>
      <w:shd w:val="clear" w:color="auto" w:fill="FFFFFF"/>
    </w:rPr>
  </w:style>
  <w:style w:type="character" w:customStyle="1" w:styleId="RTFNum2072">
    <w:name w:val="RTF_Num 207 2"/>
    <w:rsid w:val="0095645A"/>
    <w:rPr>
      <w:rFonts w:ascii="Wingdings" w:hAnsi="Wingdings" w:cs="Wingdings"/>
      <w:color w:val="000000"/>
      <w:shd w:val="clear" w:color="auto" w:fill="FFFFFF"/>
    </w:rPr>
  </w:style>
  <w:style w:type="character" w:customStyle="1" w:styleId="RTFNum2082">
    <w:name w:val="RTF_Num 208 2"/>
    <w:rsid w:val="0095645A"/>
    <w:rPr>
      <w:rFonts w:ascii="Wingdings" w:hAnsi="Wingdings" w:cs="Wingdings"/>
      <w:color w:val="000000"/>
      <w:shd w:val="clear" w:color="auto" w:fill="FFFFFF"/>
    </w:rPr>
  </w:style>
  <w:style w:type="character" w:customStyle="1" w:styleId="RTFNum2092">
    <w:name w:val="RTF_Num 209 2"/>
    <w:rsid w:val="0095645A"/>
    <w:rPr>
      <w:rFonts w:ascii="Wingdings" w:hAnsi="Wingdings" w:cs="Wingdings"/>
      <w:color w:val="000000"/>
      <w:shd w:val="clear" w:color="auto" w:fill="FFFFFF"/>
    </w:rPr>
  </w:style>
  <w:style w:type="character" w:customStyle="1" w:styleId="RTFNum2102">
    <w:name w:val="RTF_Num 210 2"/>
    <w:rsid w:val="0095645A"/>
    <w:rPr>
      <w:rFonts w:ascii="Wingdings" w:hAnsi="Wingdings" w:cs="Wingdings"/>
      <w:color w:val="000000"/>
      <w:shd w:val="clear" w:color="auto" w:fill="FFFFFF"/>
    </w:rPr>
  </w:style>
  <w:style w:type="character" w:customStyle="1" w:styleId="RTFNum2112">
    <w:name w:val="RTF_Num 211 2"/>
    <w:rsid w:val="0095645A"/>
    <w:rPr>
      <w:rFonts w:ascii="Wingdings" w:hAnsi="Wingdings" w:cs="Wingdings"/>
      <w:color w:val="000000"/>
      <w:shd w:val="clear" w:color="auto" w:fill="FFFFFF"/>
    </w:rPr>
  </w:style>
  <w:style w:type="character" w:customStyle="1" w:styleId="RTFNum2122">
    <w:name w:val="RTF_Num 212 2"/>
    <w:rsid w:val="0095645A"/>
    <w:rPr>
      <w:rFonts w:ascii="Wingdings" w:hAnsi="Wingdings" w:cs="Wingdings"/>
      <w:color w:val="000000"/>
      <w:shd w:val="clear" w:color="auto" w:fill="FFFFFF"/>
    </w:rPr>
  </w:style>
  <w:style w:type="character" w:customStyle="1" w:styleId="RTFNum2132">
    <w:name w:val="RTF_Num 213 2"/>
    <w:rsid w:val="0095645A"/>
    <w:rPr>
      <w:rFonts w:ascii="Wingdings" w:hAnsi="Wingdings" w:cs="Wingdings"/>
      <w:color w:val="000000"/>
      <w:shd w:val="clear" w:color="auto" w:fill="FFFFFF"/>
    </w:rPr>
  </w:style>
  <w:style w:type="character" w:customStyle="1" w:styleId="RTFNum2142">
    <w:name w:val="RTF_Num 214 2"/>
    <w:rsid w:val="0095645A"/>
    <w:rPr>
      <w:rFonts w:ascii="Wingdings" w:hAnsi="Wingdings" w:cs="Wingdings"/>
      <w:color w:val="000000"/>
      <w:shd w:val="clear" w:color="auto" w:fill="FFFFFF"/>
    </w:rPr>
  </w:style>
  <w:style w:type="character" w:customStyle="1" w:styleId="RTFNum2152">
    <w:name w:val="RTF_Num 215 2"/>
    <w:rsid w:val="0095645A"/>
    <w:rPr>
      <w:rFonts w:ascii="Wingdings" w:hAnsi="Wingdings" w:cs="Wingdings"/>
      <w:color w:val="000000"/>
      <w:shd w:val="clear" w:color="auto" w:fill="FFFFFF"/>
    </w:rPr>
  </w:style>
  <w:style w:type="character" w:customStyle="1" w:styleId="RTFNum2162">
    <w:name w:val="RTF_Num 216 2"/>
    <w:rsid w:val="0095645A"/>
    <w:rPr>
      <w:rFonts w:ascii="Wingdings" w:hAnsi="Wingdings" w:cs="Wingdings"/>
      <w:color w:val="000000"/>
      <w:shd w:val="clear" w:color="auto" w:fill="FFFFFF"/>
    </w:rPr>
  </w:style>
  <w:style w:type="character" w:customStyle="1" w:styleId="RTFNum2172">
    <w:name w:val="RTF_Num 217 2"/>
    <w:rsid w:val="0095645A"/>
    <w:rPr>
      <w:rFonts w:ascii="Wingdings" w:hAnsi="Wingdings" w:cs="Wingdings"/>
      <w:color w:val="000000"/>
      <w:shd w:val="clear" w:color="auto" w:fill="FFFFFF"/>
    </w:rPr>
  </w:style>
  <w:style w:type="character" w:customStyle="1" w:styleId="RTFNum2182">
    <w:name w:val="RTF_Num 218 2"/>
    <w:rsid w:val="0095645A"/>
    <w:rPr>
      <w:rFonts w:ascii="Wingdings" w:hAnsi="Wingdings" w:cs="Wingdings"/>
      <w:color w:val="000000"/>
      <w:shd w:val="clear" w:color="auto" w:fill="FFFFFF"/>
    </w:rPr>
  </w:style>
  <w:style w:type="character" w:customStyle="1" w:styleId="RTFNum2192">
    <w:name w:val="RTF_Num 219 2"/>
    <w:rsid w:val="0095645A"/>
    <w:rPr>
      <w:rFonts w:ascii="Wingdings" w:hAnsi="Wingdings" w:cs="Wingdings"/>
      <w:color w:val="000000"/>
      <w:shd w:val="clear" w:color="auto" w:fill="FFFFFF"/>
    </w:rPr>
  </w:style>
  <w:style w:type="character" w:customStyle="1" w:styleId="RTFNum2202">
    <w:name w:val="RTF_Num 220 2"/>
    <w:rsid w:val="0095645A"/>
    <w:rPr>
      <w:rFonts w:ascii="Wingdings" w:hAnsi="Wingdings" w:cs="Wingdings"/>
      <w:color w:val="000000"/>
      <w:shd w:val="clear" w:color="auto" w:fill="FFFFFF"/>
    </w:rPr>
  </w:style>
  <w:style w:type="character" w:customStyle="1" w:styleId="RTFNum2212">
    <w:name w:val="RTF_Num 221 2"/>
    <w:rsid w:val="0095645A"/>
    <w:rPr>
      <w:rFonts w:ascii="Wingdings" w:hAnsi="Wingdings" w:cs="Wingdings"/>
      <w:color w:val="000000"/>
      <w:shd w:val="clear" w:color="auto" w:fill="FFFFFF"/>
    </w:rPr>
  </w:style>
  <w:style w:type="character" w:customStyle="1" w:styleId="RTFNum2222">
    <w:name w:val="RTF_Num 222 2"/>
    <w:rsid w:val="0095645A"/>
    <w:rPr>
      <w:rFonts w:ascii="Wingdings" w:hAnsi="Wingdings" w:cs="Wingdings"/>
      <w:color w:val="000000"/>
      <w:shd w:val="clear" w:color="auto" w:fill="FFFFFF"/>
    </w:rPr>
  </w:style>
  <w:style w:type="character" w:customStyle="1" w:styleId="RTFNum2232">
    <w:name w:val="RTF_Num 223 2"/>
    <w:rsid w:val="0095645A"/>
    <w:rPr>
      <w:rFonts w:ascii="Wingdings" w:hAnsi="Wingdings" w:cs="Wingdings"/>
      <w:color w:val="000000"/>
      <w:shd w:val="clear" w:color="auto" w:fill="FFFFFF"/>
    </w:rPr>
  </w:style>
  <w:style w:type="character" w:customStyle="1" w:styleId="RTFNum2242">
    <w:name w:val="RTF_Num 224 2"/>
    <w:rsid w:val="0095645A"/>
    <w:rPr>
      <w:rFonts w:ascii="Wingdings" w:hAnsi="Wingdings" w:cs="Wingdings"/>
      <w:color w:val="000000"/>
      <w:shd w:val="clear" w:color="auto" w:fill="FFFFFF"/>
    </w:rPr>
  </w:style>
  <w:style w:type="character" w:customStyle="1" w:styleId="RTFNum2252">
    <w:name w:val="RTF_Num 225 2"/>
    <w:rsid w:val="0095645A"/>
    <w:rPr>
      <w:rFonts w:ascii="Wingdings" w:hAnsi="Wingdings" w:cs="Wingdings"/>
      <w:color w:val="000000"/>
      <w:shd w:val="clear" w:color="auto" w:fill="FFFFFF"/>
    </w:rPr>
  </w:style>
  <w:style w:type="character" w:customStyle="1" w:styleId="RTFNum2262">
    <w:name w:val="RTF_Num 226 2"/>
    <w:rsid w:val="0095645A"/>
    <w:rPr>
      <w:rFonts w:ascii="Wingdings" w:hAnsi="Wingdings" w:cs="Wingdings"/>
      <w:color w:val="000000"/>
      <w:shd w:val="clear" w:color="auto" w:fill="FFFFFF"/>
    </w:rPr>
  </w:style>
  <w:style w:type="character" w:customStyle="1" w:styleId="RTFNum2272">
    <w:name w:val="RTF_Num 227 2"/>
    <w:rsid w:val="0095645A"/>
    <w:rPr>
      <w:rFonts w:ascii="Wingdings" w:hAnsi="Wingdings" w:cs="Wingdings"/>
      <w:color w:val="000000"/>
      <w:shd w:val="clear" w:color="auto" w:fill="FFFFFF"/>
    </w:rPr>
  </w:style>
  <w:style w:type="character" w:customStyle="1" w:styleId="RTFNum2282">
    <w:name w:val="RTF_Num 228 2"/>
    <w:rsid w:val="0095645A"/>
    <w:rPr>
      <w:rFonts w:ascii="Wingdings" w:hAnsi="Wingdings" w:cs="Wingdings"/>
      <w:color w:val="000000"/>
      <w:shd w:val="clear" w:color="auto" w:fill="FFFFFF"/>
    </w:rPr>
  </w:style>
  <w:style w:type="character" w:customStyle="1" w:styleId="RTFNum2292">
    <w:name w:val="RTF_Num 229 2"/>
    <w:rsid w:val="0095645A"/>
    <w:rPr>
      <w:rFonts w:ascii="Wingdings" w:hAnsi="Wingdings" w:cs="Wingdings"/>
      <w:color w:val="000000"/>
      <w:shd w:val="clear" w:color="auto" w:fill="FFFFFF"/>
    </w:rPr>
  </w:style>
  <w:style w:type="character" w:customStyle="1" w:styleId="RTFNum2302">
    <w:name w:val="RTF_Num 230 2"/>
    <w:rsid w:val="0095645A"/>
    <w:rPr>
      <w:rFonts w:ascii="Wingdings" w:hAnsi="Wingdings" w:cs="Wingdings"/>
      <w:color w:val="000000"/>
      <w:shd w:val="clear" w:color="auto" w:fill="FFFFFF"/>
    </w:rPr>
  </w:style>
  <w:style w:type="character" w:customStyle="1" w:styleId="RTFNum2312">
    <w:name w:val="RTF_Num 231 2"/>
    <w:rsid w:val="0095645A"/>
    <w:rPr>
      <w:rFonts w:ascii="Wingdings" w:hAnsi="Wingdings" w:cs="Wingdings"/>
      <w:color w:val="000000"/>
      <w:shd w:val="clear" w:color="auto" w:fill="FFFFFF"/>
    </w:rPr>
  </w:style>
  <w:style w:type="character" w:customStyle="1" w:styleId="RTFNum2322">
    <w:name w:val="RTF_Num 232 2"/>
    <w:rsid w:val="0095645A"/>
    <w:rPr>
      <w:rFonts w:ascii="Wingdings" w:hAnsi="Wingdings" w:cs="Wingdings"/>
      <w:color w:val="000000"/>
      <w:shd w:val="clear" w:color="auto" w:fill="FFFFFF"/>
    </w:rPr>
  </w:style>
  <w:style w:type="character" w:customStyle="1" w:styleId="RTFNum2332">
    <w:name w:val="RTF_Num 233 2"/>
    <w:rsid w:val="0095645A"/>
    <w:rPr>
      <w:rFonts w:ascii="Wingdings" w:hAnsi="Wingdings" w:cs="Wingdings"/>
      <w:color w:val="000000"/>
      <w:shd w:val="clear" w:color="auto" w:fill="FFFFFF"/>
    </w:rPr>
  </w:style>
  <w:style w:type="character" w:customStyle="1" w:styleId="RTFNum2342">
    <w:name w:val="RTF_Num 234 2"/>
    <w:rsid w:val="0095645A"/>
    <w:rPr>
      <w:rFonts w:ascii="Wingdings" w:hAnsi="Wingdings" w:cs="Wingdings"/>
      <w:color w:val="000000"/>
      <w:shd w:val="clear" w:color="auto" w:fill="FFFFFF"/>
    </w:rPr>
  </w:style>
  <w:style w:type="character" w:customStyle="1" w:styleId="RTFNum2352">
    <w:name w:val="RTF_Num 235 2"/>
    <w:rsid w:val="0095645A"/>
    <w:rPr>
      <w:rFonts w:ascii="Wingdings" w:hAnsi="Wingdings" w:cs="Wingdings"/>
      <w:color w:val="000000"/>
      <w:shd w:val="clear" w:color="auto" w:fill="FFFFFF"/>
    </w:rPr>
  </w:style>
  <w:style w:type="character" w:customStyle="1" w:styleId="RTFNum2362">
    <w:name w:val="RTF_Num 236 2"/>
    <w:rsid w:val="0095645A"/>
    <w:rPr>
      <w:rFonts w:ascii="Wingdings" w:hAnsi="Wingdings" w:cs="Wingdings"/>
      <w:color w:val="000000"/>
      <w:shd w:val="clear" w:color="auto" w:fill="FFFFFF"/>
    </w:rPr>
  </w:style>
  <w:style w:type="character" w:customStyle="1" w:styleId="RTFNum2372">
    <w:name w:val="RTF_Num 237 2"/>
    <w:rsid w:val="0095645A"/>
    <w:rPr>
      <w:rFonts w:ascii="Symbol" w:hAnsi="Symbol" w:cs="Symbol"/>
      <w:color w:val="000000"/>
      <w:shd w:val="clear" w:color="auto" w:fill="FFFFFF"/>
    </w:rPr>
  </w:style>
  <w:style w:type="character" w:customStyle="1" w:styleId="RTFNum2382">
    <w:name w:val="RTF_Num 238 2"/>
    <w:rsid w:val="0095645A"/>
    <w:rPr>
      <w:rFonts w:ascii="Wingdings" w:hAnsi="Wingdings" w:cs="Wingdings"/>
      <w:color w:val="000000"/>
      <w:shd w:val="clear" w:color="auto" w:fill="FFFFFF"/>
    </w:rPr>
  </w:style>
  <w:style w:type="character" w:customStyle="1" w:styleId="RTFNum2392">
    <w:name w:val="RTF_Num 239 2"/>
    <w:rsid w:val="0095645A"/>
    <w:rPr>
      <w:rFonts w:ascii="Wingdings" w:hAnsi="Wingdings" w:cs="Wingdings"/>
      <w:color w:val="000000"/>
      <w:shd w:val="clear" w:color="auto" w:fill="FFFFFF"/>
    </w:rPr>
  </w:style>
  <w:style w:type="character" w:customStyle="1" w:styleId="RTFNum2402">
    <w:name w:val="RTF_Num 240 2"/>
    <w:rsid w:val="0095645A"/>
    <w:rPr>
      <w:rFonts w:ascii="Wingdings" w:hAnsi="Wingdings" w:cs="Wingdings"/>
      <w:color w:val="000000"/>
      <w:shd w:val="clear" w:color="auto" w:fill="FFFFFF"/>
    </w:rPr>
  </w:style>
  <w:style w:type="character" w:customStyle="1" w:styleId="RTFNum2412">
    <w:name w:val="RTF_Num 241 2"/>
    <w:rsid w:val="0095645A"/>
    <w:rPr>
      <w:rFonts w:ascii="Wingdings" w:hAnsi="Wingdings" w:cs="Wingdings"/>
      <w:color w:val="000000"/>
      <w:shd w:val="clear" w:color="auto" w:fill="FFFFFF"/>
    </w:rPr>
  </w:style>
  <w:style w:type="character" w:customStyle="1" w:styleId="RTFNum2422">
    <w:name w:val="RTF_Num 242 2"/>
    <w:rsid w:val="0095645A"/>
    <w:rPr>
      <w:rFonts w:ascii="Wingdings" w:hAnsi="Wingdings" w:cs="Wingdings"/>
      <w:color w:val="000000"/>
      <w:shd w:val="clear" w:color="auto" w:fill="FFFFFF"/>
    </w:rPr>
  </w:style>
  <w:style w:type="character" w:customStyle="1" w:styleId="RTFNum2432">
    <w:name w:val="RTF_Num 243 2"/>
    <w:rsid w:val="0095645A"/>
    <w:rPr>
      <w:rFonts w:ascii="Wingdings" w:hAnsi="Wingdings" w:cs="Wingdings"/>
      <w:color w:val="000000"/>
      <w:shd w:val="clear" w:color="auto" w:fill="FFFFFF"/>
    </w:rPr>
  </w:style>
  <w:style w:type="character" w:customStyle="1" w:styleId="RTFNum2442">
    <w:name w:val="RTF_Num 244 2"/>
    <w:rsid w:val="0095645A"/>
    <w:rPr>
      <w:rFonts w:ascii="Wingdings" w:hAnsi="Wingdings" w:cs="Wingdings"/>
      <w:color w:val="000000"/>
      <w:shd w:val="clear" w:color="auto" w:fill="FFFFFF"/>
    </w:rPr>
  </w:style>
  <w:style w:type="character" w:customStyle="1" w:styleId="RTFNum2452">
    <w:name w:val="RTF_Num 245 2"/>
    <w:rsid w:val="0095645A"/>
    <w:rPr>
      <w:rFonts w:ascii="Wingdings" w:hAnsi="Wingdings" w:cs="Wingdings"/>
      <w:color w:val="000000"/>
      <w:shd w:val="clear" w:color="auto" w:fill="FFFFFF"/>
    </w:rPr>
  </w:style>
  <w:style w:type="character" w:customStyle="1" w:styleId="RTFNum2462">
    <w:name w:val="RTF_Num 246 2"/>
    <w:rsid w:val="0095645A"/>
    <w:rPr>
      <w:rFonts w:ascii="Wingdings" w:hAnsi="Wingdings" w:cs="Wingdings"/>
      <w:color w:val="000000"/>
      <w:shd w:val="clear" w:color="auto" w:fill="FFFFFF"/>
    </w:rPr>
  </w:style>
  <w:style w:type="character" w:customStyle="1" w:styleId="RTFNum2472">
    <w:name w:val="RTF_Num 247 2"/>
    <w:rsid w:val="0095645A"/>
    <w:rPr>
      <w:rFonts w:ascii="Wingdings" w:hAnsi="Wingdings" w:cs="Wingdings"/>
      <w:color w:val="000000"/>
      <w:shd w:val="clear" w:color="auto" w:fill="FFFFFF"/>
    </w:rPr>
  </w:style>
  <w:style w:type="character" w:customStyle="1" w:styleId="RTFNum2482">
    <w:name w:val="RTF_Num 248 2"/>
    <w:rsid w:val="0095645A"/>
    <w:rPr>
      <w:rFonts w:ascii="Wingdings" w:hAnsi="Wingdings" w:cs="Wingdings"/>
      <w:color w:val="000000"/>
      <w:shd w:val="clear" w:color="auto" w:fill="FFFFFF"/>
    </w:rPr>
  </w:style>
  <w:style w:type="character" w:customStyle="1" w:styleId="RTFNum2492">
    <w:name w:val="RTF_Num 249 2"/>
    <w:rsid w:val="0095645A"/>
    <w:rPr>
      <w:rFonts w:ascii="Symbol" w:hAnsi="Symbol" w:cs="Symbol"/>
      <w:color w:val="000000"/>
      <w:shd w:val="clear" w:color="auto" w:fill="FFFFFF"/>
    </w:rPr>
  </w:style>
  <w:style w:type="character" w:customStyle="1" w:styleId="RTFNum2502">
    <w:name w:val="RTF_Num 250 2"/>
    <w:rsid w:val="0095645A"/>
    <w:rPr>
      <w:rFonts w:ascii="Symbol" w:hAnsi="Symbol" w:cs="Symbol"/>
      <w:color w:val="000000"/>
      <w:shd w:val="clear" w:color="auto" w:fill="FFFFFF"/>
    </w:rPr>
  </w:style>
  <w:style w:type="character" w:customStyle="1" w:styleId="RTFNum2512">
    <w:name w:val="RTF_Num 251 2"/>
    <w:rsid w:val="0095645A"/>
    <w:rPr>
      <w:rFonts w:ascii="Symbol" w:hAnsi="Symbol" w:cs="Symbol"/>
      <w:color w:val="000000"/>
      <w:shd w:val="clear" w:color="auto" w:fill="FFFFFF"/>
    </w:rPr>
  </w:style>
  <w:style w:type="character" w:customStyle="1" w:styleId="RTFNum2522">
    <w:name w:val="RTF_Num 252 2"/>
    <w:rsid w:val="0095645A"/>
    <w:rPr>
      <w:rFonts w:ascii="Symbol" w:hAnsi="Symbol" w:cs="Symbol"/>
      <w:color w:val="000000"/>
      <w:shd w:val="clear" w:color="auto" w:fill="FFFFFF"/>
    </w:rPr>
  </w:style>
  <w:style w:type="character" w:customStyle="1" w:styleId="RTFNum2532">
    <w:name w:val="RTF_Num 253 2"/>
    <w:rsid w:val="0095645A"/>
    <w:rPr>
      <w:rFonts w:ascii="Symbol" w:hAnsi="Symbol" w:cs="Symbol"/>
      <w:color w:val="000000"/>
      <w:shd w:val="clear" w:color="auto" w:fill="FFFFFF"/>
    </w:rPr>
  </w:style>
  <w:style w:type="character" w:customStyle="1" w:styleId="RTFNum2542">
    <w:name w:val="RTF_Num 254 2"/>
    <w:rsid w:val="0095645A"/>
    <w:rPr>
      <w:rFonts w:ascii="Symbol" w:hAnsi="Symbol" w:cs="Symbol"/>
      <w:color w:val="000000"/>
      <w:shd w:val="clear" w:color="auto" w:fill="FFFFFF"/>
    </w:rPr>
  </w:style>
  <w:style w:type="character" w:customStyle="1" w:styleId="RTFNum2552">
    <w:name w:val="RTF_Num 255 2"/>
    <w:rsid w:val="0095645A"/>
    <w:rPr>
      <w:rFonts w:ascii="Symbol" w:hAnsi="Symbol" w:cs="Symbol"/>
      <w:color w:val="000000"/>
      <w:shd w:val="clear" w:color="auto" w:fill="FFFFFF"/>
    </w:rPr>
  </w:style>
  <w:style w:type="character" w:customStyle="1" w:styleId="RTFNum2562">
    <w:name w:val="RTF_Num 256 2"/>
    <w:rsid w:val="0095645A"/>
    <w:rPr>
      <w:rFonts w:ascii="Symbol" w:hAnsi="Symbol" w:cs="Symbol"/>
      <w:color w:val="000000"/>
      <w:shd w:val="clear" w:color="auto" w:fill="FFFFFF"/>
    </w:rPr>
  </w:style>
  <w:style w:type="character" w:customStyle="1" w:styleId="RTFNum2572">
    <w:name w:val="RTF_Num 257 2"/>
    <w:rsid w:val="0095645A"/>
    <w:rPr>
      <w:rFonts w:ascii="Symbol" w:hAnsi="Symbol" w:cs="Symbol"/>
      <w:color w:val="000000"/>
      <w:shd w:val="clear" w:color="auto" w:fill="FFFFFF"/>
    </w:rPr>
  </w:style>
  <w:style w:type="character" w:customStyle="1" w:styleId="RTFNum2582">
    <w:name w:val="RTF_Num 258 2"/>
    <w:rsid w:val="0095645A"/>
    <w:rPr>
      <w:rFonts w:ascii="Symbol" w:hAnsi="Symbol" w:cs="Symbol"/>
      <w:color w:val="000000"/>
      <w:shd w:val="clear" w:color="auto" w:fill="FFFFFF"/>
    </w:rPr>
  </w:style>
  <w:style w:type="character" w:customStyle="1" w:styleId="RTFNum2592">
    <w:name w:val="RTF_Num 259 2"/>
    <w:rsid w:val="0095645A"/>
    <w:rPr>
      <w:rFonts w:ascii="Symbol" w:hAnsi="Symbol" w:cs="Symbol"/>
      <w:color w:val="000000"/>
      <w:shd w:val="clear" w:color="auto" w:fill="FFFFFF"/>
    </w:rPr>
  </w:style>
  <w:style w:type="character" w:customStyle="1" w:styleId="RTFNum2602">
    <w:name w:val="RTF_Num 260 2"/>
    <w:rsid w:val="0095645A"/>
    <w:rPr>
      <w:rFonts w:ascii="Wingdings" w:hAnsi="Wingdings" w:cs="Wingdings"/>
      <w:color w:val="000000"/>
      <w:shd w:val="clear" w:color="auto" w:fill="FFFFFF"/>
    </w:rPr>
  </w:style>
  <w:style w:type="character" w:customStyle="1" w:styleId="RTFNum2612">
    <w:name w:val="RTF_Num 261 2"/>
    <w:rsid w:val="0095645A"/>
    <w:rPr>
      <w:rFonts w:ascii="Wingdings" w:hAnsi="Wingdings" w:cs="Wingdings"/>
      <w:color w:val="000000"/>
      <w:shd w:val="clear" w:color="auto" w:fill="FFFFFF"/>
    </w:rPr>
  </w:style>
  <w:style w:type="character" w:customStyle="1" w:styleId="RTFNum2622">
    <w:name w:val="RTF_Num 262 2"/>
    <w:rsid w:val="0095645A"/>
    <w:rPr>
      <w:rFonts w:ascii="Wingdings" w:hAnsi="Wingdings" w:cs="Wingdings"/>
      <w:color w:val="000000"/>
      <w:shd w:val="clear" w:color="auto" w:fill="FFFFFF"/>
    </w:rPr>
  </w:style>
  <w:style w:type="character" w:customStyle="1" w:styleId="RTFNum2632">
    <w:name w:val="RTF_Num 263 2"/>
    <w:rsid w:val="0095645A"/>
    <w:rPr>
      <w:rFonts w:ascii="Wingdings" w:hAnsi="Wingdings" w:cs="Wingdings"/>
      <w:color w:val="000000"/>
      <w:shd w:val="clear" w:color="auto" w:fill="FFFFFF"/>
    </w:rPr>
  </w:style>
  <w:style w:type="character" w:customStyle="1" w:styleId="RTFNum2642">
    <w:name w:val="RTF_Num 264 2"/>
    <w:rsid w:val="0095645A"/>
    <w:rPr>
      <w:rFonts w:ascii="Wingdings" w:hAnsi="Wingdings" w:cs="Wingdings"/>
      <w:color w:val="000000"/>
      <w:shd w:val="clear" w:color="auto" w:fill="FFFFFF"/>
    </w:rPr>
  </w:style>
  <w:style w:type="character" w:customStyle="1" w:styleId="RTFNum2652">
    <w:name w:val="RTF_Num 265 2"/>
    <w:rsid w:val="0095645A"/>
    <w:rPr>
      <w:rFonts w:ascii="Wingdings" w:hAnsi="Wingdings" w:cs="Wingdings"/>
      <w:color w:val="000000"/>
      <w:shd w:val="clear" w:color="auto" w:fill="FFFFFF"/>
    </w:rPr>
  </w:style>
  <w:style w:type="character" w:customStyle="1" w:styleId="RTFNum2662">
    <w:name w:val="RTF_Num 266 2"/>
    <w:rsid w:val="0095645A"/>
    <w:rPr>
      <w:rFonts w:ascii="Wingdings" w:hAnsi="Wingdings" w:cs="Wingdings"/>
      <w:color w:val="000000"/>
      <w:shd w:val="clear" w:color="auto" w:fill="FFFFFF"/>
    </w:rPr>
  </w:style>
  <w:style w:type="character" w:customStyle="1" w:styleId="RTFNum2672">
    <w:name w:val="RTF_Num 267 2"/>
    <w:rsid w:val="0095645A"/>
    <w:rPr>
      <w:rFonts w:ascii="Symbol" w:hAnsi="Symbol" w:cs="Symbol"/>
      <w:color w:val="000000"/>
      <w:shd w:val="clear" w:color="auto" w:fill="FFFFFF"/>
    </w:rPr>
  </w:style>
  <w:style w:type="character" w:customStyle="1" w:styleId="RTFNum2682">
    <w:name w:val="RTF_Num 268 2"/>
    <w:rsid w:val="0095645A"/>
    <w:rPr>
      <w:rFonts w:ascii="Wingdings" w:hAnsi="Wingdings" w:cs="Wingdings"/>
      <w:color w:val="000000"/>
      <w:shd w:val="clear" w:color="auto" w:fill="FFFFFF"/>
    </w:rPr>
  </w:style>
  <w:style w:type="character" w:customStyle="1" w:styleId="RTFNum2692">
    <w:name w:val="RTF_Num 269 2"/>
    <w:rsid w:val="0095645A"/>
    <w:rPr>
      <w:rFonts w:ascii="Wingdings" w:hAnsi="Wingdings" w:cs="Wingdings"/>
      <w:color w:val="000000"/>
      <w:shd w:val="clear" w:color="auto" w:fill="FFFFFF"/>
    </w:rPr>
  </w:style>
  <w:style w:type="character" w:customStyle="1" w:styleId="RTFNum2702">
    <w:name w:val="RTF_Num 270 2"/>
    <w:rsid w:val="0095645A"/>
    <w:rPr>
      <w:rFonts w:ascii="Wingdings" w:hAnsi="Wingdings" w:cs="Wingdings"/>
      <w:color w:val="000000"/>
      <w:shd w:val="clear" w:color="auto" w:fill="FFFFFF"/>
    </w:rPr>
  </w:style>
  <w:style w:type="character" w:customStyle="1" w:styleId="RTFNum2712">
    <w:name w:val="RTF_Num 271 2"/>
    <w:rsid w:val="0095645A"/>
    <w:rPr>
      <w:rFonts w:ascii="Wingdings" w:hAnsi="Wingdings" w:cs="Wingdings"/>
      <w:color w:val="000000"/>
      <w:shd w:val="clear" w:color="auto" w:fill="FFFFFF"/>
    </w:rPr>
  </w:style>
  <w:style w:type="character" w:customStyle="1" w:styleId="RTFNum2722">
    <w:name w:val="RTF_Num 272 2"/>
    <w:rsid w:val="0095645A"/>
    <w:rPr>
      <w:rFonts w:ascii="Wingdings" w:hAnsi="Wingdings" w:cs="Wingdings"/>
      <w:color w:val="000000"/>
      <w:shd w:val="clear" w:color="auto" w:fill="FFFFFF"/>
    </w:rPr>
  </w:style>
  <w:style w:type="character" w:customStyle="1" w:styleId="RTFNum2732">
    <w:name w:val="RTF_Num 273 2"/>
    <w:rsid w:val="0095645A"/>
    <w:rPr>
      <w:rFonts w:ascii="Wingdings" w:hAnsi="Wingdings" w:cs="Wingdings"/>
      <w:color w:val="000000"/>
      <w:shd w:val="clear" w:color="auto" w:fill="FFFFFF"/>
    </w:rPr>
  </w:style>
  <w:style w:type="character" w:customStyle="1" w:styleId="RTFNum2742">
    <w:name w:val="RTF_Num 274 2"/>
    <w:rsid w:val="0095645A"/>
    <w:rPr>
      <w:rFonts w:ascii="Wingdings" w:hAnsi="Wingdings" w:cs="Wingdings"/>
      <w:color w:val="000000"/>
      <w:shd w:val="clear" w:color="auto" w:fill="FFFFFF"/>
    </w:rPr>
  </w:style>
  <w:style w:type="character" w:customStyle="1" w:styleId="RTFNum2752">
    <w:name w:val="RTF_Num 275 2"/>
    <w:rsid w:val="0095645A"/>
    <w:rPr>
      <w:rFonts w:ascii="Wingdings" w:hAnsi="Wingdings" w:cs="Wingdings"/>
      <w:color w:val="000000"/>
      <w:shd w:val="clear" w:color="auto" w:fill="FFFFFF"/>
    </w:rPr>
  </w:style>
  <w:style w:type="character" w:customStyle="1" w:styleId="RTFNum2762">
    <w:name w:val="RTF_Num 276 2"/>
    <w:rsid w:val="0095645A"/>
    <w:rPr>
      <w:rFonts w:ascii="Wingdings" w:hAnsi="Wingdings" w:cs="Wingdings"/>
      <w:color w:val="000000"/>
      <w:shd w:val="clear" w:color="auto" w:fill="FFFFFF"/>
    </w:rPr>
  </w:style>
  <w:style w:type="character" w:customStyle="1" w:styleId="RTFNum2772">
    <w:name w:val="RTF_Num 277 2"/>
    <w:rsid w:val="0095645A"/>
    <w:rPr>
      <w:rFonts w:ascii="Wingdings" w:hAnsi="Wingdings" w:cs="Wingdings"/>
      <w:color w:val="000000"/>
      <w:shd w:val="clear" w:color="auto" w:fill="FFFFFF"/>
    </w:rPr>
  </w:style>
  <w:style w:type="character" w:customStyle="1" w:styleId="RTFNum2782">
    <w:name w:val="RTF_Num 278 2"/>
    <w:rsid w:val="0095645A"/>
    <w:rPr>
      <w:rFonts w:ascii="Wingdings" w:hAnsi="Wingdings" w:cs="Wingdings"/>
      <w:color w:val="000000"/>
      <w:shd w:val="clear" w:color="auto" w:fill="FFFFFF"/>
    </w:rPr>
  </w:style>
  <w:style w:type="character" w:customStyle="1" w:styleId="RTFNum2792">
    <w:name w:val="RTF_Num 279 2"/>
    <w:rsid w:val="0095645A"/>
    <w:rPr>
      <w:rFonts w:ascii="Wingdings" w:hAnsi="Wingdings" w:cs="Wingdings"/>
      <w:color w:val="000000"/>
      <w:shd w:val="clear" w:color="auto" w:fill="FFFFFF"/>
    </w:rPr>
  </w:style>
  <w:style w:type="character" w:customStyle="1" w:styleId="RTFNum2802">
    <w:name w:val="RTF_Num 280 2"/>
    <w:rsid w:val="0095645A"/>
    <w:rPr>
      <w:rFonts w:ascii="Wingdings" w:hAnsi="Wingdings" w:cs="Wingdings"/>
      <w:color w:val="000000"/>
      <w:shd w:val="clear" w:color="auto" w:fill="FFFFFF"/>
    </w:rPr>
  </w:style>
  <w:style w:type="character" w:customStyle="1" w:styleId="RTFNum2812">
    <w:name w:val="RTF_Num 281 2"/>
    <w:rsid w:val="0095645A"/>
    <w:rPr>
      <w:rFonts w:ascii="Wingdings" w:hAnsi="Wingdings" w:cs="Wingdings"/>
      <w:color w:val="000000"/>
      <w:shd w:val="clear" w:color="auto" w:fill="FFFFFF"/>
    </w:rPr>
  </w:style>
  <w:style w:type="character" w:customStyle="1" w:styleId="RTFNum2822">
    <w:name w:val="RTF_Num 282 2"/>
    <w:rsid w:val="0095645A"/>
    <w:rPr>
      <w:rFonts w:ascii="Wingdings" w:hAnsi="Wingdings" w:cs="Wingdings"/>
      <w:color w:val="000000"/>
      <w:shd w:val="clear" w:color="auto" w:fill="FFFFFF"/>
    </w:rPr>
  </w:style>
  <w:style w:type="character" w:customStyle="1" w:styleId="RTFNum2832">
    <w:name w:val="RTF_Num 283 2"/>
    <w:rsid w:val="0095645A"/>
    <w:rPr>
      <w:rFonts w:ascii="Wingdings" w:hAnsi="Wingdings" w:cs="Wingdings"/>
      <w:color w:val="000000"/>
      <w:shd w:val="clear" w:color="auto" w:fill="FFFFFF"/>
    </w:rPr>
  </w:style>
  <w:style w:type="character" w:customStyle="1" w:styleId="RTFNum2842">
    <w:name w:val="RTF_Num 284 2"/>
    <w:rsid w:val="0095645A"/>
    <w:rPr>
      <w:rFonts w:ascii="Wingdings" w:hAnsi="Wingdings" w:cs="Wingdings"/>
      <w:color w:val="000000"/>
      <w:shd w:val="clear" w:color="auto" w:fill="FFFFFF"/>
    </w:rPr>
  </w:style>
  <w:style w:type="character" w:customStyle="1" w:styleId="RTFNum2852">
    <w:name w:val="RTF_Num 285 2"/>
    <w:rsid w:val="0095645A"/>
    <w:rPr>
      <w:rFonts w:ascii="Symbol" w:hAnsi="Symbol" w:cs="Symbol"/>
      <w:color w:val="000000"/>
      <w:shd w:val="clear" w:color="auto" w:fill="FFFFFF"/>
    </w:rPr>
  </w:style>
  <w:style w:type="character" w:customStyle="1" w:styleId="RTFNum2862">
    <w:name w:val="RTF_Num 286 2"/>
    <w:rsid w:val="0095645A"/>
    <w:rPr>
      <w:rFonts w:ascii="Symbol" w:hAnsi="Symbol" w:cs="Symbol"/>
      <w:color w:val="000000"/>
      <w:shd w:val="clear" w:color="auto" w:fill="FFFFFF"/>
    </w:rPr>
  </w:style>
  <w:style w:type="character" w:customStyle="1" w:styleId="RTFNum2872">
    <w:name w:val="RTF_Num 287 2"/>
    <w:rsid w:val="0095645A"/>
    <w:rPr>
      <w:rFonts w:ascii="Symbol" w:hAnsi="Symbol" w:cs="Symbol"/>
      <w:color w:val="000000"/>
      <w:shd w:val="clear" w:color="auto" w:fill="FFFFFF"/>
    </w:rPr>
  </w:style>
  <w:style w:type="character" w:customStyle="1" w:styleId="RTFNum2882">
    <w:name w:val="RTF_Num 288 2"/>
    <w:rsid w:val="0095645A"/>
    <w:rPr>
      <w:rFonts w:ascii="Symbol" w:hAnsi="Symbol" w:cs="Symbol"/>
      <w:color w:val="000000"/>
      <w:shd w:val="clear" w:color="auto" w:fill="FFFFFF"/>
    </w:rPr>
  </w:style>
  <w:style w:type="character" w:customStyle="1" w:styleId="RTFNum2892">
    <w:name w:val="RTF_Num 289 2"/>
    <w:rsid w:val="0095645A"/>
    <w:rPr>
      <w:rFonts w:ascii="Symbol" w:hAnsi="Symbol" w:cs="Symbol"/>
      <w:color w:val="000000"/>
      <w:shd w:val="clear" w:color="auto" w:fill="FFFFFF"/>
    </w:rPr>
  </w:style>
  <w:style w:type="character" w:customStyle="1" w:styleId="RTFNum2902">
    <w:name w:val="RTF_Num 290 2"/>
    <w:rsid w:val="0095645A"/>
    <w:rPr>
      <w:rFonts w:ascii="Symbol" w:hAnsi="Symbol" w:cs="Symbol"/>
      <w:color w:val="000000"/>
      <w:shd w:val="clear" w:color="auto" w:fill="FFFFFF"/>
    </w:rPr>
  </w:style>
  <w:style w:type="character" w:customStyle="1" w:styleId="RTFNum2912">
    <w:name w:val="RTF_Num 291 2"/>
    <w:rsid w:val="0095645A"/>
    <w:rPr>
      <w:rFonts w:ascii="Symbol" w:hAnsi="Symbol" w:cs="Symbol"/>
      <w:color w:val="000000"/>
      <w:shd w:val="clear" w:color="auto" w:fill="FFFFFF"/>
    </w:rPr>
  </w:style>
  <w:style w:type="character" w:customStyle="1" w:styleId="RTFNum2922">
    <w:name w:val="RTF_Num 292 2"/>
    <w:rsid w:val="0095645A"/>
    <w:rPr>
      <w:rFonts w:ascii="Symbol" w:hAnsi="Symbol" w:cs="Symbol"/>
      <w:color w:val="000000"/>
      <w:shd w:val="clear" w:color="auto" w:fill="FFFFFF"/>
    </w:rPr>
  </w:style>
  <w:style w:type="character" w:customStyle="1" w:styleId="RTFNum2932">
    <w:name w:val="RTF_Num 293 2"/>
    <w:rsid w:val="0095645A"/>
    <w:rPr>
      <w:rFonts w:ascii="Symbol" w:hAnsi="Symbol" w:cs="Symbol"/>
      <w:color w:val="000000"/>
      <w:shd w:val="clear" w:color="auto" w:fill="FFFFFF"/>
    </w:rPr>
  </w:style>
  <w:style w:type="character" w:customStyle="1" w:styleId="RTFNum2942">
    <w:name w:val="RTF_Num 294 2"/>
    <w:rsid w:val="0095645A"/>
    <w:rPr>
      <w:rFonts w:ascii="Symbol" w:hAnsi="Symbol" w:cs="Symbol"/>
      <w:color w:val="000000"/>
      <w:shd w:val="clear" w:color="auto" w:fill="FFFFFF"/>
    </w:rPr>
  </w:style>
  <w:style w:type="character" w:customStyle="1" w:styleId="RTFNum2952">
    <w:name w:val="RTF_Num 295 2"/>
    <w:rsid w:val="0095645A"/>
    <w:rPr>
      <w:rFonts w:ascii="Wingdings" w:hAnsi="Wingdings" w:cs="Wingdings"/>
      <w:color w:val="000000"/>
      <w:shd w:val="clear" w:color="auto" w:fill="FFFFFF"/>
    </w:rPr>
  </w:style>
  <w:style w:type="character" w:customStyle="1" w:styleId="RTFNum2962">
    <w:name w:val="RTF_Num 296 2"/>
    <w:rsid w:val="0095645A"/>
    <w:rPr>
      <w:rFonts w:ascii="Wingdings" w:hAnsi="Wingdings" w:cs="Wingdings"/>
      <w:color w:val="000000"/>
      <w:shd w:val="clear" w:color="auto" w:fill="FFFFFF"/>
    </w:rPr>
  </w:style>
  <w:style w:type="character" w:customStyle="1" w:styleId="RTFNum2972">
    <w:name w:val="RTF_Num 297 2"/>
    <w:rsid w:val="0095645A"/>
    <w:rPr>
      <w:rFonts w:ascii="Wingdings" w:hAnsi="Wingdings" w:cs="Wingdings"/>
      <w:color w:val="000000"/>
      <w:shd w:val="clear" w:color="auto" w:fill="FFFFFF"/>
    </w:rPr>
  </w:style>
  <w:style w:type="character" w:customStyle="1" w:styleId="RTFNum2982">
    <w:name w:val="RTF_Num 298 2"/>
    <w:rsid w:val="0095645A"/>
    <w:rPr>
      <w:rFonts w:ascii="Wingdings" w:hAnsi="Wingdings" w:cs="Wingdings"/>
      <w:color w:val="000000"/>
      <w:shd w:val="clear" w:color="auto" w:fill="FFFFFF"/>
    </w:rPr>
  </w:style>
  <w:style w:type="character" w:customStyle="1" w:styleId="RTFNum2992">
    <w:name w:val="RTF_Num 299 2"/>
    <w:rsid w:val="0095645A"/>
    <w:rPr>
      <w:rFonts w:ascii="Wingdings" w:hAnsi="Wingdings" w:cs="Wingdings"/>
      <w:color w:val="000000"/>
      <w:shd w:val="clear" w:color="auto" w:fill="FFFFFF"/>
    </w:rPr>
  </w:style>
  <w:style w:type="character" w:customStyle="1" w:styleId="RTFNum3002">
    <w:name w:val="RTF_Num 300 2"/>
    <w:rsid w:val="0095645A"/>
    <w:rPr>
      <w:rFonts w:ascii="Wingdings" w:hAnsi="Wingdings" w:cs="Wingdings"/>
      <w:color w:val="000000"/>
      <w:shd w:val="clear" w:color="auto" w:fill="FFFFFF"/>
    </w:rPr>
  </w:style>
  <w:style w:type="character" w:customStyle="1" w:styleId="RTFNum3012">
    <w:name w:val="RTF_Num 301 2"/>
    <w:rsid w:val="0095645A"/>
    <w:rPr>
      <w:rFonts w:ascii="Wingdings" w:hAnsi="Wingdings" w:cs="Wingdings"/>
      <w:color w:val="000000"/>
      <w:shd w:val="clear" w:color="auto" w:fill="FFFFFF"/>
    </w:rPr>
  </w:style>
  <w:style w:type="character" w:customStyle="1" w:styleId="RTFNum3022">
    <w:name w:val="RTF_Num 302 2"/>
    <w:rsid w:val="0095645A"/>
    <w:rPr>
      <w:rFonts w:ascii="Wingdings" w:hAnsi="Wingdings" w:cs="Wingdings"/>
      <w:color w:val="000000"/>
      <w:shd w:val="clear" w:color="auto" w:fill="FFFFFF"/>
    </w:rPr>
  </w:style>
  <w:style w:type="character" w:customStyle="1" w:styleId="RTFNum3032">
    <w:name w:val="RTF_Num 303 2"/>
    <w:rsid w:val="0095645A"/>
    <w:rPr>
      <w:rFonts w:ascii="Wingdings" w:hAnsi="Wingdings" w:cs="Wingdings"/>
      <w:color w:val="000000"/>
      <w:shd w:val="clear" w:color="auto" w:fill="FFFFFF"/>
    </w:rPr>
  </w:style>
  <w:style w:type="character" w:customStyle="1" w:styleId="RTFNum3042">
    <w:name w:val="RTF_Num 304 2"/>
    <w:rsid w:val="0095645A"/>
    <w:rPr>
      <w:rFonts w:ascii="Symbol" w:hAnsi="Symbol" w:cs="Symbol"/>
      <w:color w:val="000000"/>
      <w:shd w:val="clear" w:color="auto" w:fill="FFFFFF"/>
    </w:rPr>
  </w:style>
  <w:style w:type="character" w:customStyle="1" w:styleId="RTFNum3052">
    <w:name w:val="RTF_Num 305 2"/>
    <w:rsid w:val="0095645A"/>
    <w:rPr>
      <w:rFonts w:ascii="Wingdings" w:hAnsi="Wingdings" w:cs="Wingdings"/>
      <w:color w:val="000000"/>
      <w:shd w:val="clear" w:color="auto" w:fill="FFFFFF"/>
    </w:rPr>
  </w:style>
  <w:style w:type="character" w:customStyle="1" w:styleId="RTFNum3062">
    <w:name w:val="RTF_Num 306 2"/>
    <w:rsid w:val="0095645A"/>
    <w:rPr>
      <w:rFonts w:ascii="Wingdings" w:hAnsi="Wingdings" w:cs="Wingdings"/>
      <w:color w:val="000000"/>
      <w:shd w:val="clear" w:color="auto" w:fill="FFFFFF"/>
    </w:rPr>
  </w:style>
  <w:style w:type="character" w:customStyle="1" w:styleId="RTFNum3072">
    <w:name w:val="RTF_Num 307 2"/>
    <w:rsid w:val="0095645A"/>
    <w:rPr>
      <w:rFonts w:ascii="Wingdings" w:hAnsi="Wingdings" w:cs="Wingdings"/>
      <w:color w:val="000000"/>
      <w:shd w:val="clear" w:color="auto" w:fill="FFFFFF"/>
    </w:rPr>
  </w:style>
  <w:style w:type="character" w:customStyle="1" w:styleId="RTFNum3082">
    <w:name w:val="RTF_Num 308 2"/>
    <w:rsid w:val="0095645A"/>
    <w:rPr>
      <w:rFonts w:ascii="Wingdings" w:hAnsi="Wingdings" w:cs="Wingdings"/>
      <w:color w:val="000000"/>
      <w:shd w:val="clear" w:color="auto" w:fill="FFFFFF"/>
    </w:rPr>
  </w:style>
  <w:style w:type="character" w:customStyle="1" w:styleId="RTFNum3092">
    <w:name w:val="RTF_Num 309 2"/>
    <w:rsid w:val="0095645A"/>
    <w:rPr>
      <w:rFonts w:ascii="Wingdings" w:hAnsi="Wingdings" w:cs="Wingdings"/>
      <w:color w:val="000000"/>
      <w:shd w:val="clear" w:color="auto" w:fill="FFFFFF"/>
    </w:rPr>
  </w:style>
  <w:style w:type="character" w:customStyle="1" w:styleId="RTFNum3102">
    <w:name w:val="RTF_Num 310 2"/>
    <w:rsid w:val="0095645A"/>
    <w:rPr>
      <w:rFonts w:ascii="Wingdings" w:hAnsi="Wingdings" w:cs="Wingdings"/>
      <w:color w:val="000000"/>
      <w:shd w:val="clear" w:color="auto" w:fill="FFFFFF"/>
    </w:rPr>
  </w:style>
  <w:style w:type="character" w:customStyle="1" w:styleId="RTFNum3112">
    <w:name w:val="RTF_Num 311 2"/>
    <w:rsid w:val="0095645A"/>
    <w:rPr>
      <w:rFonts w:ascii="Wingdings" w:hAnsi="Wingdings" w:cs="Wingdings"/>
      <w:color w:val="000000"/>
      <w:shd w:val="clear" w:color="auto" w:fill="FFFFFF"/>
    </w:rPr>
  </w:style>
  <w:style w:type="character" w:customStyle="1" w:styleId="RTFNum3122">
    <w:name w:val="RTF_Num 312 2"/>
    <w:rsid w:val="0095645A"/>
    <w:rPr>
      <w:rFonts w:ascii="Wingdings" w:hAnsi="Wingdings" w:cs="Wingdings"/>
      <w:color w:val="000000"/>
      <w:shd w:val="clear" w:color="auto" w:fill="FFFFFF"/>
    </w:rPr>
  </w:style>
  <w:style w:type="character" w:customStyle="1" w:styleId="RTFNum3132">
    <w:name w:val="RTF_Num 313 2"/>
    <w:rsid w:val="0095645A"/>
    <w:rPr>
      <w:rFonts w:ascii="Wingdings" w:hAnsi="Wingdings" w:cs="Wingdings"/>
      <w:color w:val="000000"/>
      <w:shd w:val="clear" w:color="auto" w:fill="FFFFFF"/>
    </w:rPr>
  </w:style>
  <w:style w:type="character" w:customStyle="1" w:styleId="RTFNum3142">
    <w:name w:val="RTF_Num 314 2"/>
    <w:rsid w:val="0095645A"/>
    <w:rPr>
      <w:rFonts w:ascii="Wingdings" w:hAnsi="Wingdings" w:cs="Wingdings"/>
      <w:color w:val="000000"/>
      <w:shd w:val="clear" w:color="auto" w:fill="FFFFFF"/>
    </w:rPr>
  </w:style>
  <w:style w:type="character" w:customStyle="1" w:styleId="RTFNum3152">
    <w:name w:val="RTF_Num 315 2"/>
    <w:rsid w:val="0095645A"/>
    <w:rPr>
      <w:rFonts w:ascii="Wingdings" w:hAnsi="Wingdings" w:cs="Wingdings"/>
      <w:color w:val="000000"/>
      <w:shd w:val="clear" w:color="auto" w:fill="FFFFFF"/>
    </w:rPr>
  </w:style>
  <w:style w:type="character" w:customStyle="1" w:styleId="RTFNum3162">
    <w:name w:val="RTF_Num 316 2"/>
    <w:rsid w:val="0095645A"/>
    <w:rPr>
      <w:rFonts w:ascii="Wingdings" w:hAnsi="Wingdings" w:cs="Wingdings"/>
      <w:color w:val="000000"/>
      <w:shd w:val="clear" w:color="auto" w:fill="FFFFFF"/>
    </w:rPr>
  </w:style>
  <w:style w:type="character" w:customStyle="1" w:styleId="RTFNum3172">
    <w:name w:val="RTF_Num 317 2"/>
    <w:rsid w:val="0095645A"/>
    <w:rPr>
      <w:rFonts w:ascii="Symbol" w:hAnsi="Symbol" w:cs="Symbol"/>
      <w:color w:val="000000"/>
      <w:shd w:val="clear" w:color="auto" w:fill="FFFFFF"/>
    </w:rPr>
  </w:style>
  <w:style w:type="character" w:customStyle="1" w:styleId="RTFNum3182">
    <w:name w:val="RTF_Num 318 2"/>
    <w:rsid w:val="0095645A"/>
    <w:rPr>
      <w:rFonts w:ascii="Wingdings" w:hAnsi="Wingdings" w:cs="Wingdings"/>
      <w:color w:val="000000"/>
      <w:shd w:val="clear" w:color="auto" w:fill="FFFFFF"/>
    </w:rPr>
  </w:style>
  <w:style w:type="character" w:customStyle="1" w:styleId="RTFNum3192">
    <w:name w:val="RTF_Num 319 2"/>
    <w:rsid w:val="0095645A"/>
    <w:rPr>
      <w:rFonts w:ascii="Wingdings" w:hAnsi="Wingdings" w:cs="Wingdings"/>
      <w:color w:val="000000"/>
      <w:shd w:val="clear" w:color="auto" w:fill="FFFFFF"/>
    </w:rPr>
  </w:style>
  <w:style w:type="character" w:customStyle="1" w:styleId="RTFNum3202">
    <w:name w:val="RTF_Num 320 2"/>
    <w:rsid w:val="0095645A"/>
    <w:rPr>
      <w:rFonts w:ascii="Symbol" w:hAnsi="Symbol" w:cs="Symbol"/>
      <w:color w:val="000000"/>
      <w:shd w:val="clear" w:color="auto" w:fill="FFFFFF"/>
    </w:rPr>
  </w:style>
  <w:style w:type="character" w:customStyle="1" w:styleId="RTFNum3212">
    <w:name w:val="RTF_Num 321 2"/>
    <w:rsid w:val="0095645A"/>
    <w:rPr>
      <w:rFonts w:ascii="Symbol" w:hAnsi="Symbol" w:cs="Symbol"/>
      <w:color w:val="000000"/>
      <w:shd w:val="clear" w:color="auto" w:fill="FFFFFF"/>
    </w:rPr>
  </w:style>
  <w:style w:type="character" w:customStyle="1" w:styleId="RTFNum3222">
    <w:name w:val="RTF_Num 322 2"/>
    <w:rsid w:val="0095645A"/>
    <w:rPr>
      <w:rFonts w:ascii="Symbol" w:hAnsi="Symbol" w:cs="Symbol"/>
      <w:color w:val="000000"/>
      <w:shd w:val="clear" w:color="auto" w:fill="FFFFFF"/>
    </w:rPr>
  </w:style>
  <w:style w:type="character" w:customStyle="1" w:styleId="RTFNum3232">
    <w:name w:val="RTF_Num 323 2"/>
    <w:rsid w:val="0095645A"/>
    <w:rPr>
      <w:rFonts w:ascii="Symbol" w:hAnsi="Symbol" w:cs="Symbol"/>
      <w:color w:val="000000"/>
      <w:shd w:val="clear" w:color="auto" w:fill="FFFFFF"/>
    </w:rPr>
  </w:style>
  <w:style w:type="character" w:customStyle="1" w:styleId="RTFNum3242">
    <w:name w:val="RTF_Num 324 2"/>
    <w:rsid w:val="0095645A"/>
    <w:rPr>
      <w:rFonts w:ascii="Symbol" w:hAnsi="Symbol" w:cs="Symbol"/>
      <w:color w:val="000000"/>
      <w:shd w:val="clear" w:color="auto" w:fill="FFFFFF"/>
    </w:rPr>
  </w:style>
  <w:style w:type="character" w:customStyle="1" w:styleId="RTFNum3252">
    <w:name w:val="RTF_Num 325 2"/>
    <w:rsid w:val="0095645A"/>
    <w:rPr>
      <w:rFonts w:ascii="Symbol" w:hAnsi="Symbol" w:cs="Symbol"/>
      <w:color w:val="000000"/>
      <w:shd w:val="clear" w:color="auto" w:fill="FFFFFF"/>
    </w:rPr>
  </w:style>
  <w:style w:type="character" w:customStyle="1" w:styleId="RTFNum3262">
    <w:name w:val="RTF_Num 326 2"/>
    <w:rsid w:val="0095645A"/>
    <w:rPr>
      <w:rFonts w:ascii="Wingdings" w:hAnsi="Wingdings" w:cs="Wingdings"/>
      <w:color w:val="000000"/>
      <w:shd w:val="clear" w:color="auto" w:fill="FFFFFF"/>
    </w:rPr>
  </w:style>
  <w:style w:type="character" w:customStyle="1" w:styleId="RTFNum3272">
    <w:name w:val="RTF_Num 327 2"/>
    <w:rsid w:val="0095645A"/>
    <w:rPr>
      <w:rFonts w:ascii="Wingdings" w:hAnsi="Wingdings" w:cs="Wingdings"/>
      <w:color w:val="000000"/>
      <w:shd w:val="clear" w:color="auto" w:fill="FFFFFF"/>
    </w:rPr>
  </w:style>
  <w:style w:type="character" w:customStyle="1" w:styleId="RTFNum3282">
    <w:name w:val="RTF_Num 328 2"/>
    <w:rsid w:val="0095645A"/>
    <w:rPr>
      <w:rFonts w:ascii="Symbol" w:hAnsi="Symbol" w:cs="Symbol"/>
      <w:color w:val="000000"/>
      <w:shd w:val="clear" w:color="auto" w:fill="FFFFFF"/>
    </w:rPr>
  </w:style>
  <w:style w:type="character" w:customStyle="1" w:styleId="RTFNum3292">
    <w:name w:val="RTF_Num 329 2"/>
    <w:rsid w:val="0095645A"/>
    <w:rPr>
      <w:rFonts w:ascii="Symbol" w:hAnsi="Symbol" w:cs="Symbol"/>
      <w:color w:val="000000"/>
      <w:shd w:val="clear" w:color="auto" w:fill="FFFFFF"/>
    </w:rPr>
  </w:style>
  <w:style w:type="character" w:customStyle="1" w:styleId="RTFNum3302">
    <w:name w:val="RTF_Num 330 2"/>
    <w:rsid w:val="0095645A"/>
    <w:rPr>
      <w:rFonts w:ascii="Wingdings" w:hAnsi="Wingdings" w:cs="Wingdings"/>
      <w:color w:val="000000"/>
      <w:shd w:val="clear" w:color="auto" w:fill="FFFFFF"/>
    </w:rPr>
  </w:style>
  <w:style w:type="character" w:customStyle="1" w:styleId="RTFNum3312">
    <w:name w:val="RTF_Num 331 2"/>
    <w:rsid w:val="0095645A"/>
    <w:rPr>
      <w:rFonts w:ascii="Wingdings" w:hAnsi="Wingdings" w:cs="Wingdings"/>
      <w:color w:val="000000"/>
      <w:shd w:val="clear" w:color="auto" w:fill="FFFFFF"/>
    </w:rPr>
  </w:style>
  <w:style w:type="character" w:customStyle="1" w:styleId="RTFNum3322">
    <w:name w:val="RTF_Num 332 2"/>
    <w:rsid w:val="0095645A"/>
    <w:rPr>
      <w:rFonts w:ascii="Symbol" w:hAnsi="Symbol" w:cs="Symbol"/>
      <w:color w:val="000000"/>
      <w:shd w:val="clear" w:color="auto" w:fill="FFFFFF"/>
    </w:rPr>
  </w:style>
  <w:style w:type="character" w:customStyle="1" w:styleId="RTFNum3332">
    <w:name w:val="RTF_Num 333 2"/>
    <w:rsid w:val="0095645A"/>
    <w:rPr>
      <w:rFonts w:ascii="Wingdings" w:hAnsi="Wingdings" w:cs="Wingdings"/>
      <w:color w:val="000000"/>
      <w:shd w:val="clear" w:color="auto" w:fill="FFFFFF"/>
    </w:rPr>
  </w:style>
  <w:style w:type="character" w:customStyle="1" w:styleId="RTFNum3342">
    <w:name w:val="RTF_Num 334 2"/>
    <w:rsid w:val="0095645A"/>
    <w:rPr>
      <w:rFonts w:ascii="Symbol" w:hAnsi="Symbol" w:cs="Symbol"/>
      <w:color w:val="000000"/>
      <w:shd w:val="clear" w:color="auto" w:fill="FFFFFF"/>
    </w:rPr>
  </w:style>
  <w:style w:type="character" w:customStyle="1" w:styleId="RTFNum3352">
    <w:name w:val="RTF_Num 335 2"/>
    <w:rsid w:val="0095645A"/>
    <w:rPr>
      <w:rFonts w:ascii="Wingdings" w:hAnsi="Wingdings" w:cs="Wingdings"/>
      <w:color w:val="000000"/>
      <w:shd w:val="clear" w:color="auto" w:fill="FFFFFF"/>
    </w:rPr>
  </w:style>
  <w:style w:type="character" w:customStyle="1" w:styleId="RTFNum3362">
    <w:name w:val="RTF_Num 336 2"/>
    <w:rsid w:val="0095645A"/>
    <w:rPr>
      <w:rFonts w:ascii="Wingdings" w:hAnsi="Wingdings" w:cs="Wingdings"/>
      <w:color w:val="000000"/>
      <w:shd w:val="clear" w:color="auto" w:fill="FFFFFF"/>
    </w:rPr>
  </w:style>
  <w:style w:type="character" w:customStyle="1" w:styleId="RTFNum3372">
    <w:name w:val="RTF_Num 337 2"/>
    <w:rsid w:val="0095645A"/>
    <w:rPr>
      <w:rFonts w:ascii="Wingdings" w:hAnsi="Wingdings" w:cs="Wingdings"/>
      <w:color w:val="000000"/>
      <w:shd w:val="clear" w:color="auto" w:fill="FFFFFF"/>
    </w:rPr>
  </w:style>
  <w:style w:type="character" w:customStyle="1" w:styleId="RTFNum3382">
    <w:name w:val="RTF_Num 338 2"/>
    <w:rsid w:val="0095645A"/>
    <w:rPr>
      <w:rFonts w:ascii="Wingdings" w:hAnsi="Wingdings" w:cs="Wingdings"/>
      <w:color w:val="000000"/>
      <w:shd w:val="clear" w:color="auto" w:fill="FFFFFF"/>
    </w:rPr>
  </w:style>
  <w:style w:type="character" w:customStyle="1" w:styleId="RTFNum3392">
    <w:name w:val="RTF_Num 339 2"/>
    <w:rsid w:val="0095645A"/>
    <w:rPr>
      <w:rFonts w:ascii="Wingdings" w:hAnsi="Wingdings" w:cs="Wingdings"/>
      <w:color w:val="000000"/>
      <w:shd w:val="clear" w:color="auto" w:fill="FFFFFF"/>
    </w:rPr>
  </w:style>
  <w:style w:type="character" w:customStyle="1" w:styleId="RTFNum3402">
    <w:name w:val="RTF_Num 340 2"/>
    <w:rsid w:val="0095645A"/>
    <w:rPr>
      <w:rFonts w:ascii="Wingdings" w:hAnsi="Wingdings" w:cs="Wingdings"/>
      <w:color w:val="000000"/>
      <w:shd w:val="clear" w:color="auto" w:fill="FFFFFF"/>
    </w:rPr>
  </w:style>
  <w:style w:type="character" w:customStyle="1" w:styleId="RTFNum3412">
    <w:name w:val="RTF_Num 341 2"/>
    <w:rsid w:val="0095645A"/>
    <w:rPr>
      <w:rFonts w:ascii="Wingdings" w:hAnsi="Wingdings" w:cs="Wingdings"/>
      <w:color w:val="000000"/>
      <w:shd w:val="clear" w:color="auto" w:fill="FFFFFF"/>
    </w:rPr>
  </w:style>
  <w:style w:type="character" w:customStyle="1" w:styleId="RTFNum3422">
    <w:name w:val="RTF_Num 342 2"/>
    <w:rsid w:val="0095645A"/>
    <w:rPr>
      <w:rFonts w:ascii="Wingdings" w:hAnsi="Wingdings" w:cs="Wingdings"/>
      <w:color w:val="000000"/>
      <w:shd w:val="clear" w:color="auto" w:fill="FFFFFF"/>
    </w:rPr>
  </w:style>
  <w:style w:type="character" w:customStyle="1" w:styleId="RTFNum3432">
    <w:name w:val="RTF_Num 343 2"/>
    <w:rsid w:val="0095645A"/>
    <w:rPr>
      <w:rFonts w:ascii="Wingdings" w:hAnsi="Wingdings" w:cs="Wingdings"/>
      <w:color w:val="000000"/>
      <w:shd w:val="clear" w:color="auto" w:fill="FFFFFF"/>
    </w:rPr>
  </w:style>
  <w:style w:type="character" w:customStyle="1" w:styleId="RTFNum3442">
    <w:name w:val="RTF_Num 344 2"/>
    <w:rsid w:val="0095645A"/>
    <w:rPr>
      <w:rFonts w:ascii="Wingdings" w:hAnsi="Wingdings" w:cs="Wingdings"/>
      <w:color w:val="000000"/>
      <w:shd w:val="clear" w:color="auto" w:fill="FFFFFF"/>
    </w:rPr>
  </w:style>
  <w:style w:type="character" w:customStyle="1" w:styleId="RTFNum3452">
    <w:name w:val="RTF_Num 345 2"/>
    <w:rsid w:val="0095645A"/>
    <w:rPr>
      <w:rFonts w:ascii="Wingdings" w:hAnsi="Wingdings" w:cs="Wingdings"/>
      <w:color w:val="000000"/>
      <w:shd w:val="clear" w:color="auto" w:fill="FFFFFF"/>
    </w:rPr>
  </w:style>
  <w:style w:type="character" w:customStyle="1" w:styleId="RTFNum3462">
    <w:name w:val="RTF_Num 346 2"/>
    <w:rsid w:val="0095645A"/>
    <w:rPr>
      <w:rFonts w:ascii="Wingdings" w:hAnsi="Wingdings" w:cs="Wingdings"/>
      <w:color w:val="000000"/>
      <w:shd w:val="clear" w:color="auto" w:fill="FFFFFF"/>
    </w:rPr>
  </w:style>
  <w:style w:type="character" w:customStyle="1" w:styleId="RTFNum3472">
    <w:name w:val="RTF_Num 347 2"/>
    <w:rsid w:val="0095645A"/>
    <w:rPr>
      <w:rFonts w:ascii="Wingdings" w:hAnsi="Wingdings" w:cs="Wingdings"/>
      <w:color w:val="000000"/>
      <w:shd w:val="clear" w:color="auto" w:fill="FFFFFF"/>
    </w:rPr>
  </w:style>
  <w:style w:type="character" w:customStyle="1" w:styleId="RTFNum3482">
    <w:name w:val="RTF_Num 348 2"/>
    <w:rsid w:val="0095645A"/>
    <w:rPr>
      <w:rFonts w:ascii="Symbol" w:hAnsi="Symbol" w:cs="Symbol"/>
      <w:color w:val="000000"/>
      <w:shd w:val="clear" w:color="auto" w:fill="FFFFFF"/>
    </w:rPr>
  </w:style>
  <w:style w:type="character" w:customStyle="1" w:styleId="RTFNum3492">
    <w:name w:val="RTF_Num 349 2"/>
    <w:rsid w:val="0095645A"/>
    <w:rPr>
      <w:rFonts w:ascii="Symbol" w:hAnsi="Symbol" w:cs="Symbol"/>
      <w:color w:val="000000"/>
      <w:shd w:val="clear" w:color="auto" w:fill="FFFFFF"/>
    </w:rPr>
  </w:style>
  <w:style w:type="character" w:customStyle="1" w:styleId="RTFNum3502">
    <w:name w:val="RTF_Num 350 2"/>
    <w:rsid w:val="0095645A"/>
    <w:rPr>
      <w:rFonts w:ascii="Symbol" w:hAnsi="Symbol" w:cs="Symbol"/>
      <w:color w:val="000000"/>
      <w:shd w:val="clear" w:color="auto" w:fill="FFFFFF"/>
    </w:rPr>
  </w:style>
  <w:style w:type="character" w:customStyle="1" w:styleId="RTFNum3512">
    <w:name w:val="RTF_Num 351 2"/>
    <w:rsid w:val="0095645A"/>
    <w:rPr>
      <w:rFonts w:ascii="Wingdings" w:hAnsi="Wingdings" w:cs="Wingdings"/>
      <w:color w:val="000000"/>
      <w:shd w:val="clear" w:color="auto" w:fill="FFFFFF"/>
    </w:rPr>
  </w:style>
  <w:style w:type="character" w:customStyle="1" w:styleId="RTFNum3522">
    <w:name w:val="RTF_Num 352 2"/>
    <w:rsid w:val="0095645A"/>
    <w:rPr>
      <w:rFonts w:ascii="Wingdings" w:hAnsi="Wingdings" w:cs="Wingdings"/>
      <w:color w:val="000000"/>
      <w:shd w:val="clear" w:color="auto" w:fill="FFFFFF"/>
    </w:rPr>
  </w:style>
  <w:style w:type="character" w:customStyle="1" w:styleId="RTFNum3532">
    <w:name w:val="RTF_Num 353 2"/>
    <w:rsid w:val="0095645A"/>
    <w:rPr>
      <w:rFonts w:ascii="Wingdings" w:hAnsi="Wingdings" w:cs="Wingdings"/>
      <w:color w:val="000000"/>
      <w:shd w:val="clear" w:color="auto" w:fill="FFFFFF"/>
    </w:rPr>
  </w:style>
  <w:style w:type="character" w:customStyle="1" w:styleId="RTFNum3542">
    <w:name w:val="RTF_Num 354 2"/>
    <w:rsid w:val="0095645A"/>
    <w:rPr>
      <w:rFonts w:ascii="Symbol" w:hAnsi="Symbol" w:cs="Symbol"/>
      <w:color w:val="000000"/>
      <w:shd w:val="clear" w:color="auto" w:fill="FFFFFF"/>
    </w:rPr>
  </w:style>
  <w:style w:type="character" w:customStyle="1" w:styleId="RTFNum3552">
    <w:name w:val="RTF_Num 355 2"/>
    <w:rsid w:val="0095645A"/>
    <w:rPr>
      <w:rFonts w:ascii="Symbol" w:hAnsi="Symbol" w:cs="Symbol"/>
      <w:color w:val="000000"/>
      <w:shd w:val="clear" w:color="auto" w:fill="FFFFFF"/>
    </w:rPr>
  </w:style>
  <w:style w:type="character" w:customStyle="1" w:styleId="RTFNum3562">
    <w:name w:val="RTF_Num 356 2"/>
    <w:rsid w:val="0095645A"/>
    <w:rPr>
      <w:rFonts w:ascii="Symbol" w:hAnsi="Symbol" w:cs="Symbol"/>
      <w:color w:val="000000"/>
      <w:shd w:val="clear" w:color="auto" w:fill="FFFFFF"/>
    </w:rPr>
  </w:style>
  <w:style w:type="character" w:customStyle="1" w:styleId="RTFNum3572">
    <w:name w:val="RTF_Num 357 2"/>
    <w:rsid w:val="0095645A"/>
    <w:rPr>
      <w:rFonts w:ascii="Symbol" w:hAnsi="Symbol" w:cs="Symbol"/>
      <w:color w:val="000000"/>
      <w:shd w:val="clear" w:color="auto" w:fill="FFFFFF"/>
    </w:rPr>
  </w:style>
  <w:style w:type="character" w:customStyle="1" w:styleId="RTFNum3582">
    <w:name w:val="RTF_Num 358 2"/>
    <w:rsid w:val="0095645A"/>
    <w:rPr>
      <w:rFonts w:ascii="Symbol" w:hAnsi="Symbol" w:cs="Symbol"/>
      <w:color w:val="000000"/>
      <w:shd w:val="clear" w:color="auto" w:fill="FFFFFF"/>
    </w:rPr>
  </w:style>
  <w:style w:type="character" w:customStyle="1" w:styleId="RTFNum3592">
    <w:name w:val="RTF_Num 359 2"/>
    <w:rsid w:val="0095645A"/>
    <w:rPr>
      <w:rFonts w:ascii="Symbol" w:hAnsi="Symbol" w:cs="Symbol"/>
      <w:color w:val="000000"/>
      <w:shd w:val="clear" w:color="auto" w:fill="FFFFFF"/>
    </w:rPr>
  </w:style>
  <w:style w:type="character" w:customStyle="1" w:styleId="RTFNum3602">
    <w:name w:val="RTF_Num 360 2"/>
    <w:rsid w:val="0095645A"/>
    <w:rPr>
      <w:rFonts w:ascii="Symbol" w:hAnsi="Symbol" w:cs="Symbol"/>
      <w:color w:val="000000"/>
      <w:shd w:val="clear" w:color="auto" w:fill="FFFFFF"/>
    </w:rPr>
  </w:style>
  <w:style w:type="character" w:customStyle="1" w:styleId="RTFNum3612">
    <w:name w:val="RTF_Num 361 2"/>
    <w:rsid w:val="0095645A"/>
    <w:rPr>
      <w:rFonts w:ascii="Symbol" w:hAnsi="Symbol" w:cs="Symbol"/>
      <w:color w:val="000000"/>
      <w:shd w:val="clear" w:color="auto" w:fill="FFFFFF"/>
    </w:rPr>
  </w:style>
  <w:style w:type="character" w:customStyle="1" w:styleId="RTFNum3622">
    <w:name w:val="RTF_Num 362 2"/>
    <w:rsid w:val="0095645A"/>
    <w:rPr>
      <w:rFonts w:ascii="Symbol" w:hAnsi="Symbol" w:cs="Symbol"/>
      <w:color w:val="000000"/>
      <w:shd w:val="clear" w:color="auto" w:fill="FFFFFF"/>
    </w:rPr>
  </w:style>
  <w:style w:type="character" w:customStyle="1" w:styleId="RTFNum3632">
    <w:name w:val="RTF_Num 363 2"/>
    <w:rsid w:val="0095645A"/>
    <w:rPr>
      <w:rFonts w:ascii="Symbol" w:hAnsi="Symbol" w:cs="Symbol"/>
      <w:color w:val="000000"/>
      <w:shd w:val="clear" w:color="auto" w:fill="FFFFFF"/>
    </w:rPr>
  </w:style>
  <w:style w:type="character" w:customStyle="1" w:styleId="RTFNum3642">
    <w:name w:val="RTF_Num 364 2"/>
    <w:rsid w:val="0095645A"/>
    <w:rPr>
      <w:rFonts w:ascii="Symbol" w:hAnsi="Symbol" w:cs="Symbol"/>
      <w:color w:val="000000"/>
      <w:shd w:val="clear" w:color="auto" w:fill="FFFFFF"/>
    </w:rPr>
  </w:style>
  <w:style w:type="character" w:customStyle="1" w:styleId="RTFNum3652">
    <w:name w:val="RTF_Num 365 2"/>
    <w:rsid w:val="0095645A"/>
    <w:rPr>
      <w:rFonts w:ascii="Symbol" w:hAnsi="Symbol" w:cs="Symbol"/>
      <w:color w:val="000000"/>
      <w:shd w:val="clear" w:color="auto" w:fill="FFFFFF"/>
    </w:rPr>
  </w:style>
  <w:style w:type="character" w:customStyle="1" w:styleId="RTFNum3662">
    <w:name w:val="RTF_Num 366 2"/>
    <w:rsid w:val="0095645A"/>
    <w:rPr>
      <w:rFonts w:ascii="Wingdings" w:hAnsi="Wingdings" w:cs="Wingdings"/>
      <w:color w:val="000000"/>
      <w:shd w:val="clear" w:color="auto" w:fill="FFFFFF"/>
    </w:rPr>
  </w:style>
  <w:style w:type="character" w:customStyle="1" w:styleId="RTFNum3672">
    <w:name w:val="RTF_Num 367 2"/>
    <w:rsid w:val="0095645A"/>
    <w:rPr>
      <w:rFonts w:ascii="Symbol" w:hAnsi="Symbol" w:cs="Symbol"/>
      <w:color w:val="000000"/>
      <w:shd w:val="clear" w:color="auto" w:fill="FFFFFF"/>
    </w:rPr>
  </w:style>
  <w:style w:type="character" w:customStyle="1" w:styleId="RTFNum3682">
    <w:name w:val="RTF_Num 368 2"/>
    <w:rsid w:val="0095645A"/>
    <w:rPr>
      <w:rFonts w:ascii="Symbol" w:hAnsi="Symbol" w:cs="Symbol"/>
      <w:color w:val="000000"/>
      <w:shd w:val="clear" w:color="auto" w:fill="FFFFFF"/>
    </w:rPr>
  </w:style>
  <w:style w:type="character" w:customStyle="1" w:styleId="RTFNum3692">
    <w:name w:val="RTF_Num 369 2"/>
    <w:rsid w:val="0095645A"/>
    <w:rPr>
      <w:rFonts w:ascii="Symbol" w:hAnsi="Symbol" w:cs="Symbol"/>
      <w:color w:val="000000"/>
      <w:shd w:val="clear" w:color="auto" w:fill="FFFFFF"/>
    </w:rPr>
  </w:style>
  <w:style w:type="character" w:customStyle="1" w:styleId="RTFNum3702">
    <w:name w:val="RTF_Num 370 2"/>
    <w:rsid w:val="0095645A"/>
    <w:rPr>
      <w:rFonts w:ascii="Symbol" w:hAnsi="Symbol" w:cs="Symbol"/>
      <w:color w:val="000000"/>
      <w:shd w:val="clear" w:color="auto" w:fill="FFFFFF"/>
    </w:rPr>
  </w:style>
  <w:style w:type="character" w:customStyle="1" w:styleId="RTFNum3712">
    <w:name w:val="RTF_Num 371 2"/>
    <w:rsid w:val="0095645A"/>
    <w:rPr>
      <w:rFonts w:ascii="Symbol" w:hAnsi="Symbol" w:cs="Symbol"/>
      <w:color w:val="000000"/>
      <w:shd w:val="clear" w:color="auto" w:fill="FFFFFF"/>
    </w:rPr>
  </w:style>
  <w:style w:type="character" w:customStyle="1" w:styleId="RTFNum3722">
    <w:name w:val="RTF_Num 372 2"/>
    <w:rsid w:val="0095645A"/>
    <w:rPr>
      <w:rFonts w:ascii="Symbol" w:hAnsi="Symbol" w:cs="Symbol"/>
      <w:color w:val="000000"/>
      <w:shd w:val="clear" w:color="auto" w:fill="FFFFFF"/>
    </w:rPr>
  </w:style>
  <w:style w:type="character" w:customStyle="1" w:styleId="RTFNum3732">
    <w:name w:val="RTF_Num 373 2"/>
    <w:rsid w:val="0095645A"/>
    <w:rPr>
      <w:rFonts w:ascii="Symbol" w:hAnsi="Symbol" w:cs="Symbol"/>
      <w:color w:val="000000"/>
      <w:shd w:val="clear" w:color="auto" w:fill="FFFFFF"/>
    </w:rPr>
  </w:style>
  <w:style w:type="character" w:customStyle="1" w:styleId="RTFNum3742">
    <w:name w:val="RTF_Num 374 2"/>
    <w:rsid w:val="0095645A"/>
    <w:rPr>
      <w:rFonts w:ascii="Symbol" w:hAnsi="Symbol" w:cs="Symbol"/>
      <w:color w:val="000000"/>
      <w:shd w:val="clear" w:color="auto" w:fill="FFFFFF"/>
    </w:rPr>
  </w:style>
  <w:style w:type="character" w:customStyle="1" w:styleId="RTFNum3752">
    <w:name w:val="RTF_Num 375 2"/>
    <w:rsid w:val="0095645A"/>
    <w:rPr>
      <w:rFonts w:ascii="Wingdings" w:hAnsi="Wingdings" w:cs="Wingdings"/>
      <w:color w:val="000000"/>
      <w:shd w:val="clear" w:color="auto" w:fill="FFFFFF"/>
    </w:rPr>
  </w:style>
  <w:style w:type="character" w:customStyle="1" w:styleId="RTFNum3762">
    <w:name w:val="RTF_Num 376 2"/>
    <w:rsid w:val="0095645A"/>
    <w:rPr>
      <w:rFonts w:ascii="Wingdings" w:hAnsi="Wingdings" w:cs="Wingdings"/>
      <w:color w:val="000000"/>
      <w:shd w:val="clear" w:color="auto" w:fill="FFFFFF"/>
    </w:rPr>
  </w:style>
  <w:style w:type="character" w:customStyle="1" w:styleId="RTFNum3772">
    <w:name w:val="RTF_Num 377 2"/>
    <w:rsid w:val="0095645A"/>
    <w:rPr>
      <w:rFonts w:ascii="Wingdings" w:hAnsi="Wingdings" w:cs="Wingdings"/>
      <w:color w:val="000000"/>
      <w:shd w:val="clear" w:color="auto" w:fill="FFFFFF"/>
    </w:rPr>
  </w:style>
  <w:style w:type="character" w:customStyle="1" w:styleId="RTFNum3782">
    <w:name w:val="RTF_Num 378 2"/>
    <w:rsid w:val="0095645A"/>
    <w:rPr>
      <w:rFonts w:ascii="Wingdings" w:hAnsi="Wingdings" w:cs="Wingdings"/>
      <w:color w:val="000000"/>
      <w:shd w:val="clear" w:color="auto" w:fill="FFFFFF"/>
    </w:rPr>
  </w:style>
  <w:style w:type="character" w:customStyle="1" w:styleId="RTFNum3792">
    <w:name w:val="RTF_Num 379 2"/>
    <w:rsid w:val="0095645A"/>
    <w:rPr>
      <w:rFonts w:ascii="Wingdings" w:hAnsi="Wingdings" w:cs="Wingdings"/>
      <w:color w:val="000000"/>
      <w:shd w:val="clear" w:color="auto" w:fill="FFFFFF"/>
    </w:rPr>
  </w:style>
  <w:style w:type="character" w:customStyle="1" w:styleId="RTFNum3802">
    <w:name w:val="RTF_Num 380 2"/>
    <w:rsid w:val="0095645A"/>
    <w:rPr>
      <w:rFonts w:ascii="Wingdings" w:hAnsi="Wingdings" w:cs="Wingdings"/>
      <w:color w:val="000000"/>
      <w:shd w:val="clear" w:color="auto" w:fill="FFFFFF"/>
    </w:rPr>
  </w:style>
  <w:style w:type="character" w:customStyle="1" w:styleId="RTFNum3812">
    <w:name w:val="RTF_Num 381 2"/>
    <w:rsid w:val="0095645A"/>
    <w:rPr>
      <w:rFonts w:ascii="Symbol" w:hAnsi="Symbol" w:cs="Symbol"/>
      <w:color w:val="000000"/>
      <w:shd w:val="clear" w:color="auto" w:fill="FFFFFF"/>
    </w:rPr>
  </w:style>
  <w:style w:type="character" w:customStyle="1" w:styleId="RTFNum3822">
    <w:name w:val="RTF_Num 382 2"/>
    <w:rsid w:val="0095645A"/>
    <w:rPr>
      <w:rFonts w:ascii="Symbol" w:hAnsi="Symbol" w:cs="Symbol"/>
      <w:color w:val="000000"/>
      <w:shd w:val="clear" w:color="auto" w:fill="FFFFFF"/>
    </w:rPr>
  </w:style>
  <w:style w:type="character" w:customStyle="1" w:styleId="RTFNum3832">
    <w:name w:val="RTF_Num 383 2"/>
    <w:rsid w:val="0095645A"/>
    <w:rPr>
      <w:rFonts w:ascii="Wingdings" w:hAnsi="Wingdings" w:cs="Wingdings"/>
      <w:color w:val="000000"/>
      <w:shd w:val="clear" w:color="auto" w:fill="FFFFFF"/>
    </w:rPr>
  </w:style>
  <w:style w:type="character" w:customStyle="1" w:styleId="RTFNum3842">
    <w:name w:val="RTF_Num 384 2"/>
    <w:rsid w:val="0095645A"/>
    <w:rPr>
      <w:rFonts w:ascii="Wingdings" w:hAnsi="Wingdings" w:cs="Wingdings"/>
      <w:color w:val="000000"/>
      <w:shd w:val="clear" w:color="auto" w:fill="FFFFFF"/>
    </w:rPr>
  </w:style>
  <w:style w:type="character" w:customStyle="1" w:styleId="RTFNum3852">
    <w:name w:val="RTF_Num 385 2"/>
    <w:rsid w:val="0095645A"/>
    <w:rPr>
      <w:rFonts w:ascii="Symbol" w:hAnsi="Symbol" w:cs="Symbol"/>
      <w:color w:val="000000"/>
      <w:shd w:val="clear" w:color="auto" w:fill="FFFFFF"/>
    </w:rPr>
  </w:style>
  <w:style w:type="character" w:customStyle="1" w:styleId="RTFNum3862">
    <w:name w:val="RTF_Num 386 2"/>
    <w:rsid w:val="0095645A"/>
    <w:rPr>
      <w:rFonts w:ascii="Symbol" w:hAnsi="Symbol" w:cs="Symbol"/>
      <w:color w:val="000000"/>
      <w:shd w:val="clear" w:color="auto" w:fill="FFFFFF"/>
    </w:rPr>
  </w:style>
  <w:style w:type="character" w:customStyle="1" w:styleId="RTFNum3872">
    <w:name w:val="RTF_Num 387 2"/>
    <w:rsid w:val="0095645A"/>
    <w:rPr>
      <w:rFonts w:ascii="Symbol" w:hAnsi="Symbol" w:cs="Symbol"/>
      <w:color w:val="000000"/>
      <w:shd w:val="clear" w:color="auto" w:fill="FFFFFF"/>
    </w:rPr>
  </w:style>
  <w:style w:type="character" w:customStyle="1" w:styleId="RTFNum3882">
    <w:name w:val="RTF_Num 388 2"/>
    <w:rsid w:val="0095645A"/>
    <w:rPr>
      <w:rFonts w:ascii="Symbol" w:hAnsi="Symbol" w:cs="Symbol"/>
      <w:color w:val="000000"/>
      <w:shd w:val="clear" w:color="auto" w:fill="FFFFFF"/>
    </w:rPr>
  </w:style>
  <w:style w:type="character" w:customStyle="1" w:styleId="RTFNum3892">
    <w:name w:val="RTF_Num 389 2"/>
    <w:rsid w:val="0095645A"/>
    <w:rPr>
      <w:rFonts w:ascii="Symbol" w:hAnsi="Symbol" w:cs="Symbol"/>
      <w:color w:val="000000"/>
      <w:shd w:val="clear" w:color="auto" w:fill="FFFFFF"/>
    </w:rPr>
  </w:style>
  <w:style w:type="character" w:customStyle="1" w:styleId="RTFNum3902">
    <w:name w:val="RTF_Num 390 2"/>
    <w:rsid w:val="0095645A"/>
    <w:rPr>
      <w:rFonts w:ascii="Symbol" w:hAnsi="Symbol" w:cs="Symbol"/>
      <w:color w:val="000000"/>
      <w:shd w:val="clear" w:color="auto" w:fill="FFFFFF"/>
    </w:rPr>
  </w:style>
  <w:style w:type="character" w:customStyle="1" w:styleId="RTFNum3912">
    <w:name w:val="RTF_Num 391 2"/>
    <w:rsid w:val="0095645A"/>
    <w:rPr>
      <w:rFonts w:ascii="Symbol" w:hAnsi="Symbol" w:cs="Symbol"/>
      <w:color w:val="000000"/>
      <w:shd w:val="clear" w:color="auto" w:fill="FFFFFF"/>
    </w:rPr>
  </w:style>
  <w:style w:type="character" w:customStyle="1" w:styleId="RTFNum3922">
    <w:name w:val="RTF_Num 392 2"/>
    <w:rsid w:val="0095645A"/>
    <w:rPr>
      <w:rFonts w:ascii="Symbol" w:hAnsi="Symbol" w:cs="Symbol"/>
      <w:color w:val="000000"/>
      <w:shd w:val="clear" w:color="auto" w:fill="FFFFFF"/>
    </w:rPr>
  </w:style>
  <w:style w:type="character" w:customStyle="1" w:styleId="RTFNum3932">
    <w:name w:val="RTF_Num 393 2"/>
    <w:rsid w:val="0095645A"/>
    <w:rPr>
      <w:rFonts w:ascii="Symbol" w:hAnsi="Symbol" w:cs="Symbol"/>
      <w:color w:val="000000"/>
      <w:shd w:val="clear" w:color="auto" w:fill="FFFFFF"/>
    </w:rPr>
  </w:style>
  <w:style w:type="character" w:customStyle="1" w:styleId="RTFNum3942">
    <w:name w:val="RTF_Num 394 2"/>
    <w:rsid w:val="0095645A"/>
    <w:rPr>
      <w:rFonts w:ascii="Symbol" w:hAnsi="Symbol" w:cs="Symbol"/>
      <w:color w:val="000000"/>
      <w:shd w:val="clear" w:color="auto" w:fill="FFFFFF"/>
    </w:rPr>
  </w:style>
  <w:style w:type="character" w:customStyle="1" w:styleId="RTFNum3952">
    <w:name w:val="RTF_Num 395 2"/>
    <w:rsid w:val="0095645A"/>
    <w:rPr>
      <w:rFonts w:ascii="Symbol" w:hAnsi="Symbol" w:cs="Symbol"/>
      <w:color w:val="000000"/>
      <w:shd w:val="clear" w:color="auto" w:fill="FFFFFF"/>
    </w:rPr>
  </w:style>
  <w:style w:type="character" w:customStyle="1" w:styleId="RTFNum3962">
    <w:name w:val="RTF_Num 396 2"/>
    <w:rsid w:val="0095645A"/>
    <w:rPr>
      <w:rFonts w:ascii="Symbol" w:hAnsi="Symbol" w:cs="Symbol"/>
      <w:color w:val="000000"/>
      <w:shd w:val="clear" w:color="auto" w:fill="FFFFFF"/>
    </w:rPr>
  </w:style>
  <w:style w:type="character" w:customStyle="1" w:styleId="RTFNum3972">
    <w:name w:val="RTF_Num 397 2"/>
    <w:rsid w:val="0095645A"/>
    <w:rPr>
      <w:rFonts w:ascii="Symbol" w:hAnsi="Symbol" w:cs="Symbol"/>
      <w:color w:val="000000"/>
      <w:shd w:val="clear" w:color="auto" w:fill="FFFFFF"/>
    </w:rPr>
  </w:style>
  <w:style w:type="character" w:customStyle="1" w:styleId="RTFNum3982">
    <w:name w:val="RTF_Num 398 2"/>
    <w:rsid w:val="0095645A"/>
    <w:rPr>
      <w:rFonts w:ascii="Symbol" w:hAnsi="Symbol" w:cs="Symbol"/>
      <w:color w:val="000000"/>
      <w:shd w:val="clear" w:color="auto" w:fill="FFFFFF"/>
    </w:rPr>
  </w:style>
  <w:style w:type="character" w:customStyle="1" w:styleId="RTFNum3992">
    <w:name w:val="RTF_Num 399 2"/>
    <w:rsid w:val="0095645A"/>
    <w:rPr>
      <w:rFonts w:ascii="Wingdings" w:hAnsi="Wingdings" w:cs="Wingdings"/>
      <w:color w:val="000000"/>
      <w:shd w:val="clear" w:color="auto" w:fill="FFFFFF"/>
    </w:rPr>
  </w:style>
  <w:style w:type="character" w:customStyle="1" w:styleId="RTFNum4002">
    <w:name w:val="RTF_Num 400 2"/>
    <w:rsid w:val="0095645A"/>
    <w:rPr>
      <w:rFonts w:ascii="Wingdings" w:hAnsi="Wingdings" w:cs="Wingdings"/>
      <w:color w:val="000000"/>
      <w:shd w:val="clear" w:color="auto" w:fill="FFFFFF"/>
    </w:rPr>
  </w:style>
  <w:style w:type="character" w:customStyle="1" w:styleId="RTFNum4012">
    <w:name w:val="RTF_Num 401 2"/>
    <w:rsid w:val="0095645A"/>
    <w:rPr>
      <w:rFonts w:ascii="Wingdings" w:hAnsi="Wingdings" w:cs="Wingdings"/>
      <w:color w:val="000000"/>
      <w:shd w:val="clear" w:color="auto" w:fill="FFFFFF"/>
    </w:rPr>
  </w:style>
  <w:style w:type="character" w:customStyle="1" w:styleId="RTFNum4022">
    <w:name w:val="RTF_Num 402 2"/>
    <w:rsid w:val="0095645A"/>
    <w:rPr>
      <w:rFonts w:ascii="Wingdings" w:hAnsi="Wingdings" w:cs="Wingdings"/>
      <w:color w:val="000000"/>
      <w:shd w:val="clear" w:color="auto" w:fill="FFFFFF"/>
    </w:rPr>
  </w:style>
  <w:style w:type="character" w:customStyle="1" w:styleId="RTFNum4032">
    <w:name w:val="RTF_Num 403 2"/>
    <w:rsid w:val="0095645A"/>
    <w:rPr>
      <w:rFonts w:ascii="Wingdings" w:hAnsi="Wingdings" w:cs="Wingdings"/>
      <w:color w:val="000000"/>
      <w:shd w:val="clear" w:color="auto" w:fill="FFFFFF"/>
    </w:rPr>
  </w:style>
  <w:style w:type="character" w:customStyle="1" w:styleId="RTFNum4042">
    <w:name w:val="RTF_Num 404 2"/>
    <w:rsid w:val="0095645A"/>
    <w:rPr>
      <w:rFonts w:ascii="Wingdings" w:hAnsi="Wingdings" w:cs="Wingdings"/>
      <w:color w:val="000000"/>
      <w:shd w:val="clear" w:color="auto" w:fill="FFFFFF"/>
    </w:rPr>
  </w:style>
  <w:style w:type="character" w:customStyle="1" w:styleId="RTFNum4052">
    <w:name w:val="RTF_Num 405 2"/>
    <w:rsid w:val="0095645A"/>
    <w:rPr>
      <w:rFonts w:ascii="Wingdings" w:hAnsi="Wingdings" w:cs="Wingdings"/>
      <w:color w:val="000000"/>
      <w:shd w:val="clear" w:color="auto" w:fill="FFFFFF"/>
    </w:rPr>
  </w:style>
  <w:style w:type="character" w:customStyle="1" w:styleId="RTFNum4062">
    <w:name w:val="RTF_Num 406 2"/>
    <w:rsid w:val="0095645A"/>
    <w:rPr>
      <w:rFonts w:ascii="Wingdings" w:hAnsi="Wingdings" w:cs="Wingdings"/>
      <w:color w:val="000000"/>
      <w:shd w:val="clear" w:color="auto" w:fill="FFFFFF"/>
    </w:rPr>
  </w:style>
  <w:style w:type="character" w:customStyle="1" w:styleId="RTFNum4072">
    <w:name w:val="RTF_Num 407 2"/>
    <w:rsid w:val="0095645A"/>
    <w:rPr>
      <w:rFonts w:ascii="Wingdings" w:hAnsi="Wingdings" w:cs="Wingdings"/>
      <w:color w:val="000000"/>
      <w:shd w:val="clear" w:color="auto" w:fill="FFFFFF"/>
    </w:rPr>
  </w:style>
  <w:style w:type="character" w:customStyle="1" w:styleId="RTFNum4082">
    <w:name w:val="RTF_Num 408 2"/>
    <w:rsid w:val="0095645A"/>
    <w:rPr>
      <w:rFonts w:ascii="Symbol" w:hAnsi="Symbol" w:cs="Symbol"/>
      <w:color w:val="000000"/>
      <w:shd w:val="clear" w:color="auto" w:fill="FFFFFF"/>
    </w:rPr>
  </w:style>
  <w:style w:type="character" w:customStyle="1" w:styleId="RTFNum4092">
    <w:name w:val="RTF_Num 409 2"/>
    <w:rsid w:val="0095645A"/>
    <w:rPr>
      <w:rFonts w:ascii="Symbol" w:hAnsi="Symbol" w:cs="Symbol"/>
      <w:color w:val="000000"/>
      <w:shd w:val="clear" w:color="auto" w:fill="FFFFFF"/>
    </w:rPr>
  </w:style>
  <w:style w:type="character" w:customStyle="1" w:styleId="RTFNum4102">
    <w:name w:val="RTF_Num 410 2"/>
    <w:rsid w:val="0095645A"/>
    <w:rPr>
      <w:rFonts w:ascii="Symbol" w:hAnsi="Symbol" w:cs="Symbol"/>
      <w:color w:val="000000"/>
      <w:shd w:val="clear" w:color="auto" w:fill="FFFFFF"/>
    </w:rPr>
  </w:style>
  <w:style w:type="character" w:customStyle="1" w:styleId="RTFNum4112">
    <w:name w:val="RTF_Num 411 2"/>
    <w:rsid w:val="0095645A"/>
    <w:rPr>
      <w:rFonts w:ascii="Symbol" w:hAnsi="Symbol" w:cs="Symbol"/>
      <w:color w:val="000000"/>
      <w:shd w:val="clear" w:color="auto" w:fill="FFFFFF"/>
    </w:rPr>
  </w:style>
  <w:style w:type="character" w:customStyle="1" w:styleId="RTFNum4122">
    <w:name w:val="RTF_Num 412 2"/>
    <w:rsid w:val="0095645A"/>
    <w:rPr>
      <w:rFonts w:ascii="Symbol" w:hAnsi="Symbol" w:cs="Symbol"/>
      <w:color w:val="000000"/>
      <w:shd w:val="clear" w:color="auto" w:fill="FFFFFF"/>
    </w:rPr>
  </w:style>
  <w:style w:type="character" w:customStyle="1" w:styleId="RTFNum4132">
    <w:name w:val="RTF_Num 413 2"/>
    <w:rsid w:val="0095645A"/>
    <w:rPr>
      <w:rFonts w:ascii="Wingdings" w:hAnsi="Wingdings" w:cs="Wingdings"/>
      <w:color w:val="000000"/>
      <w:shd w:val="clear" w:color="auto" w:fill="FFFFFF"/>
    </w:rPr>
  </w:style>
  <w:style w:type="character" w:customStyle="1" w:styleId="RTFNum4142">
    <w:name w:val="RTF_Num 414 2"/>
    <w:rsid w:val="0095645A"/>
    <w:rPr>
      <w:rFonts w:ascii="Wingdings" w:hAnsi="Wingdings" w:cs="Wingdings"/>
      <w:color w:val="000000"/>
      <w:shd w:val="clear" w:color="auto" w:fill="FFFFFF"/>
    </w:rPr>
  </w:style>
  <w:style w:type="character" w:customStyle="1" w:styleId="RTFNum4152">
    <w:name w:val="RTF_Num 415 2"/>
    <w:rsid w:val="0095645A"/>
    <w:rPr>
      <w:rFonts w:ascii="Wingdings" w:hAnsi="Wingdings" w:cs="Wingdings"/>
      <w:color w:val="000000"/>
      <w:shd w:val="clear" w:color="auto" w:fill="FFFFFF"/>
    </w:rPr>
  </w:style>
  <w:style w:type="character" w:customStyle="1" w:styleId="RTFNum4162">
    <w:name w:val="RTF_Num 416 2"/>
    <w:rsid w:val="0095645A"/>
    <w:rPr>
      <w:rFonts w:ascii="Wingdings" w:hAnsi="Wingdings" w:cs="Wingdings"/>
      <w:color w:val="000000"/>
      <w:shd w:val="clear" w:color="auto" w:fill="FFFFFF"/>
    </w:rPr>
  </w:style>
  <w:style w:type="character" w:customStyle="1" w:styleId="RTFNum4172">
    <w:name w:val="RTF_Num 417 2"/>
    <w:rsid w:val="0095645A"/>
    <w:rPr>
      <w:rFonts w:ascii="Wingdings" w:hAnsi="Wingdings" w:cs="Wingdings"/>
      <w:color w:val="000000"/>
      <w:shd w:val="clear" w:color="auto" w:fill="FFFFFF"/>
    </w:rPr>
  </w:style>
  <w:style w:type="character" w:customStyle="1" w:styleId="RTFNum4182">
    <w:name w:val="RTF_Num 418 2"/>
    <w:rsid w:val="0095645A"/>
    <w:rPr>
      <w:rFonts w:ascii="Wingdings" w:hAnsi="Wingdings" w:cs="Wingdings"/>
      <w:color w:val="000000"/>
      <w:shd w:val="clear" w:color="auto" w:fill="FFFFFF"/>
    </w:rPr>
  </w:style>
  <w:style w:type="character" w:customStyle="1" w:styleId="RTFNum4192">
    <w:name w:val="RTF_Num 419 2"/>
    <w:rsid w:val="0095645A"/>
    <w:rPr>
      <w:rFonts w:ascii="Symbol" w:hAnsi="Symbol" w:cs="Symbol"/>
      <w:color w:val="000000"/>
      <w:shd w:val="clear" w:color="auto" w:fill="FFFFFF"/>
    </w:rPr>
  </w:style>
  <w:style w:type="character" w:customStyle="1" w:styleId="RTFNum4202">
    <w:name w:val="RTF_Num 420 2"/>
    <w:rsid w:val="0095645A"/>
    <w:rPr>
      <w:rFonts w:ascii="Symbol" w:hAnsi="Symbol" w:cs="Symbol"/>
      <w:color w:val="000000"/>
      <w:shd w:val="clear" w:color="auto" w:fill="FFFFFF"/>
    </w:rPr>
  </w:style>
  <w:style w:type="character" w:customStyle="1" w:styleId="RTFNum4212">
    <w:name w:val="RTF_Num 421 2"/>
    <w:rsid w:val="0095645A"/>
    <w:rPr>
      <w:rFonts w:ascii="Wingdings" w:hAnsi="Wingdings" w:cs="Wingdings"/>
      <w:color w:val="000000"/>
      <w:shd w:val="clear" w:color="auto" w:fill="FFFFFF"/>
    </w:rPr>
  </w:style>
  <w:style w:type="character" w:customStyle="1" w:styleId="RTFNum4222">
    <w:name w:val="RTF_Num 422 2"/>
    <w:rsid w:val="0095645A"/>
    <w:rPr>
      <w:rFonts w:ascii="Wingdings" w:hAnsi="Wingdings" w:cs="Wingdings"/>
      <w:color w:val="000000"/>
      <w:shd w:val="clear" w:color="auto" w:fill="FFFFFF"/>
    </w:rPr>
  </w:style>
  <w:style w:type="character" w:customStyle="1" w:styleId="RTFNum4232">
    <w:name w:val="RTF_Num 423 2"/>
    <w:rsid w:val="0095645A"/>
    <w:rPr>
      <w:rFonts w:ascii="Symbol" w:hAnsi="Symbol" w:cs="Symbol"/>
      <w:color w:val="000000"/>
      <w:shd w:val="clear" w:color="auto" w:fill="FFFFFF"/>
    </w:rPr>
  </w:style>
  <w:style w:type="character" w:customStyle="1" w:styleId="RTFNum4242">
    <w:name w:val="RTF_Num 424 2"/>
    <w:rsid w:val="0095645A"/>
    <w:rPr>
      <w:rFonts w:ascii="Wingdings" w:hAnsi="Wingdings" w:cs="Wingdings"/>
      <w:color w:val="000000"/>
      <w:shd w:val="clear" w:color="auto" w:fill="FFFFFF"/>
    </w:rPr>
  </w:style>
  <w:style w:type="character" w:customStyle="1" w:styleId="RTFNum4252">
    <w:name w:val="RTF_Num 425 2"/>
    <w:rsid w:val="0095645A"/>
    <w:rPr>
      <w:rFonts w:ascii="Wingdings" w:hAnsi="Wingdings" w:cs="Wingdings"/>
      <w:color w:val="000000"/>
      <w:shd w:val="clear" w:color="auto" w:fill="FFFFFF"/>
    </w:rPr>
  </w:style>
  <w:style w:type="character" w:customStyle="1" w:styleId="RTFNum4262">
    <w:name w:val="RTF_Num 426 2"/>
    <w:rsid w:val="0095645A"/>
    <w:rPr>
      <w:rFonts w:ascii="Symbol" w:hAnsi="Symbol" w:cs="Symbol"/>
      <w:color w:val="000000"/>
      <w:shd w:val="clear" w:color="auto" w:fill="FFFFFF"/>
    </w:rPr>
  </w:style>
  <w:style w:type="character" w:customStyle="1" w:styleId="RTFNum4272">
    <w:name w:val="RTF_Num 427 2"/>
    <w:rsid w:val="0095645A"/>
    <w:rPr>
      <w:rFonts w:ascii="Wingdings" w:hAnsi="Wingdings" w:cs="Wingdings"/>
      <w:color w:val="000000"/>
      <w:shd w:val="clear" w:color="auto" w:fill="FFFFFF"/>
    </w:rPr>
  </w:style>
  <w:style w:type="character" w:customStyle="1" w:styleId="RTFNum4282">
    <w:name w:val="RTF_Num 428 2"/>
    <w:rsid w:val="0095645A"/>
    <w:rPr>
      <w:rFonts w:ascii="Symbol" w:hAnsi="Symbol" w:cs="Symbol"/>
      <w:color w:val="000000"/>
      <w:shd w:val="clear" w:color="auto" w:fill="FFFFFF"/>
    </w:rPr>
  </w:style>
  <w:style w:type="character" w:customStyle="1" w:styleId="RTFNum4292">
    <w:name w:val="RTF_Num 429 2"/>
    <w:rsid w:val="0095645A"/>
    <w:rPr>
      <w:rFonts w:ascii="Symbol" w:hAnsi="Symbol" w:cs="Symbol"/>
      <w:color w:val="000000"/>
      <w:shd w:val="clear" w:color="auto" w:fill="FFFFFF"/>
    </w:rPr>
  </w:style>
  <w:style w:type="character" w:customStyle="1" w:styleId="RTFNum52">
    <w:name w:val="RTF_Num 5 2"/>
    <w:rsid w:val="0095645A"/>
    <w:rPr>
      <w:rFonts w:ascii="Wingdings" w:hAnsi="Wingdings" w:cs="Wingdings"/>
      <w:color w:val="000000"/>
      <w:u w:val="single"/>
      <w:shd w:val="clear" w:color="auto" w:fill="FFFFFF"/>
    </w:rPr>
  </w:style>
  <w:style w:type="character" w:customStyle="1" w:styleId="RTFNum62">
    <w:name w:val="RTF_Num 6 2"/>
    <w:rsid w:val="0095645A"/>
    <w:rPr>
      <w:rFonts w:ascii="Wingdings" w:hAnsi="Wingdings" w:cs="Wingdings"/>
      <w:color w:val="000000"/>
      <w:u w:val="single"/>
      <w:shd w:val="clear" w:color="auto" w:fill="FFFFFF"/>
    </w:rPr>
  </w:style>
  <w:style w:type="character" w:customStyle="1" w:styleId="RTFNum72">
    <w:name w:val="RTF_Num 7 2"/>
    <w:rsid w:val="0095645A"/>
    <w:rPr>
      <w:rFonts w:ascii="Wingdings" w:hAnsi="Wingdings" w:cs="Wingdings"/>
      <w:color w:val="000000"/>
      <w:u w:val="single"/>
      <w:shd w:val="clear" w:color="auto" w:fill="FFFFFF"/>
    </w:rPr>
  </w:style>
  <w:style w:type="character" w:customStyle="1" w:styleId="NumberingSymbols">
    <w:name w:val="Numbering Symbols"/>
    <w:rsid w:val="0095645A"/>
    <w:rPr>
      <w:rFonts w:cs="Arial"/>
      <w:color w:val="000000"/>
      <w:u w:val="single"/>
      <w:shd w:val="clear" w:color="auto" w:fill="FFFFFF"/>
    </w:rPr>
  </w:style>
  <w:style w:type="character" w:customStyle="1" w:styleId="RTFNum102">
    <w:name w:val="RTF_Num 10 2"/>
    <w:rsid w:val="0095645A"/>
    <w:rPr>
      <w:rFonts w:ascii="Symbol" w:hAnsi="Symbol" w:cs="Symbol"/>
      <w:color w:val="000000"/>
      <w:u w:val="single"/>
      <w:shd w:val="clear" w:color="auto" w:fill="FFFFFF"/>
    </w:rPr>
  </w:style>
  <w:style w:type="character" w:customStyle="1" w:styleId="RTFNum92">
    <w:name w:val="RTF_Num 9 2"/>
    <w:rsid w:val="0095645A"/>
    <w:rPr>
      <w:rFonts w:ascii="Symbol" w:hAnsi="Symbol" w:cs="Symbol"/>
      <w:color w:val="000000"/>
      <w:u w:val="single"/>
      <w:shd w:val="clear" w:color="auto" w:fill="FFFFFF"/>
    </w:rPr>
  </w:style>
  <w:style w:type="character" w:customStyle="1" w:styleId="RTFNum112">
    <w:name w:val="RTF_Num 11 2"/>
    <w:rsid w:val="0095645A"/>
    <w:rPr>
      <w:rFonts w:ascii="Symbol" w:hAnsi="Symbol" w:cs="Symbol"/>
      <w:color w:val="000000"/>
      <w:u w:val="single"/>
      <w:shd w:val="clear" w:color="auto" w:fill="FFFFFF"/>
    </w:rPr>
  </w:style>
  <w:style w:type="character" w:customStyle="1" w:styleId="RTFNum172">
    <w:name w:val="RTF_Num 17 2"/>
    <w:rsid w:val="0095645A"/>
    <w:rPr>
      <w:rFonts w:ascii="Symbol" w:hAnsi="Symbol" w:cs="Symbol"/>
      <w:color w:val="000000"/>
      <w:u w:val="single"/>
      <w:shd w:val="clear" w:color="auto" w:fill="FFFFFF"/>
    </w:rPr>
  </w:style>
  <w:style w:type="character" w:customStyle="1" w:styleId="RTFNum202">
    <w:name w:val="RTF_Num 20 2"/>
    <w:rsid w:val="0095645A"/>
    <w:rPr>
      <w:rFonts w:ascii="Symbol" w:hAnsi="Symbol" w:cs="Symbol"/>
      <w:color w:val="000000"/>
      <w:u w:val="single"/>
      <w:shd w:val="clear" w:color="auto" w:fill="FFFFFF"/>
    </w:rPr>
  </w:style>
  <w:style w:type="character" w:customStyle="1" w:styleId="RTFNum222">
    <w:name w:val="RTF_Num 22 2"/>
    <w:rsid w:val="0095645A"/>
    <w:rPr>
      <w:rFonts w:ascii="Symbol" w:hAnsi="Symbol" w:cs="Symbol"/>
      <w:color w:val="000000"/>
      <w:u w:val="single"/>
      <w:shd w:val="clear" w:color="auto" w:fill="FFFFFF"/>
    </w:rPr>
  </w:style>
  <w:style w:type="character" w:customStyle="1" w:styleId="RTFNum232">
    <w:name w:val="RTF_Num 23 2"/>
    <w:rsid w:val="0095645A"/>
    <w:rPr>
      <w:rFonts w:ascii="Symbol" w:hAnsi="Symbol" w:cs="Symbol"/>
      <w:color w:val="000000"/>
      <w:u w:val="single"/>
      <w:shd w:val="clear" w:color="auto" w:fill="FFFFFF"/>
    </w:rPr>
  </w:style>
  <w:style w:type="character" w:customStyle="1" w:styleId="RTFNum252">
    <w:name w:val="RTF_Num 25 2"/>
    <w:rsid w:val="0095645A"/>
    <w:rPr>
      <w:rFonts w:ascii="Wingdings" w:hAnsi="Wingdings" w:cs="Wingdings"/>
      <w:color w:val="000000"/>
      <w:u w:val="single"/>
      <w:shd w:val="clear" w:color="auto" w:fill="FFFFFF"/>
    </w:rPr>
  </w:style>
  <w:style w:type="character" w:customStyle="1" w:styleId="RTFNum312">
    <w:name w:val="RTF_Num 31 2"/>
    <w:rsid w:val="0095645A"/>
    <w:rPr>
      <w:rFonts w:ascii="Symbol" w:hAnsi="Symbol" w:cs="Symbol"/>
      <w:color w:val="000000"/>
      <w:u w:val="single"/>
      <w:shd w:val="clear" w:color="auto" w:fill="FFFFFF"/>
    </w:rPr>
  </w:style>
  <w:style w:type="character" w:customStyle="1" w:styleId="RTFNum332">
    <w:name w:val="RTF_Num 33 2"/>
    <w:rsid w:val="0095645A"/>
    <w:rPr>
      <w:rFonts w:ascii="Wingdings" w:hAnsi="Wingdings" w:cs="Wingdings"/>
      <w:color w:val="000000"/>
      <w:u w:val="single"/>
      <w:shd w:val="clear" w:color="auto" w:fill="FFFFFF"/>
    </w:rPr>
  </w:style>
  <w:style w:type="character" w:customStyle="1" w:styleId="RTFNum372">
    <w:name w:val="RTF_Num 37 2"/>
    <w:rsid w:val="0095645A"/>
    <w:rPr>
      <w:rFonts w:ascii="Symbol" w:hAnsi="Symbol" w:cs="Symbol"/>
      <w:color w:val="000000"/>
      <w:u w:val="single"/>
      <w:shd w:val="clear" w:color="auto" w:fill="FFFFFF"/>
    </w:rPr>
  </w:style>
  <w:style w:type="character" w:customStyle="1" w:styleId="RTFNum432">
    <w:name w:val="RTF_Num 43 2"/>
    <w:rsid w:val="0095645A"/>
    <w:rPr>
      <w:rFonts w:ascii="Symbol" w:hAnsi="Symbol" w:cs="Symbol"/>
      <w:color w:val="000000"/>
      <w:u w:val="single"/>
      <w:shd w:val="clear" w:color="auto" w:fill="FFFFFF"/>
    </w:rPr>
  </w:style>
  <w:style w:type="character" w:customStyle="1" w:styleId="RTFNum1142">
    <w:name w:val="RTF_Num 114 2"/>
    <w:rsid w:val="0095645A"/>
    <w:rPr>
      <w:rFonts w:ascii="Symbol" w:hAnsi="Symbol" w:cs="Symbol"/>
      <w:color w:val="000000"/>
      <w:u w:val="single"/>
      <w:shd w:val="clear" w:color="auto" w:fill="FFFFFF"/>
    </w:rPr>
  </w:style>
  <w:style w:type="character" w:customStyle="1" w:styleId="RTFNum1162">
    <w:name w:val="RTF_Num 116 2"/>
    <w:rsid w:val="0095645A"/>
    <w:rPr>
      <w:rFonts w:ascii="Symbol" w:hAnsi="Symbol" w:cs="Symbol"/>
      <w:color w:val="000000"/>
      <w:u w:val="single"/>
      <w:shd w:val="clear" w:color="auto" w:fill="FFFFFF"/>
    </w:rPr>
  </w:style>
  <w:style w:type="character" w:customStyle="1" w:styleId="RTFNum1242">
    <w:name w:val="RTF_Num 124 2"/>
    <w:rsid w:val="0095645A"/>
    <w:rPr>
      <w:rFonts w:ascii="Symbol" w:hAnsi="Symbol" w:cs="Symbol"/>
      <w:color w:val="000000"/>
      <w:u w:val="single"/>
      <w:shd w:val="clear" w:color="auto" w:fill="FFFFFF"/>
    </w:rPr>
  </w:style>
  <w:style w:type="character" w:customStyle="1" w:styleId="RTFNum1252">
    <w:name w:val="RTF_Num 125 2"/>
    <w:rsid w:val="0095645A"/>
    <w:rPr>
      <w:rFonts w:ascii="Symbol" w:hAnsi="Symbol" w:cs="Symbol"/>
      <w:color w:val="000000"/>
      <w:u w:val="single"/>
      <w:shd w:val="clear" w:color="auto" w:fill="FFFFFF"/>
    </w:rPr>
  </w:style>
  <w:style w:type="character" w:customStyle="1" w:styleId="RTFNum1272">
    <w:name w:val="RTF_Num 127 2"/>
    <w:rsid w:val="0095645A"/>
    <w:rPr>
      <w:rFonts w:ascii="Symbol" w:hAnsi="Symbol" w:cs="Symbol"/>
      <w:color w:val="000000"/>
      <w:u w:val="single"/>
      <w:shd w:val="clear" w:color="auto" w:fill="FFFFFF"/>
    </w:rPr>
  </w:style>
  <w:style w:type="character" w:customStyle="1" w:styleId="RTFNum1282">
    <w:name w:val="RTF_Num 128 2"/>
    <w:rsid w:val="0095645A"/>
    <w:rPr>
      <w:rFonts w:ascii="Symbol" w:hAnsi="Symbol" w:cs="Symbol"/>
      <w:color w:val="000000"/>
      <w:u w:val="single"/>
      <w:shd w:val="clear" w:color="auto" w:fill="FFFFFF"/>
    </w:rPr>
  </w:style>
  <w:style w:type="character" w:customStyle="1" w:styleId="Internetlink">
    <w:name w:val="Internet link"/>
    <w:rsid w:val="0095645A"/>
    <w:rPr>
      <w:rFonts w:cs="Arial"/>
      <w:color w:val="0000FF"/>
      <w:u w:val="single"/>
      <w:shd w:val="clear" w:color="auto" w:fill="FFFFFF"/>
    </w:rPr>
  </w:style>
  <w:style w:type="paragraph" w:customStyle="1" w:styleId="Estilo20">
    <w:name w:val="Estilo2"/>
    <w:next w:val="Normal"/>
    <w:link w:val="Estilo2Car"/>
    <w:qFormat/>
    <w:rsid w:val="0095645A"/>
    <w:pPr>
      <w:autoSpaceDE w:val="0"/>
      <w:autoSpaceDN w:val="0"/>
      <w:adjustRightInd w:val="0"/>
    </w:pPr>
    <w:rPr>
      <w:rFonts w:ascii="Arial" w:hAnsi="Arial" w:cs="Arial"/>
      <w:color w:val="000000"/>
      <w:sz w:val="24"/>
      <w:szCs w:val="24"/>
      <w:shd w:val="clear" w:color="auto" w:fill="FFFFFF"/>
      <w:lang w:val="es-CR"/>
    </w:rPr>
  </w:style>
  <w:style w:type="character" w:customStyle="1" w:styleId="WW8Num41z0">
    <w:name w:val="WW8Num41z0"/>
    <w:qFormat/>
    <w:rsid w:val="0095645A"/>
    <w:rPr>
      <w:rFonts w:ascii="Symbol" w:hAnsi="Symbol" w:cs="Symbol"/>
      <w:color w:val="000000"/>
      <w:shd w:val="clear" w:color="auto" w:fill="FFFFFF"/>
    </w:rPr>
  </w:style>
  <w:style w:type="character" w:customStyle="1" w:styleId="WW8Num41z1">
    <w:name w:val="WW8Num41z1"/>
    <w:qFormat/>
    <w:rsid w:val="0095645A"/>
    <w:rPr>
      <w:rFonts w:ascii="Courier New" w:hAnsi="Courier New" w:cs="Courier New"/>
      <w:color w:val="000000"/>
      <w:shd w:val="clear" w:color="auto" w:fill="FFFFFF"/>
    </w:rPr>
  </w:style>
  <w:style w:type="character" w:customStyle="1" w:styleId="WW8Num41z2">
    <w:name w:val="WW8Num41z2"/>
    <w:qFormat/>
    <w:rsid w:val="0095645A"/>
    <w:rPr>
      <w:rFonts w:ascii="Wingdings" w:hAnsi="Wingdings" w:cs="Wingdings"/>
      <w:color w:val="000000"/>
      <w:shd w:val="clear" w:color="auto" w:fill="FFFFFF"/>
    </w:rPr>
  </w:style>
  <w:style w:type="character" w:customStyle="1" w:styleId="WW8Num10z1">
    <w:name w:val="WW8Num10z1"/>
    <w:qFormat/>
    <w:rsid w:val="0095645A"/>
    <w:rPr>
      <w:rFonts w:ascii="Symbol" w:hAnsi="Symbol" w:cs="Symbol"/>
      <w:color w:val="000000"/>
      <w:sz w:val="16"/>
      <w:szCs w:val="16"/>
      <w:shd w:val="clear" w:color="auto" w:fill="FFFFFF"/>
    </w:rPr>
  </w:style>
  <w:style w:type="character" w:customStyle="1" w:styleId="WW8Num18z0">
    <w:name w:val="WW8Num18z0"/>
    <w:qFormat/>
    <w:rsid w:val="0095645A"/>
    <w:rPr>
      <w:rFonts w:ascii="Symbol" w:hAnsi="Symbol" w:cs="Symbol"/>
      <w:color w:val="000000"/>
      <w:shd w:val="clear" w:color="auto" w:fill="FFFFFF"/>
    </w:rPr>
  </w:style>
  <w:style w:type="character" w:customStyle="1" w:styleId="WW8Num18z1">
    <w:name w:val="WW8Num18z1"/>
    <w:qFormat/>
    <w:rsid w:val="0095645A"/>
    <w:rPr>
      <w:rFonts w:ascii="Courier New" w:hAnsi="Courier New" w:cs="Courier New"/>
      <w:color w:val="000000"/>
      <w:shd w:val="clear" w:color="auto" w:fill="FFFFFF"/>
    </w:rPr>
  </w:style>
  <w:style w:type="character" w:customStyle="1" w:styleId="WW8Num18z2">
    <w:name w:val="WW8Num18z2"/>
    <w:qFormat/>
    <w:rsid w:val="0095645A"/>
    <w:rPr>
      <w:rFonts w:ascii="Wingdings" w:hAnsi="Wingdings" w:cs="Wingdings"/>
      <w:color w:val="000000"/>
      <w:shd w:val="clear" w:color="auto" w:fill="FFFFFF"/>
    </w:rPr>
  </w:style>
  <w:style w:type="character" w:customStyle="1" w:styleId="WW8Num30z0">
    <w:name w:val="WW8Num30z0"/>
    <w:qFormat/>
    <w:rsid w:val="0095645A"/>
    <w:rPr>
      <w:rFonts w:ascii="Symbol" w:hAnsi="Symbol" w:cs="Symbol"/>
      <w:color w:val="000000"/>
      <w:shd w:val="clear" w:color="auto" w:fill="FFFFFF"/>
    </w:rPr>
  </w:style>
  <w:style w:type="character" w:customStyle="1" w:styleId="WW8Num30z1">
    <w:name w:val="WW8Num30z1"/>
    <w:qFormat/>
    <w:rsid w:val="0095645A"/>
    <w:rPr>
      <w:rFonts w:ascii="Courier New" w:hAnsi="Courier New" w:cs="Courier New"/>
      <w:color w:val="000000"/>
      <w:shd w:val="clear" w:color="auto" w:fill="FFFFFF"/>
    </w:rPr>
  </w:style>
  <w:style w:type="character" w:customStyle="1" w:styleId="WW8Num30z2">
    <w:name w:val="WW8Num30z2"/>
    <w:qFormat/>
    <w:rsid w:val="0095645A"/>
    <w:rPr>
      <w:rFonts w:ascii="Wingdings" w:hAnsi="Wingdings" w:cs="Wingdings"/>
      <w:color w:val="000000"/>
      <w:shd w:val="clear" w:color="auto" w:fill="FFFFFF"/>
    </w:rPr>
  </w:style>
  <w:style w:type="character" w:customStyle="1" w:styleId="EstiloCorreo15">
    <w:name w:val="EstiloCorreo15"/>
    <w:rsid w:val="0095645A"/>
    <w:rPr>
      <w:rFonts w:cs="Arial"/>
      <w:color w:val="000080"/>
      <w:sz w:val="20"/>
      <w:szCs w:val="20"/>
    </w:rPr>
  </w:style>
  <w:style w:type="character" w:customStyle="1" w:styleId="st">
    <w:name w:val="st"/>
    <w:rsid w:val="0095645A"/>
  </w:style>
  <w:style w:type="paragraph" w:customStyle="1" w:styleId="c">
    <w:name w:val="c"/>
    <w:rsid w:val="0095645A"/>
    <w:pPr>
      <w:autoSpaceDE w:val="0"/>
      <w:autoSpaceDN w:val="0"/>
      <w:adjustRightInd w:val="0"/>
      <w:spacing w:before="100" w:after="100"/>
    </w:pPr>
    <w:rPr>
      <w:rFonts w:ascii="Arial Unicode MS" w:eastAsia="Arial Unicode MS" w:hAnsi="Arial" w:cs="Arial Unicode MS"/>
      <w:sz w:val="24"/>
      <w:szCs w:val="24"/>
      <w:lang w:val="es-CR"/>
    </w:rPr>
  </w:style>
  <w:style w:type="character" w:customStyle="1" w:styleId="srtitle1">
    <w:name w:val="srtitle1"/>
    <w:rsid w:val="0095645A"/>
    <w:rPr>
      <w:b/>
      <w:bCs/>
    </w:rPr>
  </w:style>
  <w:style w:type="character" w:styleId="MquinadeescribirHTML">
    <w:name w:val="HTML Typewriter"/>
    <w:qFormat/>
    <w:rsid w:val="0095645A"/>
    <w:rPr>
      <w:rFonts w:ascii="Arial Unicode MS" w:eastAsia="Arial Unicode MS" w:cs="Arial Unicode MS"/>
      <w:sz w:val="20"/>
      <w:szCs w:val="20"/>
    </w:rPr>
  </w:style>
  <w:style w:type="character" w:customStyle="1" w:styleId="resultindex2">
    <w:name w:val="resultindex2"/>
    <w:rsid w:val="0095645A"/>
    <w:rPr>
      <w:color w:val="000000"/>
      <w:sz w:val="13"/>
      <w:szCs w:val="13"/>
    </w:rPr>
  </w:style>
  <w:style w:type="character" w:customStyle="1" w:styleId="bindingblock1">
    <w:name w:val="bindingblock1"/>
    <w:rsid w:val="0095645A"/>
  </w:style>
  <w:style w:type="character" w:customStyle="1" w:styleId="binding1">
    <w:name w:val="binding1"/>
    <w:rsid w:val="0095645A"/>
    <w:rPr>
      <w:b/>
      <w:bCs/>
    </w:rPr>
  </w:style>
  <w:style w:type="character" w:customStyle="1" w:styleId="style110">
    <w:name w:val="style11"/>
    <w:rsid w:val="0095645A"/>
  </w:style>
  <w:style w:type="character" w:customStyle="1" w:styleId="postbody1">
    <w:name w:val="postbody1"/>
    <w:rsid w:val="0095645A"/>
    <w:rPr>
      <w:sz w:val="8"/>
      <w:szCs w:val="8"/>
    </w:rPr>
  </w:style>
  <w:style w:type="character" w:customStyle="1" w:styleId="RTFNum41">
    <w:name w:val="RTF_Num 4 1"/>
    <w:rsid w:val="0095645A"/>
    <w:rPr>
      <w:rFonts w:ascii="Symbol" w:hAnsi="Symbol" w:cs="Symbol"/>
      <w:color w:val="000000"/>
      <w:sz w:val="16"/>
      <w:szCs w:val="16"/>
      <w:shd w:val="clear" w:color="auto" w:fill="FFFFFF"/>
    </w:rPr>
  </w:style>
  <w:style w:type="character" w:customStyle="1" w:styleId="RTFNum43">
    <w:name w:val="RTF_Num 4 3"/>
    <w:rsid w:val="0095645A"/>
    <w:rPr>
      <w:rFonts w:ascii="Wingdings" w:hAnsi="Wingdings" w:cs="Wingdings"/>
      <w:color w:val="000000"/>
      <w:shd w:val="clear" w:color="auto" w:fill="FFFFFF"/>
    </w:rPr>
  </w:style>
  <w:style w:type="character" w:customStyle="1" w:styleId="RTFNum44">
    <w:name w:val="RTF_Num 4 4"/>
    <w:rsid w:val="0095645A"/>
    <w:rPr>
      <w:rFonts w:ascii="Symbol" w:hAnsi="Symbol" w:cs="Symbol"/>
      <w:color w:val="000000"/>
      <w:shd w:val="clear" w:color="auto" w:fill="FFFFFF"/>
    </w:rPr>
  </w:style>
  <w:style w:type="character" w:customStyle="1" w:styleId="RTFNum45">
    <w:name w:val="RTF_Num 4 5"/>
    <w:rsid w:val="0095645A"/>
    <w:rPr>
      <w:rFonts w:ascii="Courier New" w:hAnsi="Courier New" w:cs="Courier New"/>
      <w:color w:val="000000"/>
      <w:shd w:val="clear" w:color="auto" w:fill="FFFFFF"/>
    </w:rPr>
  </w:style>
  <w:style w:type="character" w:customStyle="1" w:styleId="RTFNum46">
    <w:name w:val="RTF_Num 4 6"/>
    <w:rsid w:val="0095645A"/>
    <w:rPr>
      <w:rFonts w:ascii="Wingdings" w:hAnsi="Wingdings" w:cs="Wingdings"/>
      <w:color w:val="000000"/>
      <w:shd w:val="clear" w:color="auto" w:fill="FFFFFF"/>
    </w:rPr>
  </w:style>
  <w:style w:type="character" w:customStyle="1" w:styleId="RTFNum47">
    <w:name w:val="RTF_Num 4 7"/>
    <w:rsid w:val="0095645A"/>
    <w:rPr>
      <w:rFonts w:ascii="Symbol" w:hAnsi="Symbol" w:cs="Symbol"/>
      <w:color w:val="000000"/>
      <w:shd w:val="clear" w:color="auto" w:fill="FFFFFF"/>
    </w:rPr>
  </w:style>
  <w:style w:type="character" w:customStyle="1" w:styleId="RTFNum48">
    <w:name w:val="RTF_Num 4 8"/>
    <w:rsid w:val="0095645A"/>
    <w:rPr>
      <w:rFonts w:ascii="Courier New" w:hAnsi="Courier New" w:cs="Courier New"/>
      <w:color w:val="000000"/>
      <w:shd w:val="clear" w:color="auto" w:fill="FFFFFF"/>
    </w:rPr>
  </w:style>
  <w:style w:type="character" w:customStyle="1" w:styleId="RTFNum49">
    <w:name w:val="RTF_Num 4 9"/>
    <w:rsid w:val="0095645A"/>
    <w:rPr>
      <w:rFonts w:ascii="Wingdings" w:hAnsi="Wingdings" w:cs="Wingdings"/>
      <w:color w:val="000000"/>
      <w:shd w:val="clear" w:color="auto" w:fill="FFFFFF"/>
    </w:rPr>
  </w:style>
  <w:style w:type="paragraph" w:customStyle="1" w:styleId="Ttulo12">
    <w:name w:val="T’tulo 1"/>
    <w:next w:val="Normal"/>
    <w:rsid w:val="0095645A"/>
    <w:pPr>
      <w:keepNext/>
      <w:pBdr>
        <w:bottom w:val="single" w:sz="6" w:space="0" w:color="000000"/>
      </w:pBdr>
      <w:autoSpaceDE w:val="0"/>
      <w:autoSpaceDN w:val="0"/>
      <w:adjustRightInd w:val="0"/>
      <w:ind w:right="51"/>
    </w:pPr>
    <w:rPr>
      <w:rFonts w:ascii="Arial" w:hAnsi="Arial" w:cs="Arial"/>
      <w:b/>
      <w:bCs/>
      <w:lang w:val="es-CR"/>
    </w:rPr>
  </w:style>
  <w:style w:type="paragraph" w:customStyle="1" w:styleId="Ttulo0">
    <w:name w:val="T’tulo"/>
    <w:qFormat/>
    <w:rsid w:val="0095645A"/>
    <w:pPr>
      <w:autoSpaceDE w:val="0"/>
      <w:autoSpaceDN w:val="0"/>
      <w:adjustRightInd w:val="0"/>
      <w:ind w:right="51"/>
      <w:jc w:val="center"/>
    </w:pPr>
    <w:rPr>
      <w:rFonts w:ascii="Arial" w:hAnsi="Arial" w:cs="Arial"/>
      <w:b/>
      <w:bCs/>
      <w:lang w:val="es-CR"/>
    </w:rPr>
  </w:style>
  <w:style w:type="character" w:customStyle="1" w:styleId="RTFNum3249">
    <w:name w:val="RTF_Num 324 9"/>
    <w:rsid w:val="0095645A"/>
    <w:rPr>
      <w:rFonts w:ascii="Wingdings" w:hAnsi="Wingdings" w:cs="Wingdings"/>
    </w:rPr>
  </w:style>
  <w:style w:type="paragraph" w:customStyle="1" w:styleId="Sangra3detindependiente2">
    <w:name w:val="Sangría 3 de t. independiente2"/>
    <w:rsid w:val="0095645A"/>
    <w:pPr>
      <w:autoSpaceDE w:val="0"/>
      <w:autoSpaceDN w:val="0"/>
      <w:adjustRightInd w:val="0"/>
      <w:ind w:firstLine="360"/>
      <w:jc w:val="both"/>
    </w:pPr>
    <w:rPr>
      <w:rFonts w:ascii="Arial" w:hAnsi="Arial" w:cs="Arial"/>
      <w:color w:val="000000"/>
      <w:sz w:val="24"/>
      <w:szCs w:val="24"/>
      <w:lang w:val="es-CR"/>
    </w:rPr>
  </w:style>
  <w:style w:type="character" w:customStyle="1" w:styleId="RTFNum3377">
    <w:name w:val="RTF_Num 337 7"/>
    <w:rsid w:val="0095645A"/>
    <w:rPr>
      <w:rFonts w:ascii="Symbol" w:hAnsi="Symbol" w:cs="Symbol"/>
    </w:rPr>
  </w:style>
  <w:style w:type="paragraph" w:customStyle="1" w:styleId="Encabezado70">
    <w:name w:val="Encabezado7"/>
    <w:next w:val="Textoindependiente"/>
    <w:rsid w:val="0095645A"/>
    <w:pPr>
      <w:keepNext/>
      <w:autoSpaceDE w:val="0"/>
      <w:autoSpaceDN w:val="0"/>
      <w:adjustRightInd w:val="0"/>
      <w:spacing w:before="240" w:after="120" w:line="276" w:lineRule="auto"/>
    </w:pPr>
    <w:rPr>
      <w:rFonts w:ascii="Arial" w:hAnsi="Arial" w:cs="Arial"/>
      <w:sz w:val="28"/>
      <w:szCs w:val="28"/>
      <w:lang w:val="es-CR"/>
    </w:rPr>
  </w:style>
  <w:style w:type="character" w:customStyle="1" w:styleId="WW8Num9z1">
    <w:name w:val="WW8Num9z1"/>
    <w:qFormat/>
    <w:rsid w:val="0095645A"/>
    <w:rPr>
      <w:rFonts w:ascii="Courier New" w:hAnsi="Courier New" w:cs="Courier New"/>
    </w:rPr>
  </w:style>
  <w:style w:type="character" w:customStyle="1" w:styleId="WW8Num9z2">
    <w:name w:val="WW8Num9z2"/>
    <w:qFormat/>
    <w:rsid w:val="0095645A"/>
    <w:rPr>
      <w:rFonts w:ascii="Wingdings" w:hAnsi="Wingdings" w:cs="Wingdings"/>
      <w:sz w:val="20"/>
      <w:szCs w:val="20"/>
    </w:rPr>
  </w:style>
  <w:style w:type="paragraph" w:customStyle="1" w:styleId="Remitedesobre1">
    <w:name w:val="Remite de sobre1"/>
    <w:rsid w:val="0095645A"/>
    <w:pPr>
      <w:widowControl w:val="0"/>
      <w:suppressAutoHyphens/>
      <w:autoSpaceDE w:val="0"/>
    </w:pPr>
    <w:rPr>
      <w:rFonts w:ascii="Arial" w:eastAsia="Arial" w:hAnsi="Arial" w:cs="Arial"/>
      <w:color w:val="000000"/>
      <w:spacing w:val="-3"/>
      <w:sz w:val="24"/>
      <w:szCs w:val="24"/>
      <w:lang w:eastAsia="hi-IN" w:bidi="hi-IN"/>
    </w:rPr>
  </w:style>
  <w:style w:type="paragraph" w:customStyle="1" w:styleId="WW-Predeterminado12">
    <w:name w:val="WW-Predeterminado12"/>
    <w:uiPriority w:val="2"/>
    <w:rsid w:val="0095645A"/>
    <w:pPr>
      <w:widowControl w:val="0"/>
      <w:tabs>
        <w:tab w:val="left" w:pos="708"/>
      </w:tabs>
      <w:suppressAutoHyphens/>
      <w:spacing w:after="160" w:line="252" w:lineRule="auto"/>
    </w:pPr>
    <w:rPr>
      <w:rFonts w:ascii="Liberation Serif" w:eastAsia="DejaVu Sans" w:hAnsi="Liberation Serif" w:cs="Liberation Serif"/>
      <w:color w:val="00000A"/>
      <w:sz w:val="22"/>
      <w:szCs w:val="24"/>
      <w:lang w:val="es-CR" w:eastAsia="zh-CN" w:bidi="hi-IN"/>
    </w:rPr>
  </w:style>
  <w:style w:type="paragraph" w:customStyle="1" w:styleId="ListParagraph3">
    <w:name w:val="List Paragraph3"/>
    <w:basedOn w:val="Normal"/>
    <w:rsid w:val="0095645A"/>
    <w:pPr>
      <w:ind w:left="708"/>
    </w:pPr>
    <w:rPr>
      <w:rFonts w:ascii="Liberation Serif" w:eastAsia="SimSun" w:hAnsi="Liberation Serif"/>
      <w:color w:val="00000A"/>
      <w:kern w:val="2"/>
      <w:lang w:eastAsia="hi-IN" w:bidi="hi-IN"/>
    </w:rPr>
  </w:style>
  <w:style w:type="character" w:customStyle="1" w:styleId="highlightedtext1">
    <w:name w:val="highlightedtext1"/>
    <w:rsid w:val="0095645A"/>
    <w:rPr>
      <w:shd w:val="clear" w:color="auto" w:fill="FFFF00"/>
    </w:rPr>
  </w:style>
  <w:style w:type="paragraph" w:customStyle="1" w:styleId="Textodecampo">
    <w:name w:val="Texto de campo"/>
    <w:basedOn w:val="Normal"/>
    <w:uiPriority w:val="99"/>
    <w:qFormat/>
    <w:rsid w:val="0095645A"/>
    <w:pPr>
      <w:suppressAutoHyphens w:val="0"/>
      <w:spacing w:before="60" w:after="60"/>
    </w:pPr>
    <w:rPr>
      <w:rFonts w:ascii="Arial" w:hAnsi="Arial" w:cs="Arial"/>
      <w:sz w:val="19"/>
      <w:szCs w:val="19"/>
      <w:lang w:val="en-US" w:eastAsia="en-US" w:bidi="en-US"/>
    </w:rPr>
  </w:style>
  <w:style w:type="paragraph" w:customStyle="1" w:styleId="Etiquetadecampo">
    <w:name w:val="Etiqueta de campo"/>
    <w:basedOn w:val="Normal"/>
    <w:uiPriority w:val="99"/>
    <w:qFormat/>
    <w:rsid w:val="0095645A"/>
    <w:pPr>
      <w:suppressAutoHyphens w:val="0"/>
      <w:spacing w:before="60" w:after="60"/>
    </w:pPr>
    <w:rPr>
      <w:rFonts w:ascii="Arial" w:hAnsi="Arial" w:cs="Arial"/>
      <w:b/>
      <w:sz w:val="19"/>
      <w:szCs w:val="19"/>
      <w:lang w:val="en-US" w:eastAsia="en-US" w:bidi="en-US"/>
    </w:rPr>
  </w:style>
  <w:style w:type="character" w:customStyle="1" w:styleId="SubttuloCar1">
    <w:name w:val="Subtítulo Car1"/>
    <w:aliases w:val="Cuadros Car1"/>
    <w:uiPriority w:val="99"/>
    <w:locked/>
    <w:rsid w:val="0095645A"/>
    <w:rPr>
      <w:rFonts w:ascii="Arial" w:hAnsi="Arial" w:cs="Arial"/>
      <w:b/>
      <w:bCs/>
      <w:sz w:val="28"/>
      <w:szCs w:val="28"/>
      <w:u w:val="single"/>
      <w:lang w:val="es-ES" w:eastAsia="ar-SA"/>
    </w:rPr>
  </w:style>
  <w:style w:type="character" w:customStyle="1" w:styleId="PiedepginaCar1">
    <w:name w:val="Pie de página Car1"/>
    <w:uiPriority w:val="99"/>
    <w:qFormat/>
    <w:locked/>
    <w:rsid w:val="0095645A"/>
    <w:rPr>
      <w:rFonts w:ascii="MS Sans Serif" w:hAnsi="MS Sans Serif"/>
      <w:sz w:val="24"/>
      <w:lang w:val="es-ES_tradnl" w:eastAsia="es-ES"/>
    </w:rPr>
  </w:style>
  <w:style w:type="character" w:customStyle="1" w:styleId="Textoindependiente3Car2">
    <w:name w:val="Texto independiente 3 Car2"/>
    <w:locked/>
    <w:rsid w:val="0095645A"/>
    <w:rPr>
      <w:rFonts w:ascii="Arial" w:eastAsia="Times New Roman" w:hAnsi="Arial" w:cs="Times New Roman"/>
      <w:sz w:val="24"/>
      <w:szCs w:val="20"/>
      <w:lang w:val="es-ES_tradnl" w:eastAsia="es-ES"/>
    </w:rPr>
  </w:style>
  <w:style w:type="paragraph" w:customStyle="1" w:styleId="AAAencabezado">
    <w:name w:val="AAA encabezado"/>
    <w:basedOn w:val="Normal"/>
    <w:link w:val="AAAencabezadoCar"/>
    <w:uiPriority w:val="99"/>
    <w:qFormat/>
    <w:rsid w:val="0095645A"/>
    <w:pPr>
      <w:spacing w:line="480" w:lineRule="auto"/>
      <w:ind w:firstLine="708"/>
      <w:jc w:val="both"/>
    </w:pPr>
    <w:rPr>
      <w:color w:val="000099"/>
      <w:sz w:val="28"/>
      <w:szCs w:val="28"/>
      <w:lang w:val="es-ES_tradnl"/>
    </w:rPr>
  </w:style>
  <w:style w:type="character" w:customStyle="1" w:styleId="AAAencabezadoCar">
    <w:name w:val="AAA encabezado Car"/>
    <w:link w:val="AAAencabezado"/>
    <w:uiPriority w:val="99"/>
    <w:qFormat/>
    <w:rsid w:val="0095645A"/>
    <w:rPr>
      <w:color w:val="000099"/>
      <w:sz w:val="28"/>
      <w:szCs w:val="28"/>
      <w:lang w:val="es-ES_tradnl" w:eastAsia="ar-SA"/>
    </w:rPr>
  </w:style>
  <w:style w:type="character" w:customStyle="1" w:styleId="TextonotapieCar1">
    <w:name w:val="Texto nota pie Car1"/>
    <w:aliases w:val="nota Car1,pie Car1,Ref. Car1,al Car1,Footnote reference Car1,FA Fu Car1,Footnote Text Char Char Char Char Char Car1,Footnote Text Char Char Char Char Car1,Footnote Text Char Char Char Car1,Footnote Text Cha Car1,FA Fußnotentext Car1"/>
    <w:locked/>
    <w:rsid w:val="0095645A"/>
    <w:rPr>
      <w:rFonts w:ascii="Arial" w:hAnsi="Arial" w:cs="Arial"/>
      <w:color w:val="000000"/>
    </w:rPr>
  </w:style>
  <w:style w:type="character" w:customStyle="1" w:styleId="AsuntodelcomentarioCar">
    <w:name w:val="Asunto del comentario Car"/>
    <w:basedOn w:val="TextocomentarioCar"/>
    <w:uiPriority w:val="99"/>
    <w:qFormat/>
    <w:rsid w:val="0095645A"/>
    <w:rPr>
      <w:lang w:val="es-ES" w:eastAsia="ar-SA" w:bidi="ar-SA"/>
    </w:rPr>
  </w:style>
  <w:style w:type="paragraph" w:customStyle="1" w:styleId="Textocomentario1">
    <w:name w:val="Texto comentario1"/>
    <w:next w:val="Normal"/>
    <w:qFormat/>
    <w:rsid w:val="0095645A"/>
    <w:pPr>
      <w:widowControl w:val="0"/>
      <w:autoSpaceDE w:val="0"/>
      <w:autoSpaceDN w:val="0"/>
      <w:adjustRightInd w:val="0"/>
    </w:pPr>
    <w:rPr>
      <w:rFonts w:ascii="Arial" w:hAnsi="Arial" w:cs="Arial"/>
      <w:lang w:val="es-CR" w:eastAsia="es-CR"/>
    </w:rPr>
  </w:style>
  <w:style w:type="character" w:customStyle="1" w:styleId="AsuntodelcomentarioCar1">
    <w:name w:val="Asunto del comentario Car1"/>
    <w:link w:val="Asuntodelcomentario"/>
    <w:uiPriority w:val="99"/>
    <w:locked/>
    <w:rsid w:val="0095645A"/>
    <w:rPr>
      <w:b/>
      <w:bCs/>
    </w:rPr>
  </w:style>
  <w:style w:type="character" w:customStyle="1" w:styleId="CitaCar1">
    <w:name w:val="Cita Car1"/>
    <w:uiPriority w:val="29"/>
    <w:rsid w:val="0095645A"/>
    <w:rPr>
      <w:i/>
      <w:iCs/>
      <w:color w:val="404040"/>
      <w:lang w:val="es-ES_tradnl" w:eastAsia="ar-SA"/>
    </w:rPr>
  </w:style>
  <w:style w:type="character" w:customStyle="1" w:styleId="nwtdibovh">
    <w:name w:val="nwt dib ovh"/>
    <w:rsid w:val="0095645A"/>
  </w:style>
  <w:style w:type="character" w:customStyle="1" w:styleId="CharacterStyle2">
    <w:name w:val="Character Style 2"/>
    <w:rsid w:val="0095645A"/>
    <w:rPr>
      <w:sz w:val="20"/>
    </w:rPr>
  </w:style>
  <w:style w:type="character" w:customStyle="1" w:styleId="CharacterStyle4">
    <w:name w:val="Character Style 4"/>
    <w:rsid w:val="0095645A"/>
    <w:rPr>
      <w:i/>
      <w:iCs w:val="0"/>
      <w:sz w:val="22"/>
    </w:rPr>
  </w:style>
  <w:style w:type="character" w:customStyle="1" w:styleId="CharacterStyle50">
    <w:name w:val="Character Style 5"/>
    <w:rsid w:val="0095645A"/>
    <w:rPr>
      <w:i/>
      <w:iCs w:val="0"/>
      <w:sz w:val="19"/>
    </w:rPr>
  </w:style>
  <w:style w:type="character" w:customStyle="1" w:styleId="EmailStyle251">
    <w:name w:val="EmailStyle251"/>
    <w:rsid w:val="0095645A"/>
    <w:rPr>
      <w:sz w:val="20"/>
    </w:rPr>
  </w:style>
  <w:style w:type="character" w:customStyle="1" w:styleId="EmailStyle252">
    <w:name w:val="EmailStyle252"/>
    <w:rsid w:val="0095645A"/>
    <w:rPr>
      <w:sz w:val="20"/>
    </w:rPr>
  </w:style>
  <w:style w:type="character" w:customStyle="1" w:styleId="EmailStyle255">
    <w:name w:val="EmailStyle255"/>
    <w:rsid w:val="0095645A"/>
    <w:rPr>
      <w:sz w:val="20"/>
    </w:rPr>
  </w:style>
  <w:style w:type="character" w:customStyle="1" w:styleId="ListLabel3">
    <w:name w:val="ListLabel 3"/>
    <w:qFormat/>
    <w:rsid w:val="0095645A"/>
    <w:rPr>
      <w:sz w:val="26"/>
    </w:rPr>
  </w:style>
  <w:style w:type="character" w:customStyle="1" w:styleId="ListLabel4">
    <w:name w:val="ListLabel 4"/>
    <w:qFormat/>
    <w:rsid w:val="0095645A"/>
    <w:rPr>
      <w:b/>
      <w:bCs w:val="0"/>
    </w:rPr>
  </w:style>
  <w:style w:type="character" w:customStyle="1" w:styleId="ListLabel5">
    <w:name w:val="ListLabel 5"/>
    <w:qFormat/>
    <w:rsid w:val="0095645A"/>
  </w:style>
  <w:style w:type="character" w:customStyle="1" w:styleId="ListLabel6">
    <w:name w:val="ListLabel 6"/>
    <w:qFormat/>
    <w:rsid w:val="0095645A"/>
  </w:style>
  <w:style w:type="character" w:customStyle="1" w:styleId="WW-Absatz-Standardschriftart12">
    <w:name w:val="WW-Absatz-Standardschriftart12"/>
    <w:rsid w:val="0095645A"/>
  </w:style>
  <w:style w:type="character" w:customStyle="1" w:styleId="EncabezadoCar222">
    <w:name w:val="Encabezado Car222"/>
    <w:rsid w:val="0095645A"/>
  </w:style>
  <w:style w:type="character" w:customStyle="1" w:styleId="EncabezadoCar212">
    <w:name w:val="Encabezado Car212"/>
    <w:rsid w:val="0095645A"/>
  </w:style>
  <w:style w:type="character" w:customStyle="1" w:styleId="HeaderChar12">
    <w:name w:val="Header Char12"/>
    <w:rsid w:val="0095645A"/>
  </w:style>
  <w:style w:type="character" w:customStyle="1" w:styleId="Heading3Char12">
    <w:name w:val="Heading 3 Char12"/>
    <w:rsid w:val="0095645A"/>
  </w:style>
  <w:style w:type="character" w:customStyle="1" w:styleId="HeaderChar4">
    <w:name w:val="Header Char4"/>
    <w:rsid w:val="0095645A"/>
  </w:style>
  <w:style w:type="character" w:customStyle="1" w:styleId="Heading3Char4">
    <w:name w:val="Heading 3 Char4"/>
    <w:rsid w:val="0095645A"/>
  </w:style>
  <w:style w:type="character" w:customStyle="1" w:styleId="Heading2Char3">
    <w:name w:val="Heading 2 Char3"/>
    <w:rsid w:val="0095645A"/>
  </w:style>
  <w:style w:type="character" w:customStyle="1" w:styleId="Heading1Char3">
    <w:name w:val="Heading 1 Char3"/>
    <w:rsid w:val="0095645A"/>
  </w:style>
  <w:style w:type="character" w:customStyle="1" w:styleId="EncabezadoCar6">
    <w:name w:val="Encabezado Car6"/>
    <w:rsid w:val="0095645A"/>
    <w:rPr>
      <w:rFonts w:ascii="Times New Roman" w:hAnsi="Times New Roman" w:cs="Times New Roman" w:hint="default"/>
    </w:rPr>
  </w:style>
  <w:style w:type="character" w:customStyle="1" w:styleId="Ttulo3Car4">
    <w:name w:val="Título 3 Car4"/>
    <w:rsid w:val="0095645A"/>
    <w:rPr>
      <w:rFonts w:ascii="Times New Roman" w:hAnsi="Times New Roman" w:cs="Times New Roman" w:hint="default"/>
      <w:b/>
      <w:bCs w:val="0"/>
      <w:sz w:val="26"/>
    </w:rPr>
  </w:style>
  <w:style w:type="character" w:customStyle="1" w:styleId="Ttulo2Car4">
    <w:name w:val="Título 2 Car4"/>
    <w:rsid w:val="0095645A"/>
    <w:rPr>
      <w:rFonts w:ascii="Times New Roman" w:hAnsi="Times New Roman" w:cs="Times New Roman" w:hint="default"/>
      <w:b/>
      <w:bCs w:val="0"/>
      <w:i/>
      <w:iCs w:val="0"/>
      <w:sz w:val="28"/>
    </w:rPr>
  </w:style>
  <w:style w:type="character" w:customStyle="1" w:styleId="Ttulo1Car4">
    <w:name w:val="Título 1 Car4"/>
    <w:rsid w:val="0095645A"/>
    <w:rPr>
      <w:rFonts w:ascii="Times New Roman" w:hAnsi="Times New Roman" w:cs="Times New Roman" w:hint="default"/>
      <w:b/>
      <w:bCs w:val="0"/>
      <w:sz w:val="32"/>
    </w:rPr>
  </w:style>
  <w:style w:type="character" w:customStyle="1" w:styleId="Ttulo1Car5">
    <w:name w:val="Título 1 Car5"/>
    <w:rsid w:val="0095645A"/>
    <w:rPr>
      <w:rFonts w:ascii="Times New Roman" w:hAnsi="Times New Roman" w:cs="Times New Roman" w:hint="default"/>
      <w:b/>
      <w:bCs w:val="0"/>
      <w:sz w:val="32"/>
    </w:rPr>
  </w:style>
  <w:style w:type="character" w:customStyle="1" w:styleId="Ttulo2Car5">
    <w:name w:val="Título 2 Car5"/>
    <w:rsid w:val="0095645A"/>
    <w:rPr>
      <w:rFonts w:ascii="Times New Roman" w:hAnsi="Times New Roman" w:cs="Times New Roman" w:hint="default"/>
      <w:b/>
      <w:bCs w:val="0"/>
      <w:i/>
      <w:iCs w:val="0"/>
      <w:sz w:val="28"/>
    </w:rPr>
  </w:style>
  <w:style w:type="character" w:customStyle="1" w:styleId="Ttulo3Car5">
    <w:name w:val="Título 3 Car5"/>
    <w:rsid w:val="0095645A"/>
    <w:rPr>
      <w:rFonts w:ascii="Times New Roman" w:hAnsi="Times New Roman" w:cs="Times New Roman" w:hint="default"/>
      <w:b/>
      <w:bCs w:val="0"/>
      <w:sz w:val="26"/>
    </w:rPr>
  </w:style>
  <w:style w:type="character" w:customStyle="1" w:styleId="EncabezadoCar7">
    <w:name w:val="Encabezado Car7"/>
    <w:rsid w:val="0095645A"/>
    <w:rPr>
      <w:rFonts w:ascii="Times New Roman" w:hAnsi="Times New Roman" w:cs="Times New Roman" w:hint="default"/>
    </w:rPr>
  </w:style>
  <w:style w:type="character" w:customStyle="1" w:styleId="Heading1Char4">
    <w:name w:val="Heading 1 Char4"/>
    <w:rsid w:val="0095645A"/>
  </w:style>
  <w:style w:type="character" w:customStyle="1" w:styleId="Heading2Char4">
    <w:name w:val="Heading 2 Char4"/>
    <w:rsid w:val="0095645A"/>
  </w:style>
  <w:style w:type="character" w:customStyle="1" w:styleId="Heading3Char5">
    <w:name w:val="Heading 3 Char5"/>
    <w:rsid w:val="0095645A"/>
  </w:style>
  <w:style w:type="character" w:customStyle="1" w:styleId="HeaderChar5">
    <w:name w:val="Header Char5"/>
    <w:rsid w:val="0095645A"/>
  </w:style>
  <w:style w:type="character" w:customStyle="1" w:styleId="Heading3Char13">
    <w:name w:val="Heading 3 Char13"/>
    <w:rsid w:val="0095645A"/>
  </w:style>
  <w:style w:type="character" w:customStyle="1" w:styleId="HeaderChar13">
    <w:name w:val="Header Char13"/>
    <w:rsid w:val="0095645A"/>
  </w:style>
  <w:style w:type="character" w:customStyle="1" w:styleId="EncabezadoCar213">
    <w:name w:val="Encabezado Car213"/>
    <w:rsid w:val="0095645A"/>
  </w:style>
  <w:style w:type="character" w:customStyle="1" w:styleId="EncabezadoCar223">
    <w:name w:val="Encabezado Car223"/>
    <w:rsid w:val="0095645A"/>
  </w:style>
  <w:style w:type="character" w:customStyle="1" w:styleId="jvargasfo">
    <w:name w:val="jvargasfo"/>
    <w:rsid w:val="0095645A"/>
    <w:rPr>
      <w:sz w:val="20"/>
    </w:rPr>
  </w:style>
  <w:style w:type="character" w:customStyle="1" w:styleId="Smbolodenotafinal">
    <w:name w:val="Símbolo de nota final"/>
    <w:rsid w:val="0095645A"/>
  </w:style>
  <w:style w:type="character" w:customStyle="1" w:styleId="WW-Smbolodenotafinal">
    <w:name w:val="WW-Símbolo de nota final"/>
    <w:rsid w:val="0095645A"/>
  </w:style>
  <w:style w:type="character" w:customStyle="1" w:styleId="Ttulo1Car6">
    <w:name w:val="Título 1 Car6"/>
    <w:rsid w:val="0095645A"/>
    <w:rPr>
      <w:rFonts w:ascii="Times New Roman" w:hAnsi="Times New Roman" w:cs="Times New Roman" w:hint="default"/>
      <w:b/>
      <w:bCs w:val="0"/>
      <w:sz w:val="32"/>
    </w:rPr>
  </w:style>
  <w:style w:type="character" w:customStyle="1" w:styleId="Ttulo2Car6">
    <w:name w:val="Título 2 Car6"/>
    <w:rsid w:val="0095645A"/>
    <w:rPr>
      <w:rFonts w:ascii="Times New Roman" w:hAnsi="Times New Roman" w:cs="Times New Roman" w:hint="default"/>
      <w:b/>
      <w:bCs w:val="0"/>
      <w:i/>
      <w:iCs w:val="0"/>
      <w:sz w:val="28"/>
    </w:rPr>
  </w:style>
  <w:style w:type="character" w:customStyle="1" w:styleId="Ttulo3Car6">
    <w:name w:val="Título 3 Car6"/>
    <w:rsid w:val="0095645A"/>
    <w:rPr>
      <w:rFonts w:ascii="Times New Roman" w:hAnsi="Times New Roman" w:cs="Times New Roman" w:hint="default"/>
      <w:b/>
      <w:bCs w:val="0"/>
      <w:sz w:val="26"/>
    </w:rPr>
  </w:style>
  <w:style w:type="character" w:customStyle="1" w:styleId="EncabezadoCar8">
    <w:name w:val="Encabezado Car8"/>
    <w:rsid w:val="0095645A"/>
    <w:rPr>
      <w:rFonts w:ascii="Times New Roman" w:hAnsi="Times New Roman" w:cs="Times New Roman" w:hint="default"/>
    </w:rPr>
  </w:style>
  <w:style w:type="character" w:customStyle="1" w:styleId="Heading1Char5">
    <w:name w:val="Heading 1 Char5"/>
    <w:rsid w:val="0095645A"/>
  </w:style>
  <w:style w:type="character" w:customStyle="1" w:styleId="Heading2Char5">
    <w:name w:val="Heading 2 Char5"/>
    <w:rsid w:val="0095645A"/>
  </w:style>
  <w:style w:type="character" w:customStyle="1" w:styleId="Heading3Char6">
    <w:name w:val="Heading 3 Char6"/>
    <w:rsid w:val="0095645A"/>
  </w:style>
  <w:style w:type="character" w:customStyle="1" w:styleId="HeaderChar6">
    <w:name w:val="Header Char6"/>
    <w:rsid w:val="0095645A"/>
  </w:style>
  <w:style w:type="character" w:customStyle="1" w:styleId="Heading3Char14">
    <w:name w:val="Heading 3 Char14"/>
    <w:rsid w:val="0095645A"/>
  </w:style>
  <w:style w:type="character" w:customStyle="1" w:styleId="HeaderChar14">
    <w:name w:val="Header Char14"/>
    <w:rsid w:val="0095645A"/>
  </w:style>
  <w:style w:type="character" w:customStyle="1" w:styleId="EncabezadoCar214">
    <w:name w:val="Encabezado Car214"/>
    <w:rsid w:val="0095645A"/>
  </w:style>
  <w:style w:type="character" w:customStyle="1" w:styleId="EncabezadoCar224">
    <w:name w:val="Encabezado Car224"/>
    <w:rsid w:val="0095645A"/>
  </w:style>
  <w:style w:type="character" w:customStyle="1" w:styleId="WW8Num28z2">
    <w:name w:val="WW8Num28z2"/>
    <w:qFormat/>
    <w:rsid w:val="0095645A"/>
    <w:rPr>
      <w:rFonts w:ascii="Wingdings" w:hAnsi="Wingdings" w:hint="default"/>
    </w:rPr>
  </w:style>
  <w:style w:type="character" w:customStyle="1" w:styleId="WW8Num28z1">
    <w:name w:val="WW8Num28z1"/>
    <w:qFormat/>
    <w:rsid w:val="0095645A"/>
    <w:rPr>
      <w:rFonts w:ascii="Courier New" w:hAnsi="Courier New" w:cs="Courier New" w:hint="default"/>
    </w:rPr>
  </w:style>
  <w:style w:type="character" w:customStyle="1" w:styleId="WW8Num28z0">
    <w:name w:val="WW8Num28z0"/>
    <w:qFormat/>
    <w:rsid w:val="0095645A"/>
    <w:rPr>
      <w:rFonts w:ascii="Symbol" w:hAnsi="Symbol" w:hint="default"/>
    </w:rPr>
  </w:style>
  <w:style w:type="character" w:customStyle="1" w:styleId="WW8Num31z3">
    <w:name w:val="WW8Num31z3"/>
    <w:qFormat/>
    <w:rsid w:val="0095645A"/>
    <w:rPr>
      <w:rFonts w:ascii="Symbol" w:hAnsi="Symbol" w:hint="default"/>
    </w:rPr>
  </w:style>
  <w:style w:type="character" w:customStyle="1" w:styleId="WW8Num31z2">
    <w:name w:val="WW8Num31z2"/>
    <w:qFormat/>
    <w:rsid w:val="0095645A"/>
    <w:rPr>
      <w:rFonts w:ascii="Wingdings" w:hAnsi="Wingdings" w:hint="default"/>
    </w:rPr>
  </w:style>
  <w:style w:type="character" w:customStyle="1" w:styleId="WW8Num31z1">
    <w:name w:val="WW8Num31z1"/>
    <w:qFormat/>
    <w:rsid w:val="0095645A"/>
    <w:rPr>
      <w:rFonts w:ascii="Courier New" w:hAnsi="Courier New" w:cs="Courier New" w:hint="default"/>
    </w:rPr>
  </w:style>
  <w:style w:type="character" w:customStyle="1" w:styleId="WW8Num31z0">
    <w:name w:val="WW8Num31z0"/>
    <w:qFormat/>
    <w:rsid w:val="0095645A"/>
    <w:rPr>
      <w:rFonts w:ascii="Symbol" w:hAnsi="Symbol" w:hint="default"/>
      <w:color w:val="000000"/>
      <w:sz w:val="22"/>
    </w:rPr>
  </w:style>
  <w:style w:type="character" w:customStyle="1" w:styleId="WW8Num27z0">
    <w:name w:val="WW8Num27z0"/>
    <w:qFormat/>
    <w:rsid w:val="0095645A"/>
    <w:rPr>
      <w:rFonts w:ascii="Symbol" w:hAnsi="Symbol" w:hint="default"/>
      <w:sz w:val="22"/>
    </w:rPr>
  </w:style>
  <w:style w:type="character" w:customStyle="1" w:styleId="WW8Num25z2">
    <w:name w:val="WW8Num25z2"/>
    <w:qFormat/>
    <w:rsid w:val="0095645A"/>
    <w:rPr>
      <w:rFonts w:ascii="Wingdings" w:hAnsi="Wingdings" w:hint="default"/>
    </w:rPr>
  </w:style>
  <w:style w:type="character" w:customStyle="1" w:styleId="WW8Num25z1">
    <w:name w:val="WW8Num25z1"/>
    <w:qFormat/>
    <w:rsid w:val="0095645A"/>
    <w:rPr>
      <w:rFonts w:ascii="Courier New" w:hAnsi="Courier New" w:cs="Courier New" w:hint="default"/>
    </w:rPr>
  </w:style>
  <w:style w:type="character" w:customStyle="1" w:styleId="WW8Num25z0">
    <w:name w:val="WW8Num25z0"/>
    <w:qFormat/>
    <w:rsid w:val="0095645A"/>
    <w:rPr>
      <w:rFonts w:ascii="Symbol" w:hAnsi="Symbol" w:hint="default"/>
      <w:spacing w:val="-2"/>
      <w:sz w:val="22"/>
    </w:rPr>
  </w:style>
  <w:style w:type="character" w:customStyle="1" w:styleId="WW8Num18z8">
    <w:name w:val="WW8Num18z8"/>
    <w:rsid w:val="0095645A"/>
  </w:style>
  <w:style w:type="character" w:customStyle="1" w:styleId="WW8Num18z7">
    <w:name w:val="WW8Num18z7"/>
    <w:rsid w:val="0095645A"/>
  </w:style>
  <w:style w:type="character" w:customStyle="1" w:styleId="WW8Num18z6">
    <w:name w:val="WW8Num18z6"/>
    <w:rsid w:val="0095645A"/>
  </w:style>
  <w:style w:type="character" w:customStyle="1" w:styleId="WW8Num18z5">
    <w:name w:val="WW8Num18z5"/>
    <w:rsid w:val="0095645A"/>
  </w:style>
  <w:style w:type="character" w:customStyle="1" w:styleId="WW8Num18z4">
    <w:name w:val="WW8Num18z4"/>
    <w:rsid w:val="0095645A"/>
  </w:style>
  <w:style w:type="character" w:customStyle="1" w:styleId="WW8Num18z3">
    <w:name w:val="WW8Num18z3"/>
    <w:rsid w:val="0095645A"/>
  </w:style>
  <w:style w:type="character" w:customStyle="1" w:styleId="WW8Num9z3">
    <w:name w:val="WW8Num9z3"/>
    <w:qFormat/>
    <w:rsid w:val="0095645A"/>
    <w:rPr>
      <w:rFonts w:ascii="Symbol" w:hAnsi="Symbol" w:hint="default"/>
    </w:rPr>
  </w:style>
  <w:style w:type="character" w:customStyle="1" w:styleId="WW8Num23z8">
    <w:name w:val="WW8Num23z8"/>
    <w:qFormat/>
    <w:rsid w:val="0095645A"/>
  </w:style>
  <w:style w:type="character" w:customStyle="1" w:styleId="WW8Num23z7">
    <w:name w:val="WW8Num23z7"/>
    <w:qFormat/>
    <w:rsid w:val="0095645A"/>
  </w:style>
  <w:style w:type="character" w:customStyle="1" w:styleId="WW8Num23z6">
    <w:name w:val="WW8Num23z6"/>
    <w:qFormat/>
    <w:rsid w:val="0095645A"/>
  </w:style>
  <w:style w:type="character" w:customStyle="1" w:styleId="WW8Num23z5">
    <w:name w:val="WW8Num23z5"/>
    <w:qFormat/>
    <w:rsid w:val="0095645A"/>
  </w:style>
  <w:style w:type="character" w:customStyle="1" w:styleId="WW8Num23z4">
    <w:name w:val="WW8Num23z4"/>
    <w:qFormat/>
    <w:rsid w:val="0095645A"/>
  </w:style>
  <w:style w:type="character" w:customStyle="1" w:styleId="WW8Num23z3">
    <w:name w:val="WW8Num23z3"/>
    <w:qFormat/>
    <w:rsid w:val="0095645A"/>
  </w:style>
  <w:style w:type="character" w:customStyle="1" w:styleId="WW8Num23z2">
    <w:name w:val="WW8Num23z2"/>
    <w:qFormat/>
    <w:rsid w:val="0095645A"/>
  </w:style>
  <w:style w:type="character" w:customStyle="1" w:styleId="WW8Num23z0">
    <w:name w:val="WW8Num23z0"/>
    <w:qFormat/>
    <w:rsid w:val="0095645A"/>
    <w:rPr>
      <w:rFonts w:ascii="Symbol" w:hAnsi="Symbol" w:hint="default"/>
      <w:b w:val="0"/>
      <w:bCs w:val="0"/>
      <w:i w:val="0"/>
      <w:iCs w:val="0"/>
      <w:color w:val="000000"/>
      <w:sz w:val="24"/>
    </w:rPr>
  </w:style>
  <w:style w:type="character" w:customStyle="1" w:styleId="TextoindependienteCar1">
    <w:name w:val="Texto independiente Car1"/>
    <w:uiPriority w:val="99"/>
    <w:rsid w:val="0095645A"/>
    <w:rPr>
      <w:rFonts w:ascii="Arial" w:eastAsia="Arial" w:hAnsi="Arial" w:cs="Mangal" w:hint="default"/>
      <w:color w:val="000000"/>
      <w:kern w:val="2"/>
      <w:sz w:val="24"/>
      <w:szCs w:val="21"/>
      <w:lang w:val="es-ES" w:eastAsia="hi-IN" w:bidi="hi-IN"/>
    </w:rPr>
  </w:style>
  <w:style w:type="character" w:customStyle="1" w:styleId="EncabezadoCar9">
    <w:name w:val="Encabezado Car9"/>
    <w:uiPriority w:val="99"/>
    <w:semiHidden/>
    <w:locked/>
    <w:rsid w:val="0095645A"/>
    <w:rPr>
      <w:rFonts w:ascii="Arial" w:eastAsia="Arial" w:hAnsi="Arial"/>
      <w:color w:val="000000"/>
      <w:kern w:val="2"/>
      <w:sz w:val="24"/>
      <w:szCs w:val="24"/>
      <w:lang w:val="es-ES" w:eastAsia="hi-IN" w:bidi="hi-IN"/>
    </w:rPr>
  </w:style>
  <w:style w:type="character" w:customStyle="1" w:styleId="TextodegloboCar1">
    <w:name w:val="Texto de globo Car1"/>
    <w:uiPriority w:val="99"/>
    <w:locked/>
    <w:rsid w:val="0095645A"/>
    <w:rPr>
      <w:rFonts w:ascii="Tahoma" w:eastAsia="Arial" w:hAnsi="Tahoma"/>
      <w:color w:val="000000"/>
      <w:kern w:val="2"/>
      <w:sz w:val="16"/>
      <w:szCs w:val="24"/>
      <w:lang w:val="es-ES" w:eastAsia="hi-IN" w:bidi="hi-IN"/>
    </w:rPr>
  </w:style>
  <w:style w:type="character" w:customStyle="1" w:styleId="Ttulo4Car1">
    <w:name w:val="Título 4 Car1"/>
    <w:aliases w:val="h4 Car1,2. Titulo I-II-III ect. Car1,Título 4.2 Car1,H41 Car1"/>
    <w:uiPriority w:val="9"/>
    <w:semiHidden/>
    <w:locked/>
    <w:rsid w:val="0095645A"/>
    <w:rPr>
      <w:b/>
      <w:bCs/>
      <w:sz w:val="28"/>
      <w:szCs w:val="28"/>
      <w:lang w:eastAsia="zh-CN"/>
    </w:rPr>
  </w:style>
  <w:style w:type="character" w:customStyle="1" w:styleId="Ttulo2Car7">
    <w:name w:val="Título 2 Car7"/>
    <w:uiPriority w:val="99"/>
    <w:semiHidden/>
    <w:locked/>
    <w:rsid w:val="0095645A"/>
    <w:rPr>
      <w:rFonts w:ascii="Cambria" w:hAnsi="Cambria" w:cs="Mangal"/>
      <w:b/>
      <w:bCs/>
      <w:i/>
      <w:iCs/>
      <w:color w:val="000000"/>
      <w:kern w:val="2"/>
      <w:sz w:val="28"/>
      <w:szCs w:val="25"/>
      <w:lang w:val="es-ES" w:eastAsia="hi-IN" w:bidi="hi-IN"/>
    </w:rPr>
  </w:style>
  <w:style w:type="character" w:customStyle="1" w:styleId="TextosinformatoCar1">
    <w:name w:val="Texto sin formato Car1"/>
    <w:uiPriority w:val="99"/>
    <w:rsid w:val="0095645A"/>
    <w:rPr>
      <w:rFonts w:ascii="Consolas" w:eastAsia="Arial" w:hAnsi="Consolas" w:cs="Mangal" w:hint="default"/>
      <w:color w:val="000000"/>
      <w:kern w:val="2"/>
      <w:sz w:val="21"/>
      <w:szCs w:val="19"/>
      <w:lang w:val="es-ES" w:eastAsia="hi-IN" w:bidi="hi-IN"/>
    </w:rPr>
  </w:style>
  <w:style w:type="character" w:customStyle="1" w:styleId="Textoindependiente2Car1">
    <w:name w:val="Texto independiente 2 Car1"/>
    <w:uiPriority w:val="99"/>
    <w:rsid w:val="0095645A"/>
    <w:rPr>
      <w:rFonts w:ascii="Arial" w:eastAsia="Arial" w:hAnsi="Arial" w:cs="Mangal" w:hint="default"/>
      <w:color w:val="000000"/>
      <w:kern w:val="2"/>
      <w:sz w:val="24"/>
      <w:szCs w:val="21"/>
      <w:lang w:val="es-ES" w:eastAsia="hi-IN" w:bidi="hi-IN"/>
    </w:rPr>
  </w:style>
  <w:style w:type="character" w:customStyle="1" w:styleId="Textoindependiente2Car2">
    <w:name w:val="Texto independiente 2 Car2"/>
    <w:uiPriority w:val="99"/>
    <w:semiHidden/>
    <w:locked/>
    <w:rsid w:val="0095645A"/>
    <w:rPr>
      <w:rFonts w:ascii="Arial" w:hAnsi="Arial" w:cs="Arial"/>
      <w:sz w:val="24"/>
      <w:szCs w:val="24"/>
    </w:rPr>
  </w:style>
  <w:style w:type="character" w:customStyle="1" w:styleId="Ttulo1Car7">
    <w:name w:val="Título 1 Car7"/>
    <w:uiPriority w:val="99"/>
    <w:locked/>
    <w:rsid w:val="0095645A"/>
    <w:rPr>
      <w:rFonts w:ascii="Cambria" w:hAnsi="Cambria" w:cs="Mangal"/>
      <w:b/>
      <w:bCs/>
      <w:color w:val="000000"/>
      <w:kern w:val="32"/>
      <w:sz w:val="32"/>
      <w:szCs w:val="29"/>
      <w:lang w:val="es-ES" w:eastAsia="hi-IN" w:bidi="hi-IN"/>
    </w:rPr>
  </w:style>
  <w:style w:type="character" w:customStyle="1" w:styleId="TextosinformatoCar2">
    <w:name w:val="Texto sin formato Car2"/>
    <w:uiPriority w:val="99"/>
    <w:rsid w:val="0095645A"/>
    <w:rPr>
      <w:rFonts w:ascii="Courier New" w:hAnsi="Courier New" w:cs="Courier New" w:hint="default"/>
    </w:rPr>
  </w:style>
  <w:style w:type="character" w:customStyle="1" w:styleId="Ttulo3Car7">
    <w:name w:val="Título 3 Car7"/>
    <w:uiPriority w:val="9"/>
    <w:semiHidden/>
    <w:rsid w:val="0095645A"/>
    <w:rPr>
      <w:rFonts w:ascii="Cambria" w:eastAsia="Times New Roman" w:hAnsi="Cambria" w:cs="Mangal" w:hint="default"/>
      <w:b/>
      <w:bCs/>
      <w:color w:val="000000"/>
      <w:kern w:val="2"/>
      <w:sz w:val="26"/>
      <w:szCs w:val="23"/>
      <w:lang w:val="es-ES" w:eastAsia="hi-IN" w:bidi="hi-IN"/>
    </w:rPr>
  </w:style>
  <w:style w:type="character" w:customStyle="1" w:styleId="Ttulo5Car1">
    <w:name w:val="Título 5 Car1"/>
    <w:aliases w:val="4.Cuadros Car1"/>
    <w:uiPriority w:val="9"/>
    <w:semiHidden/>
    <w:rsid w:val="0095645A"/>
    <w:rPr>
      <w:rFonts w:ascii="Calibri" w:eastAsia="Times New Roman" w:hAnsi="Calibri" w:cs="Mangal" w:hint="default"/>
      <w:b/>
      <w:bCs/>
      <w:i/>
      <w:iCs/>
      <w:color w:val="000000"/>
      <w:kern w:val="2"/>
      <w:sz w:val="26"/>
      <w:szCs w:val="23"/>
      <w:lang w:val="es-ES" w:eastAsia="hi-IN" w:bidi="hi-IN"/>
    </w:rPr>
  </w:style>
  <w:style w:type="character" w:customStyle="1" w:styleId="Ttulo6Car1">
    <w:name w:val="Título 6 Car1"/>
    <w:aliases w:val="5.Fuente Car1"/>
    <w:uiPriority w:val="9"/>
    <w:semiHidden/>
    <w:rsid w:val="0095645A"/>
    <w:rPr>
      <w:rFonts w:ascii="Calibri" w:eastAsia="Times New Roman" w:hAnsi="Calibri" w:cs="Mangal" w:hint="default"/>
      <w:b/>
      <w:bCs/>
      <w:color w:val="000000"/>
      <w:kern w:val="2"/>
      <w:sz w:val="22"/>
      <w:lang w:val="es-ES" w:eastAsia="hi-IN" w:bidi="hi-IN"/>
    </w:rPr>
  </w:style>
  <w:style w:type="character" w:customStyle="1" w:styleId="Ttulo8Car1">
    <w:name w:val="Título 8 Car1"/>
    <w:uiPriority w:val="9"/>
    <w:semiHidden/>
    <w:rsid w:val="0095645A"/>
    <w:rPr>
      <w:rFonts w:ascii="Calibri" w:eastAsia="Times New Roman" w:hAnsi="Calibri" w:cs="Mangal" w:hint="default"/>
      <w:i/>
      <w:iCs/>
      <w:color w:val="000000"/>
      <w:kern w:val="2"/>
      <w:sz w:val="24"/>
      <w:szCs w:val="21"/>
      <w:lang w:val="es-ES" w:eastAsia="hi-IN" w:bidi="hi-IN"/>
    </w:rPr>
  </w:style>
  <w:style w:type="character" w:customStyle="1" w:styleId="Ttulo9Car1">
    <w:name w:val="Título 9 Car1"/>
    <w:uiPriority w:val="9"/>
    <w:semiHidden/>
    <w:rsid w:val="0095645A"/>
    <w:rPr>
      <w:rFonts w:ascii="Cambria" w:eastAsia="Times New Roman" w:hAnsi="Cambria" w:cs="Mangal" w:hint="default"/>
      <w:color w:val="000000"/>
      <w:kern w:val="2"/>
      <w:sz w:val="22"/>
      <w:lang w:val="es-ES" w:eastAsia="hi-IN" w:bidi="hi-IN"/>
    </w:rPr>
  </w:style>
  <w:style w:type="character" w:customStyle="1" w:styleId="WW8Num6z5">
    <w:name w:val="WW8Num6z5"/>
    <w:uiPriority w:val="99"/>
    <w:rsid w:val="0095645A"/>
  </w:style>
  <w:style w:type="character" w:customStyle="1" w:styleId="WW8Num6z6">
    <w:name w:val="WW8Num6z6"/>
    <w:uiPriority w:val="99"/>
    <w:rsid w:val="0095645A"/>
  </w:style>
  <w:style w:type="character" w:customStyle="1" w:styleId="WW8Num6z7">
    <w:name w:val="WW8Num6z7"/>
    <w:uiPriority w:val="99"/>
    <w:rsid w:val="0095645A"/>
  </w:style>
  <w:style w:type="character" w:customStyle="1" w:styleId="WW8Num6z8">
    <w:name w:val="WW8Num6z8"/>
    <w:uiPriority w:val="99"/>
    <w:rsid w:val="0095645A"/>
  </w:style>
  <w:style w:type="character" w:customStyle="1" w:styleId="WW8Num10z4">
    <w:name w:val="WW8Num10z4"/>
    <w:qFormat/>
    <w:rsid w:val="0095645A"/>
  </w:style>
  <w:style w:type="character" w:customStyle="1" w:styleId="WW8Num10z5">
    <w:name w:val="WW8Num10z5"/>
    <w:qFormat/>
    <w:rsid w:val="0095645A"/>
  </w:style>
  <w:style w:type="character" w:customStyle="1" w:styleId="WW8Num10z6">
    <w:name w:val="WW8Num10z6"/>
    <w:qFormat/>
    <w:rsid w:val="0095645A"/>
  </w:style>
  <w:style w:type="character" w:customStyle="1" w:styleId="WW8Num10z7">
    <w:name w:val="WW8Num10z7"/>
    <w:qFormat/>
    <w:rsid w:val="0095645A"/>
  </w:style>
  <w:style w:type="character" w:customStyle="1" w:styleId="WW8Num10z8">
    <w:name w:val="WW8Num10z8"/>
    <w:qFormat/>
    <w:rsid w:val="0095645A"/>
  </w:style>
  <w:style w:type="character" w:customStyle="1" w:styleId="WW8Num12z4">
    <w:name w:val="WW8Num12z4"/>
    <w:rsid w:val="0095645A"/>
  </w:style>
  <w:style w:type="character" w:customStyle="1" w:styleId="WW8Num12z5">
    <w:name w:val="WW8Num12z5"/>
    <w:rsid w:val="0095645A"/>
  </w:style>
  <w:style w:type="character" w:customStyle="1" w:styleId="WW8Num12z6">
    <w:name w:val="WW8Num12z6"/>
    <w:rsid w:val="0095645A"/>
  </w:style>
  <w:style w:type="character" w:customStyle="1" w:styleId="WW8Num12z7">
    <w:name w:val="WW8Num12z7"/>
    <w:rsid w:val="0095645A"/>
  </w:style>
  <w:style w:type="character" w:customStyle="1" w:styleId="WW8Num12z8">
    <w:name w:val="WW8Num12z8"/>
    <w:rsid w:val="0095645A"/>
  </w:style>
  <w:style w:type="character" w:customStyle="1" w:styleId="WW8Num13z4">
    <w:name w:val="WW8Num13z4"/>
    <w:qFormat/>
    <w:rsid w:val="0095645A"/>
  </w:style>
  <w:style w:type="character" w:customStyle="1" w:styleId="WW8Num13z5">
    <w:name w:val="WW8Num13z5"/>
    <w:qFormat/>
    <w:rsid w:val="0095645A"/>
  </w:style>
  <w:style w:type="character" w:customStyle="1" w:styleId="WW8Num13z6">
    <w:name w:val="WW8Num13z6"/>
    <w:qFormat/>
    <w:rsid w:val="0095645A"/>
  </w:style>
  <w:style w:type="character" w:customStyle="1" w:styleId="WW8Num13z7">
    <w:name w:val="WW8Num13z7"/>
    <w:qFormat/>
    <w:rsid w:val="0095645A"/>
  </w:style>
  <w:style w:type="character" w:customStyle="1" w:styleId="WW8Num13z8">
    <w:name w:val="WW8Num13z8"/>
    <w:qFormat/>
    <w:rsid w:val="0095645A"/>
  </w:style>
  <w:style w:type="character" w:customStyle="1" w:styleId="WW8Num16z3">
    <w:name w:val="WW8Num16z3"/>
    <w:qFormat/>
    <w:rsid w:val="0095645A"/>
    <w:rPr>
      <w:rFonts w:ascii="Symbol" w:hAnsi="Symbol" w:cs="Symbol" w:hint="default"/>
    </w:rPr>
  </w:style>
  <w:style w:type="character" w:customStyle="1" w:styleId="WW8Num17z1">
    <w:name w:val="WW8Num17z1"/>
    <w:qFormat/>
    <w:rsid w:val="0095645A"/>
  </w:style>
  <w:style w:type="character" w:customStyle="1" w:styleId="WW8Num17z2">
    <w:name w:val="WW8Num17z2"/>
    <w:qFormat/>
    <w:rsid w:val="0095645A"/>
  </w:style>
  <w:style w:type="character" w:customStyle="1" w:styleId="WW8Num17z3">
    <w:name w:val="WW8Num17z3"/>
    <w:rsid w:val="0095645A"/>
  </w:style>
  <w:style w:type="character" w:customStyle="1" w:styleId="WW8Num17z4">
    <w:name w:val="WW8Num17z4"/>
    <w:rsid w:val="0095645A"/>
  </w:style>
  <w:style w:type="character" w:customStyle="1" w:styleId="WW8Num17z5">
    <w:name w:val="WW8Num17z5"/>
    <w:rsid w:val="0095645A"/>
  </w:style>
  <w:style w:type="character" w:customStyle="1" w:styleId="WW8Num17z6">
    <w:name w:val="WW8Num17z6"/>
    <w:rsid w:val="0095645A"/>
  </w:style>
  <w:style w:type="character" w:customStyle="1" w:styleId="WW8Num17z7">
    <w:name w:val="WW8Num17z7"/>
    <w:rsid w:val="0095645A"/>
  </w:style>
  <w:style w:type="character" w:customStyle="1" w:styleId="WW8Num17z8">
    <w:name w:val="WW8Num17z8"/>
    <w:rsid w:val="0095645A"/>
  </w:style>
  <w:style w:type="character" w:customStyle="1" w:styleId="mmendoza">
    <w:name w:val="mmendoza"/>
    <w:uiPriority w:val="99"/>
    <w:rsid w:val="0095645A"/>
    <w:rPr>
      <w:color w:val="000080"/>
      <w:sz w:val="20"/>
      <w:szCs w:val="20"/>
    </w:rPr>
  </w:style>
  <w:style w:type="character" w:customStyle="1" w:styleId="CarCar21">
    <w:name w:val="Car Car21"/>
    <w:rsid w:val="0095645A"/>
  </w:style>
  <w:style w:type="character" w:customStyle="1" w:styleId="titulo1">
    <w:name w:val="titulo1"/>
    <w:uiPriority w:val="99"/>
    <w:rsid w:val="0095645A"/>
    <w:rPr>
      <w:b/>
      <w:bCs/>
      <w:color w:val="063559"/>
    </w:rPr>
  </w:style>
  <w:style w:type="character" w:customStyle="1" w:styleId="fuente1">
    <w:name w:val="fuente1"/>
    <w:uiPriority w:val="99"/>
    <w:rsid w:val="0095645A"/>
    <w:rPr>
      <w:color w:val="333333"/>
    </w:rPr>
  </w:style>
  <w:style w:type="character" w:customStyle="1" w:styleId="Refdecomentario1">
    <w:name w:val="Ref. de comentario1"/>
    <w:rsid w:val="0095645A"/>
    <w:rPr>
      <w:sz w:val="16"/>
      <w:szCs w:val="16"/>
    </w:rPr>
  </w:style>
  <w:style w:type="character" w:customStyle="1" w:styleId="pel">
    <w:name w:val="_pe_l"/>
    <w:rsid w:val="0095645A"/>
  </w:style>
  <w:style w:type="character" w:customStyle="1" w:styleId="bidi">
    <w:name w:val="bidi"/>
    <w:uiPriority w:val="99"/>
    <w:rsid w:val="0095645A"/>
  </w:style>
  <w:style w:type="character" w:customStyle="1" w:styleId="allowtextselection">
    <w:name w:val="allowtextselection"/>
    <w:rsid w:val="0095645A"/>
  </w:style>
  <w:style w:type="character" w:customStyle="1" w:styleId="Textoindependiente3Car1">
    <w:name w:val="Texto independiente 3 Car1"/>
    <w:uiPriority w:val="99"/>
    <w:rsid w:val="0095645A"/>
    <w:rPr>
      <w:sz w:val="16"/>
      <w:szCs w:val="16"/>
    </w:rPr>
  </w:style>
  <w:style w:type="character" w:customStyle="1" w:styleId="Caracteresdenotafinal">
    <w:name w:val="Caracteres de nota final"/>
    <w:qFormat/>
    <w:rsid w:val="0095645A"/>
  </w:style>
  <w:style w:type="character" w:customStyle="1" w:styleId="TextoindependienteCar2">
    <w:name w:val="Texto independiente Car2"/>
    <w:uiPriority w:val="99"/>
    <w:semiHidden/>
    <w:locked/>
    <w:rsid w:val="0095645A"/>
    <w:rPr>
      <w:rFonts w:ascii="Arial" w:eastAsia="Arial" w:hAnsi="Arial"/>
      <w:color w:val="000000"/>
      <w:kern w:val="2"/>
      <w:sz w:val="24"/>
      <w:szCs w:val="24"/>
      <w:lang w:val="es-ES" w:eastAsia="hi-IN" w:bidi="hi-IN"/>
    </w:rPr>
  </w:style>
  <w:style w:type="character" w:customStyle="1" w:styleId="HTMLconformatoprevioCar1">
    <w:name w:val="HTML con formato previo Car1"/>
    <w:locked/>
    <w:rsid w:val="0095645A"/>
    <w:rPr>
      <w:rFonts w:ascii="Courier New" w:hAnsi="Courier New" w:cs="Courier New"/>
      <w:color w:val="000000"/>
      <w:lang w:val="es-ES" w:eastAsia="es-ES"/>
    </w:rPr>
  </w:style>
  <w:style w:type="character" w:customStyle="1" w:styleId="SangradetextonormalCar1">
    <w:name w:val="Sangría de texto normal Car1"/>
    <w:aliases w:val="Sangría de t. independiente Car1"/>
    <w:locked/>
    <w:rsid w:val="0095645A"/>
    <w:rPr>
      <w:rFonts w:ascii="Arial" w:hAnsi="Arial" w:cs="Arial"/>
      <w:sz w:val="24"/>
      <w:szCs w:val="24"/>
    </w:rPr>
  </w:style>
  <w:style w:type="character" w:customStyle="1" w:styleId="TextocomentarioCar1">
    <w:name w:val="Texto comentario Car1"/>
    <w:uiPriority w:val="99"/>
    <w:locked/>
    <w:rsid w:val="0095645A"/>
    <w:rPr>
      <w:rFonts w:ascii="Arial" w:hAnsi="Arial" w:cs="Arial"/>
    </w:rPr>
  </w:style>
  <w:style w:type="character" w:customStyle="1" w:styleId="app-page-detaildocumentanyCharacter">
    <w:name w:val="app-page-detail_document_any Character"/>
    <w:qFormat/>
    <w:rsid w:val="0095645A"/>
    <w:rPr>
      <w:rFonts w:ascii="Arial" w:eastAsia="Times New Roman" w:hAnsi="Arial" w:cs="Arial" w:hint="default"/>
      <w:color w:val="000000"/>
      <w:sz w:val="21"/>
      <w:szCs w:val="21"/>
      <w:bdr w:val="none" w:sz="0" w:space="0" w:color="auto" w:frame="1"/>
    </w:rPr>
  </w:style>
  <w:style w:type="character" w:customStyle="1" w:styleId="author">
    <w:name w:val="author"/>
    <w:rsid w:val="0095645A"/>
  </w:style>
  <w:style w:type="character" w:customStyle="1" w:styleId="element1">
    <w:name w:val="element1"/>
    <w:rsid w:val="0095645A"/>
  </w:style>
  <w:style w:type="character" w:customStyle="1" w:styleId="Cuerpodeltexto">
    <w:name w:val="Cuerpo del texto_"/>
    <w:link w:val="Cuerpodeltexto0"/>
    <w:rsid w:val="0095645A"/>
    <w:rPr>
      <w:sz w:val="21"/>
      <w:szCs w:val="21"/>
      <w:shd w:val="clear" w:color="auto" w:fill="FFFFFF"/>
    </w:rPr>
  </w:style>
  <w:style w:type="paragraph" w:customStyle="1" w:styleId="Cuerpodeltexto0">
    <w:name w:val="Cuerpo del texto"/>
    <w:basedOn w:val="Normal"/>
    <w:link w:val="Cuerpodeltexto"/>
    <w:qFormat/>
    <w:rsid w:val="0095645A"/>
    <w:pPr>
      <w:shd w:val="clear" w:color="auto" w:fill="FFFFFF"/>
      <w:suppressAutoHyphens w:val="0"/>
      <w:spacing w:before="540" w:after="360" w:line="374" w:lineRule="exact"/>
      <w:ind w:hanging="360"/>
      <w:jc w:val="both"/>
    </w:pPr>
    <w:rPr>
      <w:sz w:val="21"/>
      <w:szCs w:val="21"/>
      <w:lang w:eastAsia="es-ES"/>
    </w:rPr>
  </w:style>
  <w:style w:type="character" w:customStyle="1" w:styleId="HeaderChar">
    <w:name w:val="Header Char"/>
    <w:aliases w:val="encabezado Char,h Char"/>
    <w:locked/>
    <w:rsid w:val="0095645A"/>
    <w:rPr>
      <w:rFonts w:cs="Times New Roman"/>
    </w:rPr>
  </w:style>
  <w:style w:type="character" w:customStyle="1" w:styleId="Heading3Char">
    <w:name w:val="Heading 3 Char"/>
    <w:link w:val="Encabezado31"/>
    <w:qFormat/>
    <w:locked/>
    <w:rsid w:val="0095645A"/>
    <w:rPr>
      <w:b/>
      <w:bCs/>
      <w:sz w:val="18"/>
      <w:szCs w:val="18"/>
    </w:rPr>
  </w:style>
  <w:style w:type="character" w:customStyle="1" w:styleId="nfasis1">
    <w:name w:val="Énfasis1"/>
    <w:rsid w:val="0095645A"/>
    <w:rPr>
      <w:i/>
    </w:rPr>
  </w:style>
  <w:style w:type="character" w:customStyle="1" w:styleId="nfasis2">
    <w:name w:val="Énfasis2"/>
    <w:rsid w:val="0095645A"/>
    <w:rPr>
      <w:i/>
    </w:rPr>
  </w:style>
  <w:style w:type="paragraph" w:customStyle="1" w:styleId="Sinespaciado21">
    <w:name w:val="Sin espaciado21"/>
    <w:rsid w:val="0095645A"/>
    <w:pPr>
      <w:suppressAutoHyphens/>
    </w:pPr>
    <w:rPr>
      <w:rFonts w:ascii="Calibri" w:hAnsi="Calibri" w:cs="Calibri"/>
      <w:color w:val="00000A"/>
      <w:sz w:val="22"/>
      <w:szCs w:val="22"/>
      <w:lang w:val="es-MX" w:eastAsia="zh-CN"/>
    </w:rPr>
  </w:style>
  <w:style w:type="paragraph" w:customStyle="1" w:styleId="Sinespaciado3">
    <w:name w:val="Sin espaciado3"/>
    <w:uiPriority w:val="99"/>
    <w:rsid w:val="0095645A"/>
    <w:pPr>
      <w:suppressAutoHyphens/>
    </w:pPr>
    <w:rPr>
      <w:rFonts w:ascii="Calibri" w:hAnsi="Calibri" w:cs="Calibri"/>
      <w:color w:val="00000A"/>
      <w:sz w:val="22"/>
      <w:szCs w:val="22"/>
      <w:lang w:val="es-MX" w:eastAsia="zh-CN"/>
    </w:rPr>
  </w:style>
  <w:style w:type="paragraph" w:customStyle="1" w:styleId="Sinespaciado4">
    <w:name w:val="Sin espaciado4"/>
    <w:uiPriority w:val="99"/>
    <w:rsid w:val="0095645A"/>
    <w:pPr>
      <w:suppressAutoHyphens/>
    </w:pPr>
    <w:rPr>
      <w:rFonts w:ascii="Calibri" w:hAnsi="Calibri" w:cs="Calibri"/>
      <w:color w:val="00000A"/>
      <w:sz w:val="22"/>
      <w:szCs w:val="22"/>
      <w:lang w:val="es-MX" w:eastAsia="zh-CN"/>
    </w:rPr>
  </w:style>
  <w:style w:type="paragraph" w:customStyle="1" w:styleId="Ttulo20">
    <w:name w:val="Título2"/>
    <w:basedOn w:val="Normal"/>
    <w:next w:val="Textoindependiente"/>
    <w:uiPriority w:val="99"/>
    <w:rsid w:val="0095645A"/>
    <w:pPr>
      <w:keepNext/>
      <w:widowControl w:val="0"/>
      <w:spacing w:before="240" w:after="120"/>
      <w:textAlignment w:val="baseline"/>
    </w:pPr>
    <w:rPr>
      <w:rFonts w:ascii="Liberation Sans" w:eastAsia="Microsoft YaHei" w:hAnsi="Liberation Sans" w:cs="Mangal"/>
      <w:kern w:val="1"/>
      <w:sz w:val="28"/>
      <w:szCs w:val="28"/>
      <w:lang w:val="es-CR" w:eastAsia="zh-CN" w:bidi="hi-IN"/>
    </w:rPr>
  </w:style>
  <w:style w:type="paragraph" w:customStyle="1" w:styleId="Ttulo23">
    <w:name w:val="Título 23"/>
    <w:basedOn w:val="Encabezado1"/>
    <w:next w:val="Normal"/>
    <w:uiPriority w:val="99"/>
    <w:rsid w:val="0095645A"/>
    <w:pPr>
      <w:widowControl w:val="0"/>
      <w:tabs>
        <w:tab w:val="num" w:pos="0"/>
      </w:tabs>
      <w:spacing w:after="60"/>
      <w:ind w:left="432" w:hanging="432"/>
      <w:jc w:val="center"/>
    </w:pPr>
    <w:rPr>
      <w:rFonts w:ascii="Book Antiqua" w:hAnsi="Book Antiqua" w:cs="Book Antiqua"/>
      <w:b/>
      <w:bCs/>
      <w:i/>
      <w:iCs/>
      <w:kern w:val="1"/>
      <w:u w:val="double"/>
      <w:lang w:eastAsia="zh-CN"/>
    </w:rPr>
  </w:style>
  <w:style w:type="paragraph" w:customStyle="1" w:styleId="Ttulo120">
    <w:name w:val="Título 12"/>
    <w:basedOn w:val="Normal"/>
    <w:next w:val="Normal"/>
    <w:uiPriority w:val="99"/>
    <w:rsid w:val="0095645A"/>
    <w:pPr>
      <w:keepNext/>
      <w:widowControl w:val="0"/>
      <w:tabs>
        <w:tab w:val="num" w:pos="0"/>
      </w:tabs>
      <w:ind w:left="432" w:hanging="432"/>
      <w:jc w:val="center"/>
    </w:pPr>
    <w:rPr>
      <w:rFonts w:eastAsia="Arial Unicode MS"/>
      <w:b/>
      <w:bCs/>
      <w:lang w:eastAsia="zh-CN"/>
    </w:rPr>
  </w:style>
  <w:style w:type="paragraph" w:customStyle="1" w:styleId="Sinespaciado5">
    <w:name w:val="Sin espaciado5"/>
    <w:uiPriority w:val="99"/>
    <w:rsid w:val="0095645A"/>
    <w:pPr>
      <w:suppressAutoHyphens/>
    </w:pPr>
    <w:rPr>
      <w:rFonts w:ascii="Calibri" w:hAnsi="Calibri" w:cs="Calibri"/>
      <w:color w:val="00000A"/>
      <w:sz w:val="22"/>
      <w:szCs w:val="22"/>
      <w:lang w:val="es-MX" w:eastAsia="zh-CN"/>
    </w:rPr>
  </w:style>
  <w:style w:type="character" w:customStyle="1" w:styleId="Fuentedeprrafopredeter7">
    <w:name w:val="Fuente de párrafo predeter.7"/>
    <w:rsid w:val="0095645A"/>
  </w:style>
  <w:style w:type="paragraph" w:customStyle="1" w:styleId="Epgrafe6">
    <w:name w:val="Epígrafe6"/>
    <w:basedOn w:val="Normal"/>
    <w:uiPriority w:val="99"/>
    <w:rsid w:val="0095645A"/>
    <w:pPr>
      <w:widowControl w:val="0"/>
      <w:suppressLineNumbers/>
      <w:spacing w:before="120" w:after="120"/>
      <w:textAlignment w:val="baseline"/>
    </w:pPr>
    <w:rPr>
      <w:rFonts w:eastAsia="SimSun" w:cs="Mangal"/>
      <w:i/>
      <w:iCs/>
      <w:kern w:val="1"/>
      <w:lang w:val="es-CR" w:eastAsia="zh-CN" w:bidi="hi-IN"/>
    </w:rPr>
  </w:style>
  <w:style w:type="paragraph" w:customStyle="1" w:styleId="Epgrafe5">
    <w:name w:val="Epígrafe5"/>
    <w:basedOn w:val="Normal"/>
    <w:uiPriority w:val="99"/>
    <w:rsid w:val="0095645A"/>
    <w:pPr>
      <w:widowControl w:val="0"/>
      <w:suppressLineNumbers/>
      <w:spacing w:before="120" w:after="120"/>
      <w:textAlignment w:val="baseline"/>
    </w:pPr>
    <w:rPr>
      <w:rFonts w:eastAsia="SimSun" w:cs="Mangal"/>
      <w:i/>
      <w:iCs/>
      <w:kern w:val="1"/>
      <w:lang w:val="es-CR" w:eastAsia="zh-CN" w:bidi="hi-IN"/>
    </w:rPr>
  </w:style>
  <w:style w:type="paragraph" w:customStyle="1" w:styleId="Mapadeldocumento1">
    <w:name w:val="Mapa del documento1"/>
    <w:basedOn w:val="Normal"/>
    <w:rsid w:val="0095645A"/>
    <w:pPr>
      <w:widowControl w:val="0"/>
      <w:shd w:val="clear" w:color="auto" w:fill="000080"/>
      <w:textAlignment w:val="baseline"/>
    </w:pPr>
    <w:rPr>
      <w:rFonts w:ascii="Tahoma" w:eastAsia="SimSun" w:hAnsi="Tahoma" w:cs="Tahoma"/>
      <w:kern w:val="1"/>
      <w:sz w:val="20"/>
      <w:szCs w:val="20"/>
      <w:lang w:val="es-CR" w:eastAsia="zh-CN" w:bidi="hi-IN"/>
    </w:rPr>
  </w:style>
  <w:style w:type="paragraph" w:customStyle="1" w:styleId="Ttulo24">
    <w:name w:val="Título 24"/>
    <w:basedOn w:val="Encabezado1"/>
    <w:next w:val="Normal"/>
    <w:uiPriority w:val="99"/>
    <w:rsid w:val="0095645A"/>
    <w:pPr>
      <w:widowControl w:val="0"/>
      <w:tabs>
        <w:tab w:val="num" w:pos="0"/>
      </w:tabs>
      <w:spacing w:after="60"/>
      <w:ind w:left="432" w:hanging="432"/>
      <w:jc w:val="center"/>
    </w:pPr>
    <w:rPr>
      <w:rFonts w:ascii="Book Antiqua" w:hAnsi="Book Antiqua" w:cs="Book Antiqua"/>
      <w:b/>
      <w:bCs/>
      <w:i/>
      <w:iCs/>
      <w:kern w:val="1"/>
      <w:u w:val="double"/>
      <w:lang w:eastAsia="zh-CN"/>
    </w:rPr>
  </w:style>
  <w:style w:type="paragraph" w:customStyle="1" w:styleId="Ttulo13">
    <w:name w:val="Título 13"/>
    <w:basedOn w:val="Normal"/>
    <w:next w:val="Normal"/>
    <w:uiPriority w:val="99"/>
    <w:rsid w:val="0095645A"/>
    <w:pPr>
      <w:keepNext/>
      <w:widowControl w:val="0"/>
      <w:tabs>
        <w:tab w:val="num" w:pos="0"/>
      </w:tabs>
      <w:ind w:left="432" w:hanging="432"/>
      <w:jc w:val="center"/>
    </w:pPr>
    <w:rPr>
      <w:rFonts w:eastAsia="Arial Unicode MS"/>
      <w:b/>
      <w:bCs/>
      <w:lang w:eastAsia="zh-CN"/>
    </w:rPr>
  </w:style>
  <w:style w:type="paragraph" w:customStyle="1" w:styleId="Sinespaciado6">
    <w:name w:val="Sin espaciado6"/>
    <w:uiPriority w:val="99"/>
    <w:rsid w:val="0095645A"/>
    <w:pPr>
      <w:suppressAutoHyphens/>
    </w:pPr>
    <w:rPr>
      <w:rFonts w:ascii="Calibri" w:hAnsi="Calibri" w:cs="Calibri"/>
      <w:color w:val="00000A"/>
      <w:sz w:val="22"/>
      <w:szCs w:val="22"/>
      <w:lang w:val="es-MX" w:eastAsia="zh-CN"/>
    </w:rPr>
  </w:style>
  <w:style w:type="character" w:customStyle="1" w:styleId="ListLabel7">
    <w:name w:val="ListLabel 7"/>
    <w:qFormat/>
    <w:rsid w:val="0095645A"/>
    <w:rPr>
      <w:b w:val="0"/>
      <w:iCs/>
      <w:sz w:val="22"/>
    </w:rPr>
  </w:style>
  <w:style w:type="paragraph" w:customStyle="1" w:styleId="Sinespaciado7">
    <w:name w:val="Sin espaciado7"/>
    <w:uiPriority w:val="99"/>
    <w:rsid w:val="0095645A"/>
    <w:pPr>
      <w:suppressAutoHyphens/>
      <w:spacing w:line="100" w:lineRule="atLeast"/>
    </w:pPr>
    <w:rPr>
      <w:rFonts w:ascii="Calibri" w:eastAsia="Calibri" w:hAnsi="Calibri" w:cs="Arial"/>
      <w:color w:val="00000A"/>
      <w:kern w:val="1"/>
      <w:sz w:val="22"/>
      <w:szCs w:val="22"/>
      <w:lang w:val="es-MX" w:eastAsia="zh-CN"/>
    </w:rPr>
  </w:style>
  <w:style w:type="character" w:customStyle="1" w:styleId="DefaultParagraphFont1">
    <w:name w:val="Default Paragraph Font1"/>
    <w:qFormat/>
    <w:rsid w:val="0095645A"/>
  </w:style>
  <w:style w:type="paragraph" w:customStyle="1" w:styleId="Cuerpodetextoconsangra">
    <w:name w:val="Cuerpo de texto con sangría"/>
    <w:uiPriority w:val="99"/>
    <w:rsid w:val="0095645A"/>
    <w:pPr>
      <w:autoSpaceDE w:val="0"/>
      <w:autoSpaceDN w:val="0"/>
      <w:adjustRightInd w:val="0"/>
      <w:jc w:val="both"/>
    </w:pPr>
    <w:rPr>
      <w:rFonts w:ascii="Arial" w:eastAsia="Calibri" w:hAnsi="Arial" w:cs="Arial"/>
      <w:sz w:val="19"/>
      <w:szCs w:val="19"/>
      <w:lang w:eastAsia="es-CR"/>
    </w:rPr>
  </w:style>
  <w:style w:type="character" w:customStyle="1" w:styleId="Fuentedeprrafopredeter8">
    <w:name w:val="Fuente de párrafo predeter.8"/>
    <w:rsid w:val="0095645A"/>
  </w:style>
  <w:style w:type="character" w:customStyle="1" w:styleId="Hipervnculovisitado1">
    <w:name w:val="Hipervínculo visitado1"/>
    <w:rsid w:val="0095645A"/>
    <w:rPr>
      <w:color w:val="800080"/>
      <w:u w:val="single"/>
    </w:rPr>
  </w:style>
  <w:style w:type="character" w:customStyle="1" w:styleId="Textoennegrita1">
    <w:name w:val="Texto en negrita1"/>
    <w:uiPriority w:val="99"/>
    <w:rsid w:val="0095645A"/>
    <w:rPr>
      <w:b/>
    </w:rPr>
  </w:style>
  <w:style w:type="paragraph" w:customStyle="1" w:styleId="Sinespaciado8">
    <w:name w:val="Sin espaciado8"/>
    <w:uiPriority w:val="99"/>
    <w:rsid w:val="0095645A"/>
    <w:pPr>
      <w:suppressAutoHyphens/>
    </w:pPr>
    <w:rPr>
      <w:rFonts w:ascii="Calibri" w:hAnsi="Calibri" w:cs="Calibri"/>
      <w:color w:val="00000A"/>
      <w:sz w:val="22"/>
      <w:szCs w:val="22"/>
      <w:lang w:val="es-MX" w:eastAsia="ar-SA"/>
    </w:rPr>
  </w:style>
  <w:style w:type="paragraph" w:customStyle="1" w:styleId="Prrafodelista41">
    <w:name w:val="Párrafo de lista41"/>
    <w:basedOn w:val="Normal"/>
    <w:rsid w:val="0095645A"/>
    <w:pPr>
      <w:suppressAutoHyphens w:val="0"/>
      <w:spacing w:after="160" w:line="252" w:lineRule="auto"/>
      <w:ind w:left="720"/>
      <w:contextualSpacing/>
    </w:pPr>
    <w:rPr>
      <w:rFonts w:ascii="Calibri" w:hAnsi="Calibri"/>
      <w:sz w:val="22"/>
      <w:szCs w:val="22"/>
      <w:lang w:val="es-CR" w:eastAsia="zh-CN"/>
    </w:rPr>
  </w:style>
  <w:style w:type="paragraph" w:customStyle="1" w:styleId="Sinespaciado9">
    <w:name w:val="Sin espaciado9"/>
    <w:rsid w:val="0095645A"/>
    <w:pPr>
      <w:suppressAutoHyphens/>
    </w:pPr>
    <w:rPr>
      <w:rFonts w:ascii="Calibri" w:hAnsi="Calibri" w:cs="Calibri"/>
      <w:color w:val="00000A"/>
      <w:sz w:val="22"/>
      <w:szCs w:val="22"/>
      <w:lang w:val="es-MX" w:eastAsia="zh-CN"/>
    </w:rPr>
  </w:style>
  <w:style w:type="character" w:customStyle="1" w:styleId="TtuloCar1">
    <w:name w:val="Título Car1"/>
    <w:aliases w:val="artículo Car1,Título niv 3 Car1"/>
    <w:link w:val="Ttulo"/>
    <w:qFormat/>
    <w:rsid w:val="0095645A"/>
    <w:rPr>
      <w:rFonts w:ascii="Arial" w:hAnsi="Arial" w:cs="Arial"/>
      <w:b/>
      <w:bCs/>
      <w:sz w:val="28"/>
      <w:szCs w:val="28"/>
    </w:rPr>
  </w:style>
  <w:style w:type="paragraph" w:customStyle="1" w:styleId="Textoindependiente1">
    <w:name w:val="Texto independiente1"/>
    <w:uiPriority w:val="99"/>
    <w:qFormat/>
    <w:rsid w:val="0095645A"/>
    <w:pPr>
      <w:widowControl w:val="0"/>
      <w:spacing w:after="120"/>
    </w:pPr>
    <w:rPr>
      <w:rFonts w:ascii="Calibri" w:hAnsi="Calibri"/>
      <w:sz w:val="22"/>
      <w:szCs w:val="22"/>
      <w:lang w:val="es-CR" w:eastAsia="es-CR"/>
    </w:rPr>
  </w:style>
  <w:style w:type="character" w:customStyle="1" w:styleId="Fuentedeprrafopredeter9">
    <w:name w:val="Fuente de párrafo predeter.9"/>
    <w:rsid w:val="0095645A"/>
  </w:style>
  <w:style w:type="paragraph" w:customStyle="1" w:styleId="Prrafodelista5">
    <w:name w:val="Párrafo de lista5"/>
    <w:qFormat/>
    <w:rsid w:val="0095645A"/>
    <w:pPr>
      <w:suppressAutoHyphens/>
      <w:spacing w:after="160"/>
      <w:ind w:left="720"/>
    </w:pPr>
    <w:rPr>
      <w:rFonts w:cs="Arial"/>
      <w:color w:val="00000A"/>
      <w:kern w:val="1"/>
      <w:sz w:val="24"/>
      <w:szCs w:val="24"/>
      <w:lang w:val="es-CR" w:eastAsia="zh-CN" w:bidi="hi-IN"/>
    </w:rPr>
  </w:style>
  <w:style w:type="paragraph" w:customStyle="1" w:styleId="Encabezado80">
    <w:name w:val="Encabezado8"/>
    <w:basedOn w:val="Predeterminado0"/>
    <w:uiPriority w:val="99"/>
    <w:rsid w:val="0095645A"/>
  </w:style>
  <w:style w:type="character" w:customStyle="1" w:styleId="ListLabel8">
    <w:name w:val="ListLabel 8"/>
    <w:qFormat/>
    <w:rsid w:val="0095645A"/>
    <w:rPr>
      <w:rFonts w:cs="Symbol"/>
    </w:rPr>
  </w:style>
  <w:style w:type="character" w:customStyle="1" w:styleId="ListLabel9">
    <w:name w:val="ListLabel 9"/>
    <w:qFormat/>
    <w:rsid w:val="0095645A"/>
    <w:rPr>
      <w:rFonts w:cs="Courier New"/>
    </w:rPr>
  </w:style>
  <w:style w:type="character" w:customStyle="1" w:styleId="ListLabel11">
    <w:name w:val="ListLabel 11"/>
    <w:qFormat/>
    <w:rsid w:val="0095645A"/>
    <w:rPr>
      <w:rFonts w:cs="Symbol"/>
    </w:rPr>
  </w:style>
  <w:style w:type="character" w:customStyle="1" w:styleId="ListLabel12">
    <w:name w:val="ListLabel 12"/>
    <w:qFormat/>
    <w:rsid w:val="0095645A"/>
    <w:rPr>
      <w:rFonts w:cs="Courier New"/>
    </w:rPr>
  </w:style>
  <w:style w:type="character" w:customStyle="1" w:styleId="ListLabel13">
    <w:name w:val="ListLabel 13"/>
    <w:qFormat/>
    <w:rsid w:val="0095645A"/>
    <w:rPr>
      <w:rFonts w:cs="Wingdings"/>
    </w:rPr>
  </w:style>
  <w:style w:type="character" w:customStyle="1" w:styleId="ListLabel14">
    <w:name w:val="ListLabel 14"/>
    <w:qFormat/>
    <w:rsid w:val="0095645A"/>
    <w:rPr>
      <w:rFonts w:cs="Symbol"/>
    </w:rPr>
  </w:style>
  <w:style w:type="character" w:customStyle="1" w:styleId="ListLabel15">
    <w:name w:val="ListLabel 15"/>
    <w:qFormat/>
    <w:rsid w:val="0095645A"/>
    <w:rPr>
      <w:rFonts w:cs="Courier New"/>
    </w:rPr>
  </w:style>
  <w:style w:type="character" w:customStyle="1" w:styleId="ListLabel16">
    <w:name w:val="ListLabel 16"/>
    <w:qFormat/>
    <w:rsid w:val="0095645A"/>
    <w:rPr>
      <w:rFonts w:cs="Wingdings"/>
    </w:rPr>
  </w:style>
  <w:style w:type="character" w:customStyle="1" w:styleId="ListLabel17">
    <w:name w:val="ListLabel 17"/>
    <w:qFormat/>
    <w:rsid w:val="0095645A"/>
    <w:rPr>
      <w:rFonts w:cs="Symbol"/>
    </w:rPr>
  </w:style>
  <w:style w:type="character" w:customStyle="1" w:styleId="ListLabel18">
    <w:name w:val="ListLabel 18"/>
    <w:qFormat/>
    <w:rsid w:val="0095645A"/>
    <w:rPr>
      <w:rFonts w:cs="Courier New"/>
    </w:rPr>
  </w:style>
  <w:style w:type="character" w:customStyle="1" w:styleId="ListLabel19">
    <w:name w:val="ListLabel 19"/>
    <w:qFormat/>
    <w:rsid w:val="0095645A"/>
    <w:rPr>
      <w:rFonts w:cs="Wingdings"/>
    </w:rPr>
  </w:style>
  <w:style w:type="character" w:customStyle="1" w:styleId="ListLabel20">
    <w:name w:val="ListLabel 20"/>
    <w:qFormat/>
    <w:rsid w:val="0095645A"/>
    <w:rPr>
      <w:rFonts w:cs="Symbol"/>
    </w:rPr>
  </w:style>
  <w:style w:type="character" w:customStyle="1" w:styleId="ListLabel21">
    <w:name w:val="ListLabel 21"/>
    <w:qFormat/>
    <w:rsid w:val="0095645A"/>
    <w:rPr>
      <w:rFonts w:cs="Courier New"/>
    </w:rPr>
  </w:style>
  <w:style w:type="character" w:customStyle="1" w:styleId="ListLabel22">
    <w:name w:val="ListLabel 22"/>
    <w:qFormat/>
    <w:rsid w:val="0095645A"/>
    <w:rPr>
      <w:rFonts w:cs="Wingdings"/>
    </w:rPr>
  </w:style>
  <w:style w:type="character" w:customStyle="1" w:styleId="ListLabel23">
    <w:name w:val="ListLabel 23"/>
    <w:qFormat/>
    <w:rsid w:val="0095645A"/>
    <w:rPr>
      <w:rFonts w:cs="Symbol"/>
    </w:rPr>
  </w:style>
  <w:style w:type="character" w:customStyle="1" w:styleId="ListLabel24">
    <w:name w:val="ListLabel 24"/>
    <w:qFormat/>
    <w:rsid w:val="0095645A"/>
    <w:rPr>
      <w:rFonts w:cs="Courier New"/>
    </w:rPr>
  </w:style>
  <w:style w:type="character" w:customStyle="1" w:styleId="ListLabel25">
    <w:name w:val="ListLabel 25"/>
    <w:qFormat/>
    <w:rsid w:val="0095645A"/>
    <w:rPr>
      <w:rFonts w:cs="Wingdings"/>
    </w:rPr>
  </w:style>
  <w:style w:type="character" w:customStyle="1" w:styleId="ListLabel26">
    <w:name w:val="ListLabel 26"/>
    <w:qFormat/>
    <w:rsid w:val="0095645A"/>
    <w:rPr>
      <w:rFonts w:cs="Symbol"/>
    </w:rPr>
  </w:style>
  <w:style w:type="character" w:customStyle="1" w:styleId="ListLabel27">
    <w:name w:val="ListLabel 27"/>
    <w:qFormat/>
    <w:rsid w:val="0095645A"/>
    <w:rPr>
      <w:rFonts w:cs="Courier New"/>
    </w:rPr>
  </w:style>
  <w:style w:type="character" w:customStyle="1" w:styleId="ListLabel28">
    <w:name w:val="ListLabel 28"/>
    <w:qFormat/>
    <w:rsid w:val="0095645A"/>
    <w:rPr>
      <w:rFonts w:cs="Wingdings"/>
    </w:rPr>
  </w:style>
  <w:style w:type="numbering" w:customStyle="1" w:styleId="Sinlista1111">
    <w:name w:val="Sin lista1111"/>
    <w:basedOn w:val="Sinlista"/>
    <w:uiPriority w:val="99"/>
    <w:rsid w:val="0095645A"/>
  </w:style>
  <w:style w:type="paragraph" w:customStyle="1" w:styleId="Ttulo25">
    <w:name w:val="Título 25"/>
    <w:next w:val="Standarduser"/>
    <w:uiPriority w:val="99"/>
    <w:rsid w:val="0095645A"/>
    <w:pPr>
      <w:keepNext/>
      <w:widowControl w:val="0"/>
      <w:suppressAutoHyphens/>
      <w:autoSpaceDE w:val="0"/>
      <w:autoSpaceDN w:val="0"/>
      <w:spacing w:before="240" w:after="60" w:line="0" w:lineRule="atLeast"/>
      <w:jc w:val="center"/>
      <w:textAlignment w:val="baseline"/>
      <w:outlineLvl w:val="1"/>
    </w:pPr>
    <w:rPr>
      <w:rFonts w:ascii="Book Antiqua" w:eastAsia="Book Antiqua" w:hAnsi="Book Antiqua" w:cs="Book Antiqua"/>
      <w:b/>
      <w:bCs/>
      <w:i/>
      <w:iCs/>
      <w:kern w:val="3"/>
      <w:sz w:val="28"/>
      <w:szCs w:val="28"/>
      <w:u w:val="double"/>
      <w:lang w:val="es-CR" w:eastAsia="zh-CN" w:bidi="es-CR"/>
    </w:rPr>
  </w:style>
  <w:style w:type="paragraph" w:customStyle="1" w:styleId="Ttulo14">
    <w:name w:val="Título 14"/>
    <w:next w:val="Standarduser"/>
    <w:rsid w:val="0095645A"/>
    <w:pPr>
      <w:keepNext/>
      <w:widowControl w:val="0"/>
      <w:suppressAutoHyphens/>
      <w:autoSpaceDE w:val="0"/>
      <w:autoSpaceDN w:val="0"/>
      <w:jc w:val="center"/>
      <w:textAlignment w:val="baseline"/>
      <w:outlineLvl w:val="0"/>
    </w:pPr>
    <w:rPr>
      <w:b/>
      <w:bCs/>
      <w:kern w:val="3"/>
      <w:sz w:val="22"/>
      <w:szCs w:val="22"/>
      <w:lang w:val="es-CR" w:eastAsia="zh-CN" w:bidi="es-CR"/>
    </w:rPr>
  </w:style>
  <w:style w:type="numbering" w:customStyle="1" w:styleId="WW8Num3">
    <w:name w:val="WW8Num3"/>
    <w:basedOn w:val="Sinlista"/>
    <w:qFormat/>
    <w:rsid w:val="0095645A"/>
    <w:pPr>
      <w:numPr>
        <w:numId w:val="46"/>
      </w:numPr>
    </w:pPr>
  </w:style>
  <w:style w:type="numbering" w:customStyle="1" w:styleId="WW8Num2">
    <w:name w:val="WW8Num2"/>
    <w:basedOn w:val="Sinlista"/>
    <w:qFormat/>
    <w:rsid w:val="0095645A"/>
    <w:pPr>
      <w:numPr>
        <w:numId w:val="20"/>
      </w:numPr>
    </w:pPr>
  </w:style>
  <w:style w:type="paragraph" w:customStyle="1" w:styleId="Sinespaciado10">
    <w:name w:val="Sin espaciado10"/>
    <w:rsid w:val="0095645A"/>
    <w:pPr>
      <w:suppressAutoHyphens/>
    </w:pPr>
    <w:rPr>
      <w:rFonts w:ascii="Calibri" w:hAnsi="Calibri" w:cs="Calibri"/>
      <w:color w:val="00000A"/>
      <w:sz w:val="22"/>
      <w:szCs w:val="22"/>
      <w:lang w:val="es-MX" w:eastAsia="zh-CN"/>
    </w:rPr>
  </w:style>
  <w:style w:type="character" w:customStyle="1" w:styleId="ListLabel30">
    <w:name w:val="ListLabel 30"/>
    <w:qFormat/>
    <w:rsid w:val="0095645A"/>
    <w:rPr>
      <w:rFonts w:ascii="Calibri" w:hAnsi="Calibri" w:cs="Calibri"/>
      <w:color w:val="000000"/>
    </w:rPr>
  </w:style>
  <w:style w:type="character" w:customStyle="1" w:styleId="ListLabel29">
    <w:name w:val="ListLabel 29"/>
    <w:qFormat/>
    <w:rsid w:val="0095645A"/>
    <w:rPr>
      <w:rFonts w:ascii="Calibri" w:hAnsi="Calibri" w:cs="Calibri"/>
      <w:color w:val="000000"/>
    </w:rPr>
  </w:style>
  <w:style w:type="character" w:customStyle="1" w:styleId="Acrf3nimoHTML">
    <w:name w:val="Acróf3nimo HTML"/>
    <w:uiPriority w:val="99"/>
    <w:rsid w:val="0095645A"/>
  </w:style>
  <w:style w:type="character" w:customStyle="1" w:styleId="TedtuloCar">
    <w:name w:val="Tíedtulo Car"/>
    <w:uiPriority w:val="99"/>
    <w:rsid w:val="0095645A"/>
    <w:rPr>
      <w:rFonts w:ascii="Cambria" w:hAnsi="Cambria" w:cs="Cambria"/>
      <w:b/>
      <w:bCs/>
    </w:rPr>
  </w:style>
  <w:style w:type="character" w:customStyle="1" w:styleId="Nfamerodepe1gina">
    <w:name w:val="Núfamero de páe1gina"/>
    <w:uiPriority w:val="99"/>
    <w:rsid w:val="0095645A"/>
  </w:style>
  <w:style w:type="character" w:customStyle="1" w:styleId="Fuentedepe1rrafopredeter1">
    <w:name w:val="Fuente de páe1rrafo predeter.1"/>
    <w:uiPriority w:val="99"/>
    <w:rsid w:val="0095645A"/>
  </w:style>
  <w:style w:type="character" w:customStyle="1" w:styleId="Fuentedepe1rrafopredeter2">
    <w:name w:val="Fuente de páe1rrafo predeter.2"/>
    <w:uiPriority w:val="99"/>
    <w:rsid w:val="0095645A"/>
  </w:style>
  <w:style w:type="character" w:customStyle="1" w:styleId="Fuentedepe1rrafopredeter3">
    <w:name w:val="Fuente de páe1rrafo predeter.3"/>
    <w:uiPriority w:val="99"/>
    <w:rsid w:val="0095645A"/>
  </w:style>
  <w:style w:type="character" w:customStyle="1" w:styleId="Fuentedepe1rrafopredeter4">
    <w:name w:val="Fuente de páe1rrafo predeter.4"/>
    <w:uiPriority w:val="99"/>
    <w:rsid w:val="0095645A"/>
  </w:style>
  <w:style w:type="character" w:customStyle="1" w:styleId="Fuentedepe1rrafopredeter5">
    <w:name w:val="Fuente de páe1rrafo predeter.5"/>
    <w:uiPriority w:val="99"/>
    <w:rsid w:val="0095645A"/>
  </w:style>
  <w:style w:type="character" w:customStyle="1" w:styleId="Fuentedepe1rrafopredeter">
    <w:name w:val="Fuente de páe1rrafo predeter."/>
    <w:rsid w:val="0095645A"/>
  </w:style>
  <w:style w:type="character" w:customStyle="1" w:styleId="Vif1etas">
    <w:name w:val="Viñf1etas"/>
    <w:uiPriority w:val="99"/>
    <w:rsid w:val="0095645A"/>
    <w:rPr>
      <w:rFonts w:ascii="Arial Unicode MS" w:eastAsia="Arial Unicode MS" w:cs="Arial Unicode MS"/>
    </w:rPr>
  </w:style>
  <w:style w:type="character" w:customStyle="1" w:styleId="EnlacedeInternet">
    <w:name w:val="Enlace de Internet"/>
    <w:rsid w:val="0095645A"/>
    <w:rPr>
      <w:color w:val="0000FF"/>
      <w:u w:val="single"/>
    </w:rPr>
  </w:style>
  <w:style w:type="paragraph" w:customStyle="1" w:styleId="DocumentMap">
    <w:name w:val="DocumentMap"/>
    <w:uiPriority w:val="99"/>
    <w:rsid w:val="0095645A"/>
    <w:pPr>
      <w:autoSpaceDE w:val="0"/>
      <w:autoSpaceDN w:val="0"/>
      <w:adjustRightInd w:val="0"/>
    </w:pPr>
    <w:rPr>
      <w:rFonts w:ascii="Arial" w:eastAsia="Calibri" w:hAnsi="Arial" w:cs="Arial"/>
      <w:color w:val="000000"/>
      <w:lang w:val="es-CR" w:eastAsia="es-CR"/>
    </w:rPr>
  </w:style>
  <w:style w:type="paragraph" w:customStyle="1" w:styleId="cdndice">
    <w:name w:val="Ícdndice"/>
    <w:uiPriority w:val="99"/>
    <w:rsid w:val="0095645A"/>
    <w:pPr>
      <w:autoSpaceDE w:val="0"/>
      <w:autoSpaceDN w:val="0"/>
      <w:adjustRightInd w:val="0"/>
    </w:pPr>
    <w:rPr>
      <w:rFonts w:ascii="Arial" w:eastAsia="Calibri" w:hAnsi="Arial" w:cs="Arial"/>
      <w:color w:val="000000"/>
      <w:sz w:val="24"/>
      <w:szCs w:val="24"/>
      <w:lang w:val="es-CR" w:eastAsia="es-CR"/>
    </w:rPr>
  </w:style>
  <w:style w:type="paragraph" w:customStyle="1" w:styleId="Revisif3n">
    <w:name w:val="Revisióf3n"/>
    <w:uiPriority w:val="99"/>
    <w:rsid w:val="0095645A"/>
    <w:pPr>
      <w:autoSpaceDE w:val="0"/>
      <w:autoSpaceDN w:val="0"/>
      <w:adjustRightInd w:val="0"/>
    </w:pPr>
    <w:rPr>
      <w:rFonts w:ascii="Arial" w:eastAsia="Calibri" w:hAnsi="Arial" w:cs="Arial"/>
      <w:color w:val="000000"/>
      <w:sz w:val="24"/>
      <w:szCs w:val="24"/>
      <w:lang w:val="es-CR" w:eastAsia="es-CR"/>
    </w:rPr>
  </w:style>
  <w:style w:type="paragraph" w:customStyle="1" w:styleId="Tedtulo31">
    <w:name w:val="Tíedtulo 31"/>
    <w:uiPriority w:val="99"/>
    <w:rsid w:val="0095645A"/>
    <w:pPr>
      <w:keepNext/>
      <w:autoSpaceDE w:val="0"/>
      <w:autoSpaceDN w:val="0"/>
      <w:adjustRightInd w:val="0"/>
      <w:spacing w:before="240" w:after="60"/>
      <w:jc w:val="center"/>
    </w:pPr>
    <w:rPr>
      <w:rFonts w:ascii="Arial" w:eastAsia="Calibri" w:hAnsi="Arial" w:cs="Arial"/>
      <w:b/>
      <w:bCs/>
      <w:i/>
      <w:iCs/>
      <w:color w:val="000000"/>
      <w:sz w:val="24"/>
      <w:szCs w:val="24"/>
      <w:u w:val="double"/>
      <w:lang w:val="es-CR" w:eastAsia="es-CR"/>
    </w:rPr>
  </w:style>
  <w:style w:type="paragraph" w:customStyle="1" w:styleId="Tedtulo21">
    <w:name w:val="Tíedtulo 21"/>
    <w:uiPriority w:val="99"/>
    <w:rsid w:val="0095645A"/>
    <w:pPr>
      <w:keepNext/>
      <w:autoSpaceDE w:val="0"/>
      <w:autoSpaceDN w:val="0"/>
      <w:adjustRightInd w:val="0"/>
      <w:spacing w:before="240" w:after="60"/>
      <w:jc w:val="center"/>
    </w:pPr>
    <w:rPr>
      <w:rFonts w:ascii="Arial" w:eastAsia="Calibri" w:hAnsi="Arial" w:cs="Arial"/>
      <w:b/>
      <w:bCs/>
      <w:i/>
      <w:iCs/>
      <w:color w:val="000000"/>
      <w:sz w:val="28"/>
      <w:szCs w:val="28"/>
      <w:u w:val="double"/>
      <w:lang w:val="es-CR" w:eastAsia="es-CR"/>
    </w:rPr>
  </w:style>
  <w:style w:type="paragraph" w:customStyle="1" w:styleId="Piedepe1gina">
    <w:name w:val="Pie de páe1gina"/>
    <w:uiPriority w:val="99"/>
    <w:rsid w:val="0095645A"/>
    <w:pPr>
      <w:autoSpaceDE w:val="0"/>
      <w:autoSpaceDN w:val="0"/>
      <w:adjustRightInd w:val="0"/>
    </w:pPr>
    <w:rPr>
      <w:rFonts w:ascii="Arial" w:eastAsia="Calibri" w:hAnsi="Arial" w:cs="Arial"/>
      <w:color w:val="000000"/>
      <w:sz w:val="22"/>
      <w:szCs w:val="22"/>
      <w:lang w:val="es-CR" w:eastAsia="es-CR"/>
    </w:rPr>
  </w:style>
  <w:style w:type="paragraph" w:customStyle="1" w:styleId="Cuerpodetextoconsangreda">
    <w:name w:val="Cuerpo de texto con sangríeda"/>
    <w:uiPriority w:val="99"/>
    <w:rsid w:val="0095645A"/>
    <w:pPr>
      <w:autoSpaceDE w:val="0"/>
      <w:autoSpaceDN w:val="0"/>
      <w:adjustRightInd w:val="0"/>
      <w:spacing w:after="120" w:line="288" w:lineRule="auto"/>
      <w:jc w:val="both"/>
    </w:pPr>
    <w:rPr>
      <w:rFonts w:ascii="Arial" w:eastAsia="Calibri" w:hAnsi="Arial" w:cs="Arial"/>
      <w:color w:val="000000"/>
      <w:sz w:val="19"/>
      <w:szCs w:val="19"/>
      <w:lang w:val="es-CR" w:eastAsia="es-CR"/>
    </w:rPr>
  </w:style>
  <w:style w:type="paragraph" w:customStyle="1" w:styleId="Sangreda2detindependiente1">
    <w:name w:val="Sangríeda 2 de t. independiente1"/>
    <w:uiPriority w:val="99"/>
    <w:rsid w:val="0095645A"/>
    <w:pPr>
      <w:autoSpaceDE w:val="0"/>
      <w:autoSpaceDN w:val="0"/>
      <w:adjustRightInd w:val="0"/>
      <w:ind w:firstLine="708"/>
    </w:pPr>
    <w:rPr>
      <w:rFonts w:ascii="Arial" w:eastAsia="Calibri" w:hAnsi="Arial" w:cs="Arial"/>
      <w:i/>
      <w:iCs/>
      <w:color w:val="000000"/>
      <w:sz w:val="22"/>
      <w:szCs w:val="22"/>
      <w:lang w:val="es-CR" w:eastAsia="es-CR"/>
    </w:rPr>
  </w:style>
  <w:style w:type="paragraph" w:customStyle="1" w:styleId="Epedgrafe1">
    <w:name w:val="Epíedgrafe1"/>
    <w:rsid w:val="0095645A"/>
    <w:pPr>
      <w:autoSpaceDE w:val="0"/>
      <w:autoSpaceDN w:val="0"/>
      <w:adjustRightInd w:val="0"/>
      <w:jc w:val="center"/>
    </w:pPr>
    <w:rPr>
      <w:rFonts w:ascii="Arial" w:eastAsia="Calibri" w:hAnsi="Arial" w:cs="Arial"/>
      <w:b/>
      <w:bCs/>
      <w:color w:val="000000"/>
      <w:sz w:val="22"/>
      <w:szCs w:val="22"/>
      <w:lang w:val="es-CR" w:eastAsia="es-CR"/>
    </w:rPr>
  </w:style>
  <w:style w:type="paragraph" w:customStyle="1" w:styleId="Subtedtulo">
    <w:name w:val="Subtíedtulo"/>
    <w:uiPriority w:val="99"/>
    <w:rsid w:val="0095645A"/>
    <w:pPr>
      <w:keepNext/>
      <w:autoSpaceDE w:val="0"/>
      <w:autoSpaceDN w:val="0"/>
      <w:adjustRightInd w:val="0"/>
      <w:spacing w:before="240" w:after="120"/>
      <w:jc w:val="center"/>
    </w:pPr>
    <w:rPr>
      <w:rFonts w:ascii="Arial" w:eastAsia="Calibri" w:hAnsi="Arial" w:cs="Arial"/>
      <w:b/>
      <w:bCs/>
      <w:i/>
      <w:iCs/>
      <w:color w:val="000000"/>
      <w:sz w:val="28"/>
      <w:szCs w:val="28"/>
      <w:lang w:val="es-CR" w:eastAsia="es-CR"/>
    </w:rPr>
  </w:style>
  <w:style w:type="paragraph" w:customStyle="1" w:styleId="Epedgrafe2">
    <w:name w:val="Epíedgrafe2"/>
    <w:uiPriority w:val="99"/>
    <w:rsid w:val="0095645A"/>
    <w:pPr>
      <w:autoSpaceDE w:val="0"/>
      <w:autoSpaceDN w:val="0"/>
      <w:adjustRightInd w:val="0"/>
      <w:spacing w:before="120" w:after="120"/>
    </w:pPr>
    <w:rPr>
      <w:rFonts w:ascii="Arial" w:eastAsia="Calibri" w:hAnsi="Arial" w:cs="Arial"/>
      <w:i/>
      <w:iCs/>
      <w:color w:val="000000"/>
      <w:sz w:val="24"/>
      <w:szCs w:val="24"/>
      <w:lang w:val="es-CR" w:eastAsia="es-CR"/>
    </w:rPr>
  </w:style>
  <w:style w:type="paragraph" w:customStyle="1" w:styleId="Epedgrafe3">
    <w:name w:val="Epíedgrafe3"/>
    <w:uiPriority w:val="99"/>
    <w:rsid w:val="0095645A"/>
    <w:pPr>
      <w:autoSpaceDE w:val="0"/>
      <w:autoSpaceDN w:val="0"/>
      <w:adjustRightInd w:val="0"/>
      <w:spacing w:before="120" w:after="120"/>
    </w:pPr>
    <w:rPr>
      <w:rFonts w:ascii="Arial" w:eastAsia="Calibri" w:hAnsi="Arial" w:cs="Arial"/>
      <w:i/>
      <w:iCs/>
      <w:color w:val="000000"/>
      <w:sz w:val="24"/>
      <w:szCs w:val="24"/>
      <w:lang w:val="es-CR" w:eastAsia="es-CR"/>
    </w:rPr>
  </w:style>
  <w:style w:type="paragraph" w:customStyle="1" w:styleId="Epedgrafe4">
    <w:name w:val="Epíedgrafe4"/>
    <w:uiPriority w:val="99"/>
    <w:rsid w:val="0095645A"/>
    <w:pPr>
      <w:autoSpaceDE w:val="0"/>
      <w:autoSpaceDN w:val="0"/>
      <w:adjustRightInd w:val="0"/>
      <w:spacing w:before="120" w:after="120"/>
    </w:pPr>
    <w:rPr>
      <w:rFonts w:ascii="Arial" w:eastAsia="Calibri" w:hAnsi="Arial" w:cs="Arial"/>
      <w:i/>
      <w:iCs/>
      <w:color w:val="000000"/>
      <w:sz w:val="24"/>
      <w:szCs w:val="24"/>
      <w:lang w:val="es-CR" w:eastAsia="es-CR"/>
    </w:rPr>
  </w:style>
  <w:style w:type="paragraph" w:customStyle="1" w:styleId="Epedgrafe">
    <w:name w:val="Epíedgrafe"/>
    <w:uiPriority w:val="99"/>
    <w:rsid w:val="0095645A"/>
    <w:pPr>
      <w:autoSpaceDE w:val="0"/>
      <w:autoSpaceDN w:val="0"/>
      <w:adjustRightInd w:val="0"/>
      <w:spacing w:before="120" w:after="120"/>
    </w:pPr>
    <w:rPr>
      <w:rFonts w:ascii="Arial" w:eastAsia="Calibri" w:hAnsi="Arial" w:cs="Arial"/>
      <w:i/>
      <w:iCs/>
      <w:color w:val="000000"/>
      <w:sz w:val="24"/>
      <w:szCs w:val="24"/>
      <w:lang w:val="es-CR" w:eastAsia="es-CR"/>
    </w:rPr>
  </w:style>
  <w:style w:type="paragraph" w:customStyle="1" w:styleId="Cabecera">
    <w:name w:val="Cabecera"/>
    <w:uiPriority w:val="99"/>
    <w:rsid w:val="0095645A"/>
    <w:pPr>
      <w:keepNext/>
      <w:autoSpaceDE w:val="0"/>
      <w:autoSpaceDN w:val="0"/>
      <w:adjustRightInd w:val="0"/>
      <w:spacing w:before="240" w:after="120" w:line="252" w:lineRule="auto"/>
    </w:pPr>
    <w:rPr>
      <w:rFonts w:ascii="Arial" w:eastAsia="Calibri" w:hAnsi="Arial" w:cs="Arial"/>
      <w:color w:val="00000A"/>
      <w:sz w:val="28"/>
      <w:szCs w:val="28"/>
      <w:lang w:val="es-CR" w:eastAsia="es-CR"/>
    </w:rPr>
  </w:style>
  <w:style w:type="paragraph" w:customStyle="1" w:styleId="Sinespaciado11">
    <w:name w:val="Sin espaciado11"/>
    <w:uiPriority w:val="99"/>
    <w:rsid w:val="0095645A"/>
    <w:pPr>
      <w:suppressAutoHyphens/>
    </w:pPr>
    <w:rPr>
      <w:rFonts w:ascii="Calibri" w:hAnsi="Calibri" w:cs="Calibri"/>
      <w:color w:val="00000A"/>
      <w:sz w:val="22"/>
      <w:szCs w:val="22"/>
      <w:lang w:val="es-MX" w:eastAsia="zh-CN"/>
    </w:rPr>
  </w:style>
  <w:style w:type="paragraph" w:customStyle="1" w:styleId="TableContentsuseruser">
    <w:name w:val="Table Contents (user) (user)"/>
    <w:uiPriority w:val="99"/>
    <w:rsid w:val="0095645A"/>
    <w:pPr>
      <w:widowControl w:val="0"/>
      <w:suppressAutoHyphens/>
      <w:autoSpaceDE w:val="0"/>
      <w:autoSpaceDN w:val="0"/>
      <w:textAlignment w:val="baseline"/>
    </w:pPr>
    <w:rPr>
      <w:rFonts w:ascii="Book Antiqua" w:hAnsi="Book Antiqua" w:cs="Book Antiqua"/>
      <w:kern w:val="3"/>
      <w:sz w:val="22"/>
      <w:szCs w:val="22"/>
      <w:lang w:val="es-CR" w:eastAsia="zh-CN"/>
    </w:rPr>
  </w:style>
  <w:style w:type="numbering" w:customStyle="1" w:styleId="WW8Num1">
    <w:name w:val="WW8Num1"/>
    <w:basedOn w:val="Sinlista"/>
    <w:qFormat/>
    <w:rsid w:val="0095645A"/>
    <w:pPr>
      <w:numPr>
        <w:numId w:val="21"/>
      </w:numPr>
    </w:pPr>
  </w:style>
  <w:style w:type="paragraph" w:customStyle="1" w:styleId="Prrafodelista6">
    <w:name w:val="Párrafo de lista6"/>
    <w:basedOn w:val="Normal"/>
    <w:qFormat/>
    <w:rsid w:val="0095645A"/>
    <w:pPr>
      <w:spacing w:after="160" w:line="252" w:lineRule="auto"/>
      <w:ind w:left="720"/>
      <w:contextualSpacing/>
    </w:pPr>
    <w:rPr>
      <w:rFonts w:ascii="Calibri" w:hAnsi="Calibri" w:cs="Calibri"/>
      <w:color w:val="00000A"/>
      <w:sz w:val="22"/>
      <w:szCs w:val="22"/>
      <w:lang w:val="es-CR" w:eastAsia="zh-CN"/>
    </w:rPr>
  </w:style>
  <w:style w:type="character" w:customStyle="1" w:styleId="Fuentedeprrafopredeter10">
    <w:name w:val="Fuente de párrafo predeter.10"/>
    <w:rsid w:val="0095645A"/>
  </w:style>
  <w:style w:type="paragraph" w:customStyle="1" w:styleId="Prrafodelista7">
    <w:name w:val="Párrafo de lista7"/>
    <w:qFormat/>
    <w:rsid w:val="0095645A"/>
    <w:pPr>
      <w:suppressAutoHyphens/>
      <w:spacing w:after="160"/>
      <w:ind w:left="720"/>
    </w:pPr>
    <w:rPr>
      <w:rFonts w:cs="Arial"/>
      <w:color w:val="00000A"/>
      <w:kern w:val="2"/>
      <w:sz w:val="24"/>
      <w:szCs w:val="24"/>
      <w:lang w:val="es-CR" w:eastAsia="zh-CN" w:bidi="hi-IN"/>
    </w:rPr>
  </w:style>
  <w:style w:type="character" w:customStyle="1" w:styleId="AcrnimoHTML1">
    <w:name w:val="Acrónimo HTML1"/>
    <w:qFormat/>
    <w:rsid w:val="0095645A"/>
  </w:style>
  <w:style w:type="paragraph" w:customStyle="1" w:styleId="NoSpacing1">
    <w:name w:val="No Spacing1"/>
    <w:qFormat/>
    <w:rsid w:val="0095645A"/>
    <w:pPr>
      <w:spacing w:line="100" w:lineRule="atLeast"/>
    </w:pPr>
    <w:rPr>
      <w:rFonts w:ascii="Calibri" w:eastAsia="Calibri" w:hAnsi="Calibri"/>
      <w:color w:val="00000A"/>
      <w:sz w:val="24"/>
      <w:szCs w:val="24"/>
      <w:lang w:val="es-CR" w:eastAsia="en-US"/>
    </w:rPr>
  </w:style>
  <w:style w:type="paragraph" w:customStyle="1" w:styleId="Enumeracin2">
    <w:name w:val="Enumeración 2"/>
    <w:qFormat/>
    <w:rsid w:val="0095645A"/>
    <w:pPr>
      <w:spacing w:after="120" w:line="100" w:lineRule="atLeast"/>
      <w:ind w:left="566" w:hanging="283"/>
    </w:pPr>
    <w:rPr>
      <w:rFonts w:eastAsia="Calibri"/>
      <w:color w:val="00000A"/>
      <w:sz w:val="24"/>
      <w:szCs w:val="24"/>
      <w:lang w:val="es-CR" w:eastAsia="en-US"/>
    </w:rPr>
  </w:style>
  <w:style w:type="paragraph" w:customStyle="1" w:styleId="Revisin1">
    <w:name w:val="Revisión1"/>
    <w:uiPriority w:val="99"/>
    <w:qFormat/>
    <w:rsid w:val="0095645A"/>
    <w:rPr>
      <w:rFonts w:eastAsia="Calibri"/>
      <w:color w:val="000000"/>
      <w:sz w:val="24"/>
      <w:szCs w:val="24"/>
      <w:lang w:val="es-CR" w:eastAsia="en-US"/>
    </w:rPr>
  </w:style>
  <w:style w:type="paragraph" w:customStyle="1" w:styleId="Textodeglobo1">
    <w:name w:val="Texto de globo1"/>
    <w:uiPriority w:val="99"/>
    <w:qFormat/>
    <w:rsid w:val="0095645A"/>
    <w:rPr>
      <w:rFonts w:ascii="Segoe UI" w:eastAsia="Calibri" w:hAnsi="Segoe UI"/>
      <w:color w:val="000000"/>
      <w:sz w:val="18"/>
      <w:szCs w:val="24"/>
      <w:lang w:val="es-CR" w:eastAsia="en-US"/>
    </w:rPr>
  </w:style>
  <w:style w:type="paragraph" w:customStyle="1" w:styleId="Epgrafe7">
    <w:name w:val="Epígrafe7"/>
    <w:uiPriority w:val="99"/>
    <w:qFormat/>
    <w:rsid w:val="0095645A"/>
    <w:pPr>
      <w:spacing w:before="120" w:after="120"/>
    </w:pPr>
    <w:rPr>
      <w:rFonts w:ascii="Arial" w:eastAsia="Calibri" w:hAnsi="Arial"/>
      <w:i/>
      <w:color w:val="000000"/>
      <w:sz w:val="24"/>
      <w:szCs w:val="24"/>
      <w:lang w:val="es-CR" w:eastAsia="en-US"/>
    </w:rPr>
  </w:style>
  <w:style w:type="paragraph" w:customStyle="1" w:styleId="Tedtulo1">
    <w:name w:val="Tíedtulo 1"/>
    <w:basedOn w:val="Tedtulo"/>
    <w:uiPriority w:val="99"/>
    <w:rsid w:val="0095645A"/>
    <w:rPr>
      <w:b/>
      <w:bCs/>
      <w:sz w:val="36"/>
      <w:szCs w:val="36"/>
    </w:rPr>
  </w:style>
  <w:style w:type="paragraph" w:customStyle="1" w:styleId="Tedtulo5">
    <w:name w:val="Tíedtulo 5"/>
    <w:basedOn w:val="Tedtulo"/>
    <w:uiPriority w:val="99"/>
    <w:rsid w:val="0095645A"/>
    <w:pPr>
      <w:spacing w:before="120" w:after="60"/>
    </w:pPr>
    <w:rPr>
      <w:b/>
      <w:bCs/>
      <w:sz w:val="23"/>
      <w:szCs w:val="23"/>
    </w:rPr>
  </w:style>
  <w:style w:type="paragraph" w:customStyle="1" w:styleId="Tedtulo">
    <w:name w:val="Tíedtulo"/>
    <w:basedOn w:val="Normal"/>
    <w:next w:val="Cuerpodetexto"/>
    <w:uiPriority w:val="99"/>
    <w:rsid w:val="0095645A"/>
    <w:pPr>
      <w:keepNext/>
      <w:autoSpaceDE w:val="0"/>
      <w:autoSpaceDN w:val="0"/>
      <w:adjustRightInd w:val="0"/>
      <w:spacing w:before="240" w:after="120" w:line="240" w:lineRule="atLeast"/>
    </w:pPr>
    <w:rPr>
      <w:rFonts w:ascii="Arial" w:hAnsi="Liberation Serif" w:cs="Arial"/>
      <w:color w:val="000000"/>
      <w:kern w:val="1"/>
      <w:sz w:val="28"/>
      <w:szCs w:val="28"/>
      <w:lang w:val="es-CR" w:eastAsia="es-CR" w:bidi="hi-IN"/>
    </w:rPr>
  </w:style>
  <w:style w:type="paragraph" w:customStyle="1" w:styleId="Tedtulodelatabla">
    <w:name w:val="Tíedtulo de la tabla"/>
    <w:basedOn w:val="Contenidodelatabla"/>
    <w:uiPriority w:val="99"/>
    <w:rsid w:val="0095645A"/>
  </w:style>
  <w:style w:type="paragraph" w:customStyle="1" w:styleId="Textopreformateado0">
    <w:name w:val="Texto preformateado"/>
    <w:basedOn w:val="Normal"/>
    <w:qFormat/>
    <w:rsid w:val="0095645A"/>
    <w:pPr>
      <w:spacing w:line="100" w:lineRule="atLeast"/>
    </w:pPr>
    <w:rPr>
      <w:rFonts w:ascii="Liberation Mono" w:eastAsia="Liberation Mono" w:hAnsi="Liberation Mono" w:cs="Liberation Mono"/>
      <w:color w:val="00000A"/>
      <w:sz w:val="20"/>
      <w:szCs w:val="20"/>
      <w:lang w:val="es-CR" w:eastAsia="es-CR"/>
    </w:rPr>
  </w:style>
  <w:style w:type="character" w:customStyle="1" w:styleId="Fuentedeprrafopredeter11">
    <w:name w:val="Fuente de párrafo predeter.11"/>
    <w:rsid w:val="0095645A"/>
  </w:style>
  <w:style w:type="paragraph" w:customStyle="1" w:styleId="Prrafodelista8">
    <w:name w:val="Párrafo de lista8"/>
    <w:uiPriority w:val="99"/>
    <w:qFormat/>
    <w:rsid w:val="0095645A"/>
    <w:pPr>
      <w:suppressAutoHyphens/>
      <w:spacing w:after="160"/>
      <w:ind w:left="720"/>
    </w:pPr>
    <w:rPr>
      <w:rFonts w:cs="Arial"/>
      <w:color w:val="00000A"/>
      <w:kern w:val="2"/>
      <w:sz w:val="24"/>
      <w:szCs w:val="24"/>
      <w:lang w:val="es-CR" w:eastAsia="zh-CN" w:bidi="hi-IN"/>
    </w:rPr>
  </w:style>
  <w:style w:type="character" w:customStyle="1" w:styleId="Fuentedeprrafopredeter12">
    <w:name w:val="Fuente de párrafo predeter.12"/>
    <w:rsid w:val="0095645A"/>
  </w:style>
  <w:style w:type="paragraph" w:customStyle="1" w:styleId="Prrafodelista9">
    <w:name w:val="Párrafo de lista9"/>
    <w:basedOn w:val="Predeterminado0"/>
    <w:uiPriority w:val="99"/>
    <w:qFormat/>
    <w:rsid w:val="0095645A"/>
  </w:style>
  <w:style w:type="paragraph" w:customStyle="1" w:styleId="Sinespaciado12">
    <w:name w:val="Sin espaciado12"/>
    <w:uiPriority w:val="99"/>
    <w:rsid w:val="0095645A"/>
    <w:pPr>
      <w:suppressAutoHyphens/>
    </w:pPr>
    <w:rPr>
      <w:rFonts w:ascii="Calibri" w:hAnsi="Calibri" w:cs="Calibri"/>
      <w:color w:val="00000A"/>
      <w:sz w:val="22"/>
      <w:szCs w:val="22"/>
      <w:lang w:val="es-MX" w:eastAsia="zh-CN"/>
    </w:rPr>
  </w:style>
  <w:style w:type="character" w:customStyle="1" w:styleId="Fuentedeprrafopredeter13">
    <w:name w:val="Fuente de párrafo predeter.13"/>
    <w:rsid w:val="0095645A"/>
  </w:style>
  <w:style w:type="paragraph" w:customStyle="1" w:styleId="Prrafodelista100">
    <w:name w:val="Párrafo de lista10"/>
    <w:uiPriority w:val="99"/>
    <w:qFormat/>
    <w:rsid w:val="0095645A"/>
    <w:pPr>
      <w:suppressAutoHyphens/>
      <w:spacing w:after="160"/>
      <w:ind w:left="720"/>
    </w:pPr>
    <w:rPr>
      <w:rFonts w:cs="Arial"/>
      <w:color w:val="00000A"/>
      <w:kern w:val="1"/>
      <w:sz w:val="24"/>
      <w:szCs w:val="24"/>
      <w:lang w:val="es-CR" w:eastAsia="zh-CN" w:bidi="hi-IN"/>
    </w:rPr>
  </w:style>
  <w:style w:type="paragraph" w:customStyle="1" w:styleId="Sinespaciado13">
    <w:name w:val="Sin espaciado13"/>
    <w:rsid w:val="0095645A"/>
    <w:pPr>
      <w:widowControl w:val="0"/>
      <w:suppressAutoHyphens/>
      <w:spacing w:line="100" w:lineRule="atLeast"/>
    </w:pPr>
    <w:rPr>
      <w:rFonts w:ascii="Calibri" w:eastAsia="SimSun" w:hAnsi="Calibri" w:cs="Calibri"/>
      <w:kern w:val="1"/>
      <w:sz w:val="22"/>
      <w:szCs w:val="22"/>
      <w:lang w:eastAsia="zh-CN"/>
    </w:rPr>
  </w:style>
  <w:style w:type="character" w:customStyle="1" w:styleId="Fuentedeprrafopredeter14">
    <w:name w:val="Fuente de párrafo predeter.14"/>
    <w:rsid w:val="0095645A"/>
  </w:style>
  <w:style w:type="numbering" w:customStyle="1" w:styleId="Sinlista11111">
    <w:name w:val="Sin lista11111"/>
    <w:basedOn w:val="Sinlista"/>
    <w:uiPriority w:val="99"/>
    <w:qFormat/>
    <w:rsid w:val="0095645A"/>
  </w:style>
  <w:style w:type="numbering" w:customStyle="1" w:styleId="WW8Num31">
    <w:name w:val="WW8Num31"/>
    <w:basedOn w:val="Sinlista"/>
    <w:qFormat/>
    <w:rsid w:val="0095645A"/>
  </w:style>
  <w:style w:type="numbering" w:customStyle="1" w:styleId="WW8Num21">
    <w:name w:val="WW8Num21"/>
    <w:basedOn w:val="Sinlista"/>
    <w:qFormat/>
    <w:rsid w:val="0095645A"/>
    <w:pPr>
      <w:numPr>
        <w:numId w:val="22"/>
      </w:numPr>
    </w:pPr>
  </w:style>
  <w:style w:type="numbering" w:customStyle="1" w:styleId="WW8Num11">
    <w:name w:val="WW8Num11"/>
    <w:basedOn w:val="Sinlista"/>
    <w:qFormat/>
    <w:rsid w:val="0095645A"/>
  </w:style>
  <w:style w:type="numbering" w:customStyle="1" w:styleId="Sinlista12">
    <w:name w:val="Sin lista12"/>
    <w:basedOn w:val="Sinlista"/>
    <w:uiPriority w:val="99"/>
    <w:rsid w:val="0095645A"/>
  </w:style>
  <w:style w:type="numbering" w:customStyle="1" w:styleId="WW8Num32">
    <w:name w:val="WW8Num32"/>
    <w:basedOn w:val="Sinlista"/>
    <w:qFormat/>
    <w:rsid w:val="0095645A"/>
  </w:style>
  <w:style w:type="numbering" w:customStyle="1" w:styleId="WW8Num22">
    <w:name w:val="WW8Num22"/>
    <w:basedOn w:val="Sinlista"/>
    <w:qFormat/>
    <w:rsid w:val="0095645A"/>
  </w:style>
  <w:style w:type="numbering" w:customStyle="1" w:styleId="WW8Num12">
    <w:name w:val="WW8Num12"/>
    <w:basedOn w:val="Sinlista"/>
    <w:qFormat/>
    <w:rsid w:val="0095645A"/>
  </w:style>
  <w:style w:type="character" w:customStyle="1" w:styleId="Mencinsinresolver1">
    <w:name w:val="Mención sin resolver1"/>
    <w:uiPriority w:val="99"/>
    <w:unhideWhenUsed/>
    <w:qFormat/>
    <w:rsid w:val="0095645A"/>
    <w:rPr>
      <w:color w:val="605E5C"/>
      <w:shd w:val="clear" w:color="auto" w:fill="E1DFDD"/>
    </w:rPr>
  </w:style>
  <w:style w:type="table" w:styleId="Tablaweb10">
    <w:name w:val="Table Web 1"/>
    <w:basedOn w:val="Tablanormal"/>
    <w:qFormat/>
    <w:rsid w:val="0095645A"/>
    <w:rPr>
      <w:lang w:val="es-MX"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Ttulo33">
    <w:name w:val="Título 33"/>
    <w:next w:val="Normal"/>
    <w:uiPriority w:val="99"/>
    <w:rsid w:val="0095645A"/>
    <w:pPr>
      <w:keepNext/>
      <w:widowControl w:val="0"/>
      <w:suppressAutoHyphens/>
      <w:autoSpaceDE w:val="0"/>
      <w:spacing w:before="240" w:after="60" w:line="0" w:lineRule="atLeast"/>
      <w:jc w:val="center"/>
    </w:pPr>
    <w:rPr>
      <w:rFonts w:ascii="Book Antiqua" w:eastAsia="Book Antiqua" w:hAnsi="Book Antiqua" w:cs="Book Antiqua"/>
      <w:b/>
      <w:bCs/>
      <w:i/>
      <w:iCs/>
      <w:sz w:val="24"/>
      <w:szCs w:val="24"/>
      <w:u w:val="double"/>
      <w:lang w:val="es-CR" w:eastAsia="zh-CN" w:bidi="es-CR"/>
    </w:rPr>
  </w:style>
  <w:style w:type="paragraph" w:customStyle="1" w:styleId="Sinespaciado14">
    <w:name w:val="Sin espaciado14"/>
    <w:rsid w:val="0095645A"/>
    <w:pPr>
      <w:widowControl w:val="0"/>
      <w:suppressAutoHyphens/>
      <w:spacing w:line="100" w:lineRule="atLeast"/>
    </w:pPr>
    <w:rPr>
      <w:rFonts w:ascii="Calibri" w:eastAsia="SimSun" w:hAnsi="Calibri" w:cs="Calibri"/>
      <w:kern w:val="1"/>
      <w:sz w:val="22"/>
      <w:szCs w:val="22"/>
      <w:lang w:eastAsia="zh-CN"/>
    </w:rPr>
  </w:style>
  <w:style w:type="paragraph" w:customStyle="1" w:styleId="Prrafodelista12">
    <w:name w:val="Párrafo de lista12"/>
    <w:basedOn w:val="Normal"/>
    <w:qFormat/>
    <w:rsid w:val="0095645A"/>
    <w:pPr>
      <w:spacing w:after="160"/>
      <w:ind w:left="720"/>
      <w:contextualSpacing/>
    </w:pPr>
    <w:rPr>
      <w:rFonts w:ascii="Calibri" w:eastAsia="Calibri" w:hAnsi="Calibri" w:cs="Liberation Serif"/>
      <w:color w:val="000000"/>
      <w:kern w:val="2"/>
      <w:sz w:val="22"/>
      <w:lang w:val="es-CR" w:eastAsia="zh-CN" w:bidi="hi-IN"/>
    </w:rPr>
  </w:style>
  <w:style w:type="paragraph" w:customStyle="1" w:styleId="s7">
    <w:name w:val="s7"/>
    <w:basedOn w:val="Normal"/>
    <w:rsid w:val="0095645A"/>
    <w:pPr>
      <w:suppressAutoHyphens w:val="0"/>
      <w:spacing w:before="100" w:beforeAutospacing="1" w:after="100" w:afterAutospacing="1"/>
    </w:pPr>
    <w:rPr>
      <w:rFonts w:ascii="Calibri" w:eastAsia="Calibri" w:hAnsi="Calibri" w:cs="Calibri"/>
      <w:sz w:val="22"/>
      <w:szCs w:val="22"/>
      <w:lang w:val="es-CR" w:eastAsia="en-US"/>
    </w:rPr>
  </w:style>
  <w:style w:type="character" w:customStyle="1" w:styleId="bumpedfont15">
    <w:name w:val="bumpedfont15"/>
    <w:rsid w:val="0095645A"/>
  </w:style>
  <w:style w:type="character" w:customStyle="1" w:styleId="s5">
    <w:name w:val="s5"/>
    <w:rsid w:val="0095645A"/>
  </w:style>
  <w:style w:type="character" w:customStyle="1" w:styleId="refdecomentario10">
    <w:name w:val="refdecomentario1"/>
    <w:rsid w:val="0095645A"/>
  </w:style>
  <w:style w:type="paragraph" w:customStyle="1" w:styleId="Standarduseruser">
    <w:name w:val="Standard (user) (user)"/>
    <w:uiPriority w:val="99"/>
    <w:rsid w:val="0095645A"/>
    <w:pPr>
      <w:widowControl w:val="0"/>
      <w:suppressAutoHyphens/>
      <w:autoSpaceDE w:val="0"/>
      <w:autoSpaceDN w:val="0"/>
      <w:textAlignment w:val="baseline"/>
    </w:pPr>
    <w:rPr>
      <w:rFonts w:ascii="Book Antiqua" w:eastAsia="Book Antiqua" w:hAnsi="Book Antiqua" w:cs="Book Antiqua"/>
      <w:kern w:val="3"/>
      <w:sz w:val="22"/>
      <w:szCs w:val="22"/>
      <w:lang w:val="es-CR" w:eastAsia="zh-CN" w:bidi="es-CR"/>
    </w:rPr>
  </w:style>
  <w:style w:type="numbering" w:customStyle="1" w:styleId="WWNum2">
    <w:name w:val="WWNum2"/>
    <w:basedOn w:val="Sinlista"/>
    <w:rsid w:val="0095645A"/>
    <w:pPr>
      <w:numPr>
        <w:numId w:val="23"/>
      </w:numPr>
    </w:pPr>
  </w:style>
  <w:style w:type="paragraph" w:customStyle="1" w:styleId="paratitulos">
    <w:name w:val="para titulos"/>
    <w:basedOn w:val="Standard0"/>
    <w:link w:val="paratitulosCar"/>
    <w:qFormat/>
    <w:rsid w:val="0095645A"/>
    <w:pPr>
      <w:widowControl w:val="0"/>
      <w:autoSpaceDN/>
      <w:adjustRightInd/>
      <w:ind w:left="851" w:right="851"/>
      <w:jc w:val="center"/>
      <w:textAlignment w:val="baseline"/>
    </w:pPr>
    <w:rPr>
      <w:rFonts w:ascii="Times New Roman" w:eastAsia="Book Antiqua" w:hAnsi="Times New Roman" w:cs="Times New Roman"/>
      <w:b/>
      <w:color w:val="000099"/>
      <w:sz w:val="26"/>
      <w:szCs w:val="26"/>
      <w:u w:val="single"/>
      <w:lang w:bidi="es-CR"/>
    </w:rPr>
  </w:style>
  <w:style w:type="character" w:customStyle="1" w:styleId="paratitulosCar">
    <w:name w:val="para titulos Car"/>
    <w:link w:val="paratitulos"/>
    <w:rsid w:val="0095645A"/>
    <w:rPr>
      <w:rFonts w:eastAsia="Book Antiqua"/>
      <w:b/>
      <w:color w:val="000099"/>
      <w:kern w:val="1"/>
      <w:sz w:val="26"/>
      <w:szCs w:val="26"/>
      <w:u w:val="single"/>
      <w:lang w:val="es-CR" w:eastAsia="zh-CN" w:bidi="es-CR"/>
    </w:rPr>
  </w:style>
  <w:style w:type="paragraph" w:customStyle="1" w:styleId="AAtitulos">
    <w:name w:val="AA titulos"/>
    <w:basedOn w:val="AAgestin"/>
    <w:link w:val="AAtitulosCar"/>
    <w:rsid w:val="0095645A"/>
    <w:pPr>
      <w:suppressAutoHyphens w:val="0"/>
      <w:spacing w:before="0" w:after="0"/>
      <w:ind w:firstLine="0"/>
      <w:jc w:val="center"/>
    </w:pPr>
    <w:rPr>
      <w:b/>
      <w:szCs w:val="28"/>
      <w:lang w:val="es-CR"/>
    </w:rPr>
  </w:style>
  <w:style w:type="paragraph" w:customStyle="1" w:styleId="Car111">
    <w:name w:val="Car11"/>
    <w:basedOn w:val="Normal"/>
    <w:semiHidden/>
    <w:qFormat/>
    <w:rsid w:val="0095645A"/>
    <w:pPr>
      <w:suppressAutoHyphens w:val="0"/>
      <w:spacing w:after="160" w:line="240" w:lineRule="exact"/>
    </w:pPr>
    <w:rPr>
      <w:rFonts w:ascii="Verdana" w:hAnsi="Verdana" w:cs="Verdana"/>
      <w:sz w:val="20"/>
      <w:szCs w:val="20"/>
      <w:lang w:val="en-AU" w:eastAsia="en-US"/>
    </w:rPr>
  </w:style>
  <w:style w:type="character" w:customStyle="1" w:styleId="AAtitulosCar">
    <w:name w:val="AA titulos Car"/>
    <w:link w:val="AAtitulos"/>
    <w:rsid w:val="0095645A"/>
    <w:rPr>
      <w:b/>
      <w:color w:val="000099"/>
      <w:sz w:val="26"/>
      <w:szCs w:val="28"/>
      <w:lang w:val="es-CR" w:eastAsia="ar-SA"/>
    </w:rPr>
  </w:style>
  <w:style w:type="character" w:customStyle="1" w:styleId="CarCar22">
    <w:name w:val="Car Car22"/>
    <w:rsid w:val="0095645A"/>
    <w:rPr>
      <w:rFonts w:ascii="Arial" w:hAnsi="Arial" w:cs="Arial"/>
      <w:b/>
      <w:bCs/>
      <w:i/>
      <w:iCs/>
      <w:sz w:val="28"/>
      <w:szCs w:val="28"/>
    </w:rPr>
  </w:style>
  <w:style w:type="paragraph" w:customStyle="1" w:styleId="Ttulo60">
    <w:name w:val="TÍtulo 6"/>
    <w:basedOn w:val="Normal"/>
    <w:next w:val="Normal"/>
    <w:qFormat/>
    <w:rsid w:val="0095645A"/>
    <w:pPr>
      <w:keepNext/>
      <w:widowControl w:val="0"/>
      <w:tabs>
        <w:tab w:val="left" w:pos="-720"/>
      </w:tabs>
      <w:overflowPunct w:val="0"/>
      <w:autoSpaceDE w:val="0"/>
      <w:autoSpaceDN w:val="0"/>
      <w:adjustRightInd w:val="0"/>
      <w:jc w:val="both"/>
      <w:textAlignment w:val="baseline"/>
    </w:pPr>
    <w:rPr>
      <w:rFonts w:ascii="Bookman Old Style" w:hAnsi="Bookman Old Style" w:cs="Bookman Old Style"/>
      <w:spacing w:val="-3"/>
      <w:lang w:eastAsia="es-ES"/>
    </w:rPr>
  </w:style>
  <w:style w:type="paragraph" w:customStyle="1" w:styleId="Ttulo90">
    <w:name w:val="TÕtulo 9"/>
    <w:basedOn w:val="Normal"/>
    <w:next w:val="Normal"/>
    <w:qFormat/>
    <w:rsid w:val="0095645A"/>
    <w:pPr>
      <w:keepNext/>
      <w:tabs>
        <w:tab w:val="left" w:pos="142"/>
      </w:tabs>
      <w:suppressAutoHyphens w:val="0"/>
      <w:overflowPunct w:val="0"/>
      <w:autoSpaceDE w:val="0"/>
      <w:autoSpaceDN w:val="0"/>
      <w:adjustRightInd w:val="0"/>
      <w:jc w:val="both"/>
      <w:textAlignment w:val="baseline"/>
    </w:pPr>
    <w:rPr>
      <w:rFonts w:ascii="Book Antiqua" w:hAnsi="Book Antiqua" w:cs="Book Antiqua"/>
      <w:b/>
      <w:bCs/>
      <w:sz w:val="22"/>
      <w:szCs w:val="22"/>
      <w:lang w:eastAsia="es-ES"/>
    </w:rPr>
  </w:style>
  <w:style w:type="paragraph" w:customStyle="1" w:styleId="Cpi">
    <w:name w:val="Cpi"/>
    <w:basedOn w:val="Normal"/>
    <w:qFormat/>
    <w:rsid w:val="0095645A"/>
    <w:pPr>
      <w:widowControl w:val="0"/>
      <w:suppressAutoHyphens w:val="0"/>
      <w:autoSpaceDE w:val="0"/>
      <w:autoSpaceDN w:val="0"/>
      <w:adjustRightInd w:val="0"/>
      <w:spacing w:line="360" w:lineRule="auto"/>
    </w:pPr>
    <w:rPr>
      <w:sz w:val="28"/>
      <w:szCs w:val="28"/>
      <w:shd w:val="clear" w:color="auto" w:fill="FFFFFF"/>
      <w:lang w:val="es-MX" w:eastAsia="es-ES"/>
    </w:rPr>
  </w:style>
  <w:style w:type="paragraph" w:customStyle="1" w:styleId="Direccininterior">
    <w:name w:val="Dirección interior"/>
    <w:basedOn w:val="Normal"/>
    <w:qFormat/>
    <w:rsid w:val="0095645A"/>
    <w:pPr>
      <w:spacing w:before="120" w:after="240"/>
      <w:jc w:val="both"/>
    </w:pPr>
    <w:rPr>
      <w:rFonts w:ascii="Book Antiqua" w:hAnsi="Book Antiqua" w:cs="Book Antiqua"/>
      <w:lang w:val="es-CR" w:eastAsia="zh-CN"/>
    </w:rPr>
  </w:style>
  <w:style w:type="character" w:customStyle="1" w:styleId="TextonotaalfinalCar2">
    <w:name w:val="Texto nota al final Car2"/>
    <w:rsid w:val="0095645A"/>
    <w:rPr>
      <w:lang w:eastAsia="es-ES"/>
    </w:rPr>
  </w:style>
  <w:style w:type="paragraph" w:customStyle="1" w:styleId="msonormal0">
    <w:name w:val="msonormal"/>
    <w:basedOn w:val="Normal"/>
    <w:qFormat/>
    <w:rsid w:val="0095645A"/>
    <w:pPr>
      <w:widowControl w:val="0"/>
      <w:suppressAutoHyphens w:val="0"/>
      <w:autoSpaceDE w:val="0"/>
      <w:autoSpaceDN w:val="0"/>
      <w:adjustRightInd w:val="0"/>
    </w:pPr>
    <w:rPr>
      <w:rFonts w:ascii="Arial Unicode MS" w:eastAsia="Arial Unicode MS" w:hAnsi="Arial" w:cs="Arial Unicode MS"/>
      <w:color w:val="000000"/>
      <w:u w:color="000000"/>
      <w:lang w:eastAsia="es-ES"/>
    </w:rPr>
  </w:style>
  <w:style w:type="paragraph" w:styleId="Listaconnmeros2">
    <w:name w:val="List Number 2"/>
    <w:basedOn w:val="Normal"/>
    <w:uiPriority w:val="99"/>
    <w:unhideWhenUsed/>
    <w:qFormat/>
    <w:rsid w:val="0095645A"/>
    <w:pPr>
      <w:widowControl w:val="0"/>
      <w:numPr>
        <w:numId w:val="24"/>
      </w:numPr>
      <w:suppressAutoHyphens w:val="0"/>
      <w:autoSpaceDE w:val="0"/>
      <w:autoSpaceDN w:val="0"/>
      <w:adjustRightInd w:val="0"/>
    </w:pPr>
    <w:rPr>
      <w:rFonts w:ascii="Arial" w:hAnsi="Arial" w:cs="Arial"/>
      <w:u w:color="000000"/>
      <w:lang w:eastAsia="es-ES"/>
    </w:rPr>
  </w:style>
  <w:style w:type="paragraph" w:styleId="Listaconnmeros5">
    <w:name w:val="List Number 5"/>
    <w:basedOn w:val="Normal"/>
    <w:uiPriority w:val="99"/>
    <w:unhideWhenUsed/>
    <w:qFormat/>
    <w:rsid w:val="0095645A"/>
    <w:pPr>
      <w:widowControl w:val="0"/>
      <w:numPr>
        <w:numId w:val="25"/>
      </w:numPr>
      <w:suppressAutoHyphens w:val="0"/>
      <w:autoSpaceDE w:val="0"/>
      <w:autoSpaceDN w:val="0"/>
      <w:adjustRightInd w:val="0"/>
    </w:pPr>
    <w:rPr>
      <w:rFonts w:ascii="Arial" w:hAnsi="Arial" w:cs="Arial"/>
      <w:u w:color="000000"/>
      <w:lang w:eastAsia="es-ES"/>
    </w:rPr>
  </w:style>
  <w:style w:type="character" w:customStyle="1" w:styleId="EstiloCorreo651">
    <w:name w:val="EstiloCorreo651"/>
    <w:rsid w:val="0095645A"/>
    <w:rPr>
      <w:rFonts w:ascii="Arial" w:hAnsi="Arial" w:cs="Arial" w:hint="default"/>
      <w:color w:val="000080"/>
    </w:rPr>
  </w:style>
  <w:style w:type="character" w:customStyle="1" w:styleId="EstiloCorreo861">
    <w:name w:val="EstiloCorreo861"/>
    <w:rsid w:val="0095645A"/>
    <w:rPr>
      <w:rFonts w:ascii="Arial" w:hAnsi="Arial" w:cs="Arial" w:hint="default"/>
      <w:color w:val="000080"/>
    </w:rPr>
  </w:style>
  <w:style w:type="paragraph" w:customStyle="1" w:styleId="Negrita">
    <w:name w:val="Negrita"/>
    <w:basedOn w:val="Normal"/>
    <w:qFormat/>
    <w:rsid w:val="0095645A"/>
    <w:pPr>
      <w:spacing w:before="120" w:after="120"/>
      <w:jc w:val="both"/>
    </w:pPr>
    <w:rPr>
      <w:rFonts w:ascii="Franklin Gothic Book" w:hAnsi="Franklin Gothic Book" w:cs="Franklin Gothic Book"/>
      <w:b/>
      <w:sz w:val="22"/>
    </w:rPr>
  </w:style>
  <w:style w:type="character" w:customStyle="1" w:styleId="go">
    <w:name w:val="go"/>
    <w:rsid w:val="0095645A"/>
    <w:rPr>
      <w:rFonts w:cs="Times New Roman"/>
    </w:rPr>
  </w:style>
  <w:style w:type="character" w:customStyle="1" w:styleId="EstiloCorreo1431">
    <w:name w:val="EstiloCorreo1431"/>
    <w:rsid w:val="0095645A"/>
    <w:rPr>
      <w:rFonts w:ascii="Arial" w:hAnsi="Arial" w:cs="Arial"/>
      <w:color w:val="000080"/>
      <w:sz w:val="20"/>
      <w:szCs w:val="20"/>
    </w:rPr>
  </w:style>
  <w:style w:type="character" w:customStyle="1" w:styleId="EstiloCorreo1551">
    <w:name w:val="EstiloCorreo1551"/>
    <w:rsid w:val="0095645A"/>
    <w:rPr>
      <w:rFonts w:ascii="Arial" w:hAnsi="Arial" w:cs="Arial"/>
      <w:color w:val="auto"/>
      <w:sz w:val="20"/>
      <w:szCs w:val="20"/>
    </w:rPr>
  </w:style>
  <w:style w:type="character" w:customStyle="1" w:styleId="EstiloCorreo157">
    <w:name w:val="EstiloCorreo157"/>
    <w:rsid w:val="0095645A"/>
    <w:rPr>
      <w:rFonts w:ascii="Arial" w:hAnsi="Arial" w:cs="Arial"/>
      <w:color w:val="000080"/>
      <w:sz w:val="20"/>
      <w:szCs w:val="20"/>
    </w:rPr>
  </w:style>
  <w:style w:type="character" w:customStyle="1" w:styleId="EstiloCorreo1741">
    <w:name w:val="EstiloCorreo1741"/>
    <w:rsid w:val="0095645A"/>
    <w:rPr>
      <w:rFonts w:ascii="Arial" w:hAnsi="Arial" w:cs="Arial"/>
      <w:color w:val="auto"/>
      <w:sz w:val="20"/>
      <w:szCs w:val="20"/>
    </w:rPr>
  </w:style>
  <w:style w:type="character" w:customStyle="1" w:styleId="EstiloCorreo1751">
    <w:name w:val="EstiloCorreo1751"/>
    <w:rsid w:val="0095645A"/>
    <w:rPr>
      <w:rFonts w:ascii="Arial" w:hAnsi="Arial" w:cs="Arial"/>
      <w:color w:val="auto"/>
      <w:sz w:val="20"/>
      <w:szCs w:val="20"/>
    </w:rPr>
  </w:style>
  <w:style w:type="character" w:customStyle="1" w:styleId="EstiloCorreo2521">
    <w:name w:val="EstiloCorreo2521"/>
    <w:rsid w:val="0095645A"/>
    <w:rPr>
      <w:rFonts w:ascii="Palatino Linotype" w:hAnsi="Palatino Linotype" w:cs="Arial" w:hint="default"/>
      <w:b/>
      <w:bCs w:val="0"/>
      <w:color w:val="auto"/>
      <w:sz w:val="26"/>
      <w:szCs w:val="26"/>
    </w:rPr>
  </w:style>
  <w:style w:type="character" w:customStyle="1" w:styleId="EstiloCorreo2601">
    <w:name w:val="EstiloCorreo2601"/>
    <w:rsid w:val="0095645A"/>
    <w:rPr>
      <w:color w:val="000000"/>
    </w:rPr>
  </w:style>
  <w:style w:type="character" w:customStyle="1" w:styleId="EstiloCorreo2841">
    <w:name w:val="EstiloCorreo2841"/>
    <w:rsid w:val="0095645A"/>
    <w:rPr>
      <w:rFonts w:ascii="Arial" w:hAnsi="Arial" w:cs="Arial"/>
      <w:color w:val="auto"/>
      <w:sz w:val="20"/>
      <w:szCs w:val="20"/>
    </w:rPr>
  </w:style>
  <w:style w:type="character" w:customStyle="1" w:styleId="EstiloCorreo2861">
    <w:name w:val="EstiloCorreo2861"/>
    <w:rsid w:val="0095645A"/>
    <w:rPr>
      <w:rFonts w:ascii="Arial" w:hAnsi="Arial" w:cs="Arial" w:hint="default"/>
      <w:color w:val="000080"/>
    </w:rPr>
  </w:style>
  <w:style w:type="character" w:customStyle="1" w:styleId="EstiloCorreo3191">
    <w:name w:val="EstiloCorreo3191"/>
    <w:rsid w:val="0095645A"/>
    <w:rPr>
      <w:rFonts w:ascii="Tahoma" w:hAnsi="Tahoma" w:cs="Tahoma" w:hint="default"/>
      <w:b w:val="0"/>
      <w:bCs w:val="0"/>
      <w:i w:val="0"/>
      <w:iCs w:val="0"/>
      <w:color w:val="auto"/>
    </w:rPr>
  </w:style>
  <w:style w:type="character" w:customStyle="1" w:styleId="EstiloCorreo3201">
    <w:name w:val="EstiloCorreo3201"/>
    <w:rsid w:val="0095645A"/>
    <w:rPr>
      <w:rFonts w:ascii="Tahoma" w:hAnsi="Tahoma" w:cs="Tahoma" w:hint="default"/>
      <w:b w:val="0"/>
      <w:bCs w:val="0"/>
      <w:i w:val="0"/>
      <w:iCs w:val="0"/>
      <w:color w:val="auto"/>
    </w:rPr>
  </w:style>
  <w:style w:type="character" w:customStyle="1" w:styleId="EstiloCorreo3211">
    <w:name w:val="EstiloCorreo3211"/>
    <w:rsid w:val="0095645A"/>
    <w:rPr>
      <w:color w:val="000000"/>
    </w:rPr>
  </w:style>
  <w:style w:type="paragraph" w:customStyle="1" w:styleId="CarCar6CarCar">
    <w:name w:val="Car Car6 Car Car"/>
    <w:basedOn w:val="Normal"/>
    <w:semiHidden/>
    <w:qFormat/>
    <w:rsid w:val="0095645A"/>
    <w:pPr>
      <w:suppressAutoHyphens w:val="0"/>
      <w:spacing w:after="160" w:line="240" w:lineRule="exact"/>
    </w:pPr>
    <w:rPr>
      <w:rFonts w:ascii="Verdana" w:hAnsi="Verdana" w:cs="Verdana"/>
      <w:sz w:val="20"/>
      <w:szCs w:val="20"/>
      <w:lang w:val="en-AU" w:eastAsia="en-US"/>
    </w:rPr>
  </w:style>
  <w:style w:type="table" w:styleId="Tablaweb2">
    <w:name w:val="Table Web 2"/>
    <w:basedOn w:val="Tablanormal"/>
    <w:uiPriority w:val="99"/>
    <w:qFormat/>
    <w:rsid w:val="0095645A"/>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estilo7">
    <w:name w:val="estilo7"/>
    <w:basedOn w:val="Normal"/>
    <w:rsid w:val="0095645A"/>
    <w:pPr>
      <w:suppressAutoHyphens w:val="0"/>
      <w:spacing w:before="100" w:beforeAutospacing="1" w:after="100" w:afterAutospacing="1"/>
    </w:pPr>
    <w:rPr>
      <w:i/>
      <w:iCs/>
      <w:sz w:val="21"/>
      <w:szCs w:val="21"/>
      <w:lang w:eastAsia="es-ES"/>
    </w:rPr>
  </w:style>
  <w:style w:type="paragraph" w:customStyle="1" w:styleId="h50">
    <w:name w:val="h5"/>
    <w:basedOn w:val="Normal"/>
    <w:rsid w:val="0095645A"/>
    <w:pPr>
      <w:keepNext/>
      <w:suppressAutoHyphens w:val="0"/>
      <w:autoSpaceDE w:val="0"/>
      <w:autoSpaceDN w:val="0"/>
      <w:spacing w:before="100" w:after="100"/>
    </w:pPr>
    <w:rPr>
      <w:rFonts w:ascii="Arial" w:hAnsi="Arial" w:cs="Arial"/>
      <w:b/>
      <w:bCs/>
      <w:sz w:val="20"/>
      <w:szCs w:val="20"/>
      <w:lang w:eastAsia="es-ES"/>
    </w:rPr>
  </w:style>
  <w:style w:type="paragraph" w:customStyle="1" w:styleId="sangra3detindependiente10">
    <w:name w:val="sangra3detindependiente1"/>
    <w:basedOn w:val="Normal"/>
    <w:rsid w:val="0095645A"/>
    <w:pPr>
      <w:suppressAutoHyphens w:val="0"/>
      <w:autoSpaceDE w:val="0"/>
      <w:autoSpaceDN w:val="0"/>
      <w:spacing w:after="120"/>
      <w:ind w:left="283"/>
    </w:pPr>
    <w:rPr>
      <w:rFonts w:ascii="Arial" w:hAnsi="Arial" w:cs="Arial"/>
      <w:sz w:val="16"/>
      <w:szCs w:val="16"/>
      <w:lang w:eastAsia="es-ES"/>
    </w:rPr>
  </w:style>
  <w:style w:type="paragraph" w:customStyle="1" w:styleId="tabul1">
    <w:name w:val="tabul1"/>
    <w:basedOn w:val="Normal"/>
    <w:qFormat/>
    <w:rsid w:val="0095645A"/>
    <w:pPr>
      <w:shd w:val="clear" w:color="auto" w:fill="FFFFFF"/>
      <w:suppressAutoHyphens w:val="0"/>
      <w:autoSpaceDE w:val="0"/>
      <w:autoSpaceDN w:val="0"/>
      <w:ind w:left="1200" w:right="2" w:hanging="420"/>
      <w:jc w:val="both"/>
    </w:pPr>
    <w:rPr>
      <w:rFonts w:ascii="Helvetica" w:hAnsi="Helvetica"/>
      <w:sz w:val="20"/>
      <w:szCs w:val="20"/>
      <w:lang w:eastAsia="es-ES"/>
    </w:rPr>
  </w:style>
  <w:style w:type="paragraph" w:customStyle="1" w:styleId="style500">
    <w:name w:val="style50"/>
    <w:basedOn w:val="Normal"/>
    <w:rsid w:val="0095645A"/>
    <w:pPr>
      <w:suppressAutoHyphens w:val="0"/>
      <w:autoSpaceDE w:val="0"/>
      <w:autoSpaceDN w:val="0"/>
    </w:pPr>
    <w:rPr>
      <w:sz w:val="20"/>
      <w:szCs w:val="20"/>
      <w:lang w:eastAsia="es-ES"/>
    </w:rPr>
  </w:style>
  <w:style w:type="paragraph" w:customStyle="1" w:styleId="normal10">
    <w:name w:val="normal1"/>
    <w:basedOn w:val="Normal"/>
    <w:rsid w:val="0095645A"/>
    <w:pPr>
      <w:suppressAutoHyphens w:val="0"/>
      <w:autoSpaceDE w:val="0"/>
    </w:pPr>
    <w:rPr>
      <w:rFonts w:ascii="Bookman Old Style" w:hAnsi="Bookman Old Style"/>
      <w:color w:val="000000"/>
      <w:lang w:eastAsia="es-ES"/>
    </w:rPr>
  </w:style>
  <w:style w:type="paragraph" w:customStyle="1" w:styleId="informal100">
    <w:name w:val="informal10"/>
    <w:basedOn w:val="Normal"/>
    <w:rsid w:val="0095645A"/>
    <w:pPr>
      <w:suppressAutoHyphens w:val="0"/>
      <w:overflowPunct w:val="0"/>
      <w:autoSpaceDE w:val="0"/>
      <w:autoSpaceDN w:val="0"/>
      <w:spacing w:before="60" w:after="60"/>
    </w:pPr>
    <w:rPr>
      <w:rFonts w:ascii="Arial" w:hAnsi="Arial" w:cs="Arial"/>
      <w:sz w:val="20"/>
      <w:szCs w:val="20"/>
      <w:lang w:eastAsia="es-ES"/>
    </w:rPr>
  </w:style>
  <w:style w:type="paragraph" w:customStyle="1" w:styleId="style40">
    <w:name w:val="style40"/>
    <w:basedOn w:val="Normal"/>
    <w:rsid w:val="0095645A"/>
    <w:pPr>
      <w:suppressAutoHyphens w:val="0"/>
      <w:autoSpaceDE w:val="0"/>
      <w:autoSpaceDN w:val="0"/>
      <w:spacing w:before="108" w:line="360" w:lineRule="auto"/>
      <w:ind w:left="936" w:hanging="432"/>
      <w:jc w:val="both"/>
    </w:pPr>
    <w:rPr>
      <w:rFonts w:ascii="Tahoma" w:hAnsi="Tahoma" w:cs="Tahoma"/>
      <w:sz w:val="23"/>
      <w:szCs w:val="23"/>
      <w:lang w:eastAsia="es-ES"/>
    </w:rPr>
  </w:style>
  <w:style w:type="paragraph" w:customStyle="1" w:styleId="style1000">
    <w:name w:val="style100"/>
    <w:basedOn w:val="Normal"/>
    <w:rsid w:val="0095645A"/>
    <w:pPr>
      <w:suppressAutoHyphens w:val="0"/>
      <w:autoSpaceDE w:val="0"/>
      <w:autoSpaceDN w:val="0"/>
    </w:pPr>
    <w:rPr>
      <w:lang w:eastAsia="es-ES"/>
    </w:rPr>
  </w:style>
  <w:style w:type="paragraph" w:customStyle="1" w:styleId="style200">
    <w:name w:val="style200"/>
    <w:basedOn w:val="Normal"/>
    <w:rsid w:val="0095645A"/>
    <w:pPr>
      <w:suppressAutoHyphens w:val="0"/>
      <w:autoSpaceDE w:val="0"/>
      <w:autoSpaceDN w:val="0"/>
      <w:spacing w:before="216"/>
      <w:ind w:left="936" w:right="576" w:firstLine="720"/>
      <w:jc w:val="both"/>
    </w:pPr>
    <w:rPr>
      <w:b/>
      <w:bCs/>
      <w:lang w:eastAsia="es-ES"/>
    </w:rPr>
  </w:style>
  <w:style w:type="paragraph" w:customStyle="1" w:styleId="listparagraph0">
    <w:name w:val="listparagraph0"/>
    <w:basedOn w:val="Normal"/>
    <w:rsid w:val="0095645A"/>
    <w:pPr>
      <w:suppressAutoHyphens w:val="0"/>
      <w:spacing w:after="200" w:line="276" w:lineRule="auto"/>
      <w:ind w:left="720"/>
    </w:pPr>
    <w:rPr>
      <w:rFonts w:ascii="Calibri" w:hAnsi="Calibri"/>
      <w:sz w:val="22"/>
      <w:szCs w:val="22"/>
      <w:lang w:eastAsia="es-ES"/>
    </w:rPr>
  </w:style>
  <w:style w:type="paragraph" w:customStyle="1" w:styleId="listparagraphcxspmiddle">
    <w:name w:val="listparagraphcxspmiddle"/>
    <w:basedOn w:val="Normal"/>
    <w:rsid w:val="0095645A"/>
    <w:pPr>
      <w:suppressAutoHyphens w:val="0"/>
      <w:spacing w:before="100" w:beforeAutospacing="1" w:after="100" w:afterAutospacing="1"/>
    </w:pPr>
    <w:rPr>
      <w:lang w:eastAsia="es-ES"/>
    </w:rPr>
  </w:style>
  <w:style w:type="paragraph" w:customStyle="1" w:styleId="listparagraphcxsplast">
    <w:name w:val="listparagraphcxsplast"/>
    <w:basedOn w:val="Normal"/>
    <w:rsid w:val="0095645A"/>
    <w:pPr>
      <w:suppressAutoHyphens w:val="0"/>
      <w:spacing w:before="100" w:beforeAutospacing="1" w:after="100" w:afterAutospacing="1"/>
    </w:pPr>
    <w:rPr>
      <w:lang w:eastAsia="es-ES"/>
    </w:rPr>
  </w:style>
  <w:style w:type="paragraph" w:customStyle="1" w:styleId="style41">
    <w:name w:val="style41"/>
    <w:basedOn w:val="Normal"/>
    <w:rsid w:val="0095645A"/>
    <w:pPr>
      <w:suppressAutoHyphens w:val="0"/>
      <w:autoSpaceDE w:val="0"/>
      <w:autoSpaceDN w:val="0"/>
      <w:spacing w:line="388" w:lineRule="atLeast"/>
      <w:jc w:val="both"/>
    </w:pPr>
    <w:rPr>
      <w:rFonts w:ascii="Bookman Old Style" w:hAnsi="Bookman Old Style"/>
      <w:lang w:eastAsia="es-ES"/>
    </w:rPr>
  </w:style>
  <w:style w:type="paragraph" w:customStyle="1" w:styleId="car12">
    <w:name w:val="car1"/>
    <w:basedOn w:val="Normal"/>
    <w:rsid w:val="0095645A"/>
    <w:pPr>
      <w:suppressAutoHyphens w:val="0"/>
      <w:spacing w:after="160" w:line="240" w:lineRule="atLeast"/>
    </w:pPr>
    <w:rPr>
      <w:rFonts w:ascii="Verdana" w:hAnsi="Verdana"/>
      <w:sz w:val="20"/>
      <w:szCs w:val="20"/>
      <w:lang w:eastAsia="es-ES"/>
    </w:rPr>
  </w:style>
  <w:style w:type="character" w:customStyle="1" w:styleId="listparagraphchar0">
    <w:name w:val="listparagraphchar"/>
    <w:rsid w:val="0095645A"/>
    <w:rPr>
      <w:rFonts w:ascii="Calibri" w:hAnsi="Calibri" w:hint="default"/>
    </w:rPr>
  </w:style>
  <w:style w:type="character" w:customStyle="1" w:styleId="footnotetextchar">
    <w:name w:val="footnotetextchar"/>
    <w:rsid w:val="0095645A"/>
    <w:rPr>
      <w:rFonts w:ascii="Times New Roman" w:hAnsi="Times New Roman" w:cs="Times New Roman" w:hint="default"/>
    </w:rPr>
  </w:style>
  <w:style w:type="character" w:customStyle="1" w:styleId="ecxestilo41">
    <w:name w:val="ecxestilo41"/>
    <w:rsid w:val="0095645A"/>
    <w:rPr>
      <w:rFonts w:ascii="Times New Roman" w:hAnsi="Times New Roman" w:cs="Times New Roman" w:hint="default"/>
    </w:rPr>
  </w:style>
  <w:style w:type="character" w:customStyle="1" w:styleId="characterstyle20">
    <w:name w:val="characterstyle2"/>
    <w:rsid w:val="0095645A"/>
    <w:rPr>
      <w:b/>
      <w:bCs/>
    </w:rPr>
  </w:style>
  <w:style w:type="character" w:customStyle="1" w:styleId="encabezadocarcar2">
    <w:name w:val="encabezadocarcar2"/>
    <w:rsid w:val="0095645A"/>
    <w:rPr>
      <w:rFonts w:ascii="MS Sans Serif" w:hAnsi="MS Sans Serif" w:hint="default"/>
    </w:rPr>
  </w:style>
  <w:style w:type="character" w:customStyle="1" w:styleId="carcar200">
    <w:name w:val="carcar20"/>
    <w:rsid w:val="0095645A"/>
    <w:rPr>
      <w:rFonts w:ascii="Palatino Linotype" w:hAnsi="Palatino Linotype" w:hint="default"/>
      <w:color w:val="002060"/>
    </w:rPr>
  </w:style>
  <w:style w:type="character" w:customStyle="1" w:styleId="carcar80">
    <w:name w:val="carcar8"/>
    <w:rsid w:val="0095645A"/>
    <w:rPr>
      <w:rFonts w:ascii="Arial" w:hAnsi="Arial" w:cs="Arial" w:hint="default"/>
      <w:i/>
      <w:iCs/>
    </w:rPr>
  </w:style>
  <w:style w:type="character" w:customStyle="1" w:styleId="carcar70">
    <w:name w:val="carcar7"/>
    <w:rsid w:val="0095645A"/>
    <w:rPr>
      <w:rFonts w:ascii="Arial" w:hAnsi="Arial" w:cs="Arial" w:hint="default"/>
      <w:b/>
      <w:bCs/>
      <w:i/>
      <w:iCs/>
    </w:rPr>
  </w:style>
  <w:style w:type="character" w:customStyle="1" w:styleId="carcar60">
    <w:name w:val="carcar6"/>
    <w:rsid w:val="0095645A"/>
    <w:rPr>
      <w:b/>
      <w:bCs/>
    </w:rPr>
  </w:style>
  <w:style w:type="character" w:customStyle="1" w:styleId="characterstyle40">
    <w:name w:val="characterstyle40"/>
    <w:rsid w:val="0095645A"/>
    <w:rPr>
      <w:rFonts w:ascii="Tahoma" w:hAnsi="Tahoma" w:cs="Tahoma" w:hint="default"/>
    </w:rPr>
  </w:style>
  <w:style w:type="character" w:customStyle="1" w:styleId="characterstyle500">
    <w:name w:val="characterstyle50"/>
    <w:rsid w:val="0095645A"/>
    <w:rPr>
      <w:color w:val="191A17"/>
    </w:rPr>
  </w:style>
  <w:style w:type="character" w:customStyle="1" w:styleId="characterstyle100">
    <w:name w:val="characterstyle100"/>
    <w:rsid w:val="0095645A"/>
    <w:rPr>
      <w:rFonts w:ascii="Verdana" w:hAnsi="Verdana" w:hint="default"/>
    </w:rPr>
  </w:style>
  <w:style w:type="character" w:customStyle="1" w:styleId="carcar150">
    <w:name w:val="carcar15"/>
    <w:rsid w:val="0095645A"/>
    <w:rPr>
      <w:rFonts w:ascii="MS Sans Serif" w:hAnsi="MS Sans Serif" w:hint="default"/>
    </w:rPr>
  </w:style>
  <w:style w:type="character" w:customStyle="1" w:styleId="carcar210">
    <w:name w:val="carcar210"/>
    <w:rsid w:val="0095645A"/>
    <w:rPr>
      <w:rFonts w:ascii="MS Sans Serif" w:hAnsi="MS Sans Serif" w:hint="default"/>
    </w:rPr>
  </w:style>
  <w:style w:type="character" w:customStyle="1" w:styleId="carcar23">
    <w:name w:val="carcar2"/>
    <w:rsid w:val="0095645A"/>
    <w:rPr>
      <w:rFonts w:ascii="Calibri" w:hAnsi="Calibri" w:hint="default"/>
    </w:rPr>
  </w:style>
  <w:style w:type="character" w:customStyle="1" w:styleId="fontstyle12">
    <w:name w:val="fontstyle12"/>
    <w:rsid w:val="0095645A"/>
    <w:rPr>
      <w:rFonts w:ascii="Bookman Old Style" w:hAnsi="Bookman Old Style" w:hint="default"/>
    </w:rPr>
  </w:style>
  <w:style w:type="character" w:customStyle="1" w:styleId="nwtovh">
    <w:name w:val="nwt ovh"/>
    <w:rsid w:val="0095645A"/>
  </w:style>
  <w:style w:type="character" w:customStyle="1" w:styleId="EstiloCorreo3891">
    <w:name w:val="EstiloCorreo3891"/>
    <w:rsid w:val="0095645A"/>
    <w:rPr>
      <w:rFonts w:ascii="Book Antiqua" w:hAnsi="Book Antiqua"/>
      <w:b w:val="0"/>
      <w:bCs w:val="0"/>
      <w:i w:val="0"/>
      <w:iCs w:val="0"/>
      <w:strike w:val="0"/>
      <w:color w:val="auto"/>
      <w:sz w:val="24"/>
      <w:szCs w:val="24"/>
      <w:u w:val="none"/>
    </w:rPr>
  </w:style>
  <w:style w:type="character" w:customStyle="1" w:styleId="CarCar16">
    <w:name w:val="Car Car16"/>
    <w:locked/>
    <w:rsid w:val="0095645A"/>
    <w:rPr>
      <w:sz w:val="24"/>
      <w:szCs w:val="24"/>
      <w:lang w:val="es-ES" w:eastAsia="es-ES" w:bidi="ar-SA"/>
    </w:rPr>
  </w:style>
  <w:style w:type="character" w:customStyle="1" w:styleId="WW8Num15z0">
    <w:name w:val="WW8Num15z0"/>
    <w:qFormat/>
    <w:rsid w:val="0095645A"/>
    <w:rPr>
      <w:rFonts w:ascii="Symbol" w:hAnsi="Symbol" w:cs="Symbol"/>
    </w:rPr>
  </w:style>
  <w:style w:type="character" w:customStyle="1" w:styleId="WW8Num17z0">
    <w:name w:val="WW8Num17z0"/>
    <w:qFormat/>
    <w:rsid w:val="0095645A"/>
    <w:rPr>
      <w:rFonts w:ascii="Symbol" w:hAnsi="Symbol" w:cs="Symbol"/>
    </w:rPr>
  </w:style>
  <w:style w:type="character" w:customStyle="1" w:styleId="WW8Num19z0">
    <w:name w:val="WW8Num19z0"/>
    <w:qFormat/>
    <w:rsid w:val="0095645A"/>
    <w:rPr>
      <w:rFonts w:ascii="Times New Roman" w:eastAsia="Times New Roman" w:hAnsi="Times New Roman" w:cs="Times New Roman"/>
    </w:rPr>
  </w:style>
  <w:style w:type="character" w:customStyle="1" w:styleId="WW8Num20z0">
    <w:name w:val="WW8Num20z0"/>
    <w:qFormat/>
    <w:rsid w:val="0095645A"/>
    <w:rPr>
      <w:rFonts w:ascii="Times New Roman" w:eastAsia="Times New Roman" w:hAnsi="Times New Roman" w:cs="Times New Roman"/>
    </w:rPr>
  </w:style>
  <w:style w:type="character" w:customStyle="1" w:styleId="WW8Num21z0">
    <w:name w:val="WW8Num21z0"/>
    <w:qFormat/>
    <w:rsid w:val="0095645A"/>
    <w:rPr>
      <w:rFonts w:ascii="Symbol" w:hAnsi="Symbol" w:cs="Symbol"/>
    </w:rPr>
  </w:style>
  <w:style w:type="character" w:customStyle="1" w:styleId="WW8Num22z0">
    <w:name w:val="WW8Num22z0"/>
    <w:qFormat/>
    <w:rsid w:val="0095645A"/>
    <w:rPr>
      <w:rFonts w:cs="Times New Roman"/>
      <w:b/>
    </w:rPr>
  </w:style>
  <w:style w:type="character" w:customStyle="1" w:styleId="WW8Num22z1">
    <w:name w:val="WW8Num22z1"/>
    <w:qFormat/>
    <w:rsid w:val="0095645A"/>
    <w:rPr>
      <w:rFonts w:cs="Times New Roman"/>
    </w:rPr>
  </w:style>
  <w:style w:type="character" w:customStyle="1" w:styleId="WW8Num23z1">
    <w:name w:val="WW8Num23z1"/>
    <w:qFormat/>
    <w:rsid w:val="0095645A"/>
    <w:rPr>
      <w:rFonts w:ascii="Courier New" w:hAnsi="Courier New" w:cs="Courier New"/>
    </w:rPr>
  </w:style>
  <w:style w:type="character" w:customStyle="1" w:styleId="WW8Num24z0">
    <w:name w:val="WW8Num24z0"/>
    <w:qFormat/>
    <w:rsid w:val="0095645A"/>
    <w:rPr>
      <w:rFonts w:ascii="Symbol" w:hAnsi="Symbol" w:cs="Symbol"/>
    </w:rPr>
  </w:style>
  <w:style w:type="character" w:customStyle="1" w:styleId="Smbolodenotaalpie">
    <w:name w:val="Símbolo de nota al pie"/>
    <w:uiPriority w:val="99"/>
    <w:rsid w:val="0095645A"/>
    <w:rPr>
      <w:rFonts w:cs="Times New Roman"/>
      <w:vertAlign w:val="superscript"/>
    </w:rPr>
  </w:style>
  <w:style w:type="character" w:customStyle="1" w:styleId="characterstyle41">
    <w:name w:val="characterstyle4"/>
    <w:rsid w:val="0095645A"/>
    <w:rPr>
      <w:rFonts w:ascii="Tahoma" w:hAnsi="Tahoma" w:cs="Tahoma"/>
    </w:rPr>
  </w:style>
  <w:style w:type="character" w:customStyle="1" w:styleId="characterstyle1">
    <w:name w:val="characterstyle1"/>
    <w:rsid w:val="0095645A"/>
    <w:rPr>
      <w:b/>
      <w:bCs/>
    </w:rPr>
  </w:style>
  <w:style w:type="character" w:customStyle="1" w:styleId="characterstyle10">
    <w:name w:val="characterstyle10"/>
    <w:rsid w:val="0095645A"/>
    <w:rPr>
      <w:rFonts w:ascii="Verdana" w:hAnsi="Verdana" w:cs="Verdana"/>
    </w:rPr>
  </w:style>
  <w:style w:type="character" w:customStyle="1" w:styleId="NormalWebChar">
    <w:name w:val="Normal (Web) Char"/>
    <w:rsid w:val="0095645A"/>
    <w:rPr>
      <w:sz w:val="24"/>
      <w:szCs w:val="24"/>
      <w:lang w:val="es-ES" w:bidi="ar-SA"/>
    </w:rPr>
  </w:style>
  <w:style w:type="paragraph" w:customStyle="1" w:styleId="WW-Encabezado2">
    <w:name w:val="WW-Encabezado 2"/>
    <w:next w:val="Normal"/>
    <w:rsid w:val="0095645A"/>
    <w:pPr>
      <w:keepNext/>
      <w:suppressAutoHyphens/>
      <w:autoSpaceDE w:val="0"/>
      <w:spacing w:before="240" w:after="120"/>
    </w:pPr>
    <w:rPr>
      <w:rFonts w:ascii="Arial" w:hAnsi="Arial" w:cs="Arial"/>
      <w:b/>
      <w:bCs/>
      <w:i/>
      <w:iCs/>
      <w:sz w:val="28"/>
      <w:szCs w:val="28"/>
      <w:lang w:eastAsia="zh-CN"/>
    </w:rPr>
  </w:style>
  <w:style w:type="paragraph" w:customStyle="1" w:styleId="prrafodelista13">
    <w:name w:val="prrafodelista1"/>
    <w:basedOn w:val="Normal"/>
    <w:rsid w:val="0095645A"/>
    <w:pPr>
      <w:shd w:val="clear" w:color="auto" w:fill="FFFFFF"/>
      <w:suppressAutoHyphens w:val="0"/>
      <w:autoSpaceDE w:val="0"/>
      <w:autoSpaceDN w:val="0"/>
      <w:ind w:left="708"/>
    </w:pPr>
    <w:rPr>
      <w:rFonts w:ascii="Arial" w:hAnsi="Arial" w:cs="Arial"/>
      <w:sz w:val="20"/>
      <w:szCs w:val="20"/>
      <w:lang w:eastAsia="es-ES"/>
    </w:rPr>
  </w:style>
  <w:style w:type="character" w:customStyle="1" w:styleId="EstiloCorreo4321">
    <w:name w:val="EstiloCorreo4321"/>
    <w:rsid w:val="0095645A"/>
    <w:rPr>
      <w:rFonts w:ascii="Arial" w:hAnsi="Arial" w:cs="Arial"/>
      <w:b w:val="0"/>
      <w:bCs w:val="0"/>
      <w:i w:val="0"/>
      <w:iCs w:val="0"/>
      <w:strike w:val="0"/>
      <w:color w:val="auto"/>
      <w:sz w:val="20"/>
      <w:szCs w:val="20"/>
      <w:u w:val="none"/>
    </w:rPr>
  </w:style>
  <w:style w:type="paragraph" w:customStyle="1" w:styleId="Style42">
    <w:name w:val="Style 4"/>
    <w:basedOn w:val="Normal"/>
    <w:rsid w:val="0095645A"/>
    <w:pPr>
      <w:widowControl w:val="0"/>
      <w:suppressAutoHyphens w:val="0"/>
      <w:autoSpaceDE w:val="0"/>
      <w:autoSpaceDN w:val="0"/>
      <w:adjustRightInd w:val="0"/>
    </w:pPr>
    <w:rPr>
      <w:lang w:eastAsia="es-ES"/>
    </w:rPr>
  </w:style>
  <w:style w:type="paragraph" w:customStyle="1" w:styleId="Style80">
    <w:name w:val="Style 8"/>
    <w:basedOn w:val="Normal"/>
    <w:rsid w:val="0095645A"/>
    <w:pPr>
      <w:widowControl w:val="0"/>
      <w:suppressAutoHyphens w:val="0"/>
      <w:autoSpaceDE w:val="0"/>
      <w:autoSpaceDN w:val="0"/>
      <w:spacing w:before="108" w:line="360" w:lineRule="auto"/>
      <w:jc w:val="both"/>
    </w:pPr>
    <w:rPr>
      <w:rFonts w:ascii="Arial" w:hAnsi="Arial" w:cs="Arial"/>
      <w:sz w:val="21"/>
      <w:szCs w:val="21"/>
      <w:lang w:eastAsia="es-ES"/>
    </w:rPr>
  </w:style>
  <w:style w:type="paragraph" w:customStyle="1" w:styleId="Style7">
    <w:name w:val="Style 7"/>
    <w:basedOn w:val="Normal"/>
    <w:rsid w:val="0095645A"/>
    <w:pPr>
      <w:widowControl w:val="0"/>
      <w:suppressAutoHyphens w:val="0"/>
      <w:autoSpaceDE w:val="0"/>
      <w:autoSpaceDN w:val="0"/>
      <w:adjustRightInd w:val="0"/>
    </w:pPr>
    <w:rPr>
      <w:sz w:val="20"/>
      <w:szCs w:val="20"/>
      <w:lang w:eastAsia="es-ES"/>
    </w:rPr>
  </w:style>
  <w:style w:type="paragraph" w:customStyle="1" w:styleId="Style22">
    <w:name w:val="Style 2"/>
    <w:basedOn w:val="Normal"/>
    <w:rsid w:val="0095645A"/>
    <w:pPr>
      <w:widowControl w:val="0"/>
      <w:suppressAutoHyphens w:val="0"/>
      <w:autoSpaceDE w:val="0"/>
      <w:autoSpaceDN w:val="0"/>
      <w:spacing w:before="108" w:line="384" w:lineRule="exact"/>
      <w:ind w:left="72" w:right="72" w:firstLine="72"/>
      <w:jc w:val="both"/>
    </w:pPr>
    <w:rPr>
      <w:lang w:eastAsia="es-ES"/>
    </w:rPr>
  </w:style>
  <w:style w:type="paragraph" w:customStyle="1" w:styleId="Style210">
    <w:name w:val="Style 21"/>
    <w:basedOn w:val="Normal"/>
    <w:rsid w:val="0095645A"/>
    <w:pPr>
      <w:widowControl w:val="0"/>
      <w:suppressAutoHyphens w:val="0"/>
      <w:autoSpaceDE w:val="0"/>
      <w:autoSpaceDN w:val="0"/>
      <w:adjustRightInd w:val="0"/>
    </w:pPr>
    <w:rPr>
      <w:sz w:val="20"/>
      <w:szCs w:val="20"/>
      <w:lang w:eastAsia="es-ES"/>
    </w:rPr>
  </w:style>
  <w:style w:type="paragraph" w:customStyle="1" w:styleId="Style31">
    <w:name w:val="Style 3"/>
    <w:basedOn w:val="Normal"/>
    <w:rsid w:val="0095645A"/>
    <w:pPr>
      <w:widowControl w:val="0"/>
      <w:suppressAutoHyphens w:val="0"/>
      <w:autoSpaceDE w:val="0"/>
      <w:autoSpaceDN w:val="0"/>
      <w:spacing w:before="108" w:line="360" w:lineRule="auto"/>
      <w:ind w:right="72" w:firstLine="72"/>
      <w:jc w:val="both"/>
    </w:pPr>
    <w:rPr>
      <w:lang w:eastAsia="es-ES"/>
    </w:rPr>
  </w:style>
  <w:style w:type="character" w:customStyle="1" w:styleId="CharacterStyle11">
    <w:name w:val="Character Style 1"/>
    <w:rsid w:val="0095645A"/>
    <w:rPr>
      <w:sz w:val="24"/>
      <w:szCs w:val="24"/>
    </w:rPr>
  </w:style>
  <w:style w:type="paragraph" w:customStyle="1" w:styleId="CharCarCarChar">
    <w:name w:val="Char Car Car Char"/>
    <w:basedOn w:val="Normal"/>
    <w:rsid w:val="0095645A"/>
    <w:pPr>
      <w:suppressAutoHyphens w:val="0"/>
      <w:spacing w:after="160" w:line="240" w:lineRule="exact"/>
    </w:pPr>
    <w:rPr>
      <w:rFonts w:cs="Arial"/>
      <w:sz w:val="20"/>
      <w:szCs w:val="20"/>
      <w:lang w:val="de-CH" w:eastAsia="en-US"/>
    </w:rPr>
  </w:style>
  <w:style w:type="paragraph" w:customStyle="1" w:styleId="Encabezamientodelista">
    <w:name w:val="Encabezamiento de lista"/>
    <w:basedOn w:val="Normal"/>
    <w:next w:val="Contenidodelista"/>
    <w:rsid w:val="0095645A"/>
    <w:pPr>
      <w:widowControl w:val="0"/>
      <w:overflowPunct w:val="0"/>
      <w:autoSpaceDE w:val="0"/>
      <w:autoSpaceDN w:val="0"/>
      <w:adjustRightInd w:val="0"/>
      <w:textAlignment w:val="baseline"/>
    </w:pPr>
    <w:rPr>
      <w:rFonts w:ascii="Nimbus Roman No9 L" w:hAnsi="Nimbus Roman No9 L"/>
      <w:kern w:val="1"/>
      <w:lang w:val="es-CR" w:eastAsia="es-ES"/>
    </w:rPr>
  </w:style>
  <w:style w:type="paragraph" w:customStyle="1" w:styleId="Contenidodelista">
    <w:name w:val="Contenido de lista"/>
    <w:basedOn w:val="Normal"/>
    <w:rsid w:val="0095645A"/>
    <w:pPr>
      <w:widowControl w:val="0"/>
      <w:overflowPunct w:val="0"/>
      <w:autoSpaceDE w:val="0"/>
      <w:autoSpaceDN w:val="0"/>
      <w:adjustRightInd w:val="0"/>
      <w:ind w:left="567"/>
      <w:textAlignment w:val="baseline"/>
    </w:pPr>
    <w:rPr>
      <w:rFonts w:ascii="Nimbus Roman No9 L" w:hAnsi="Nimbus Roman No9 L"/>
      <w:kern w:val="1"/>
      <w:lang w:val="es-CR" w:eastAsia="es-ES"/>
    </w:rPr>
  </w:style>
  <w:style w:type="character" w:customStyle="1" w:styleId="Estilo2Car">
    <w:name w:val="Estilo2 Car"/>
    <w:link w:val="Estilo20"/>
    <w:locked/>
    <w:rsid w:val="0095645A"/>
    <w:rPr>
      <w:rFonts w:ascii="Arial" w:hAnsi="Arial" w:cs="Arial"/>
      <w:color w:val="000000"/>
      <w:sz w:val="24"/>
      <w:szCs w:val="24"/>
      <w:lang w:val="es-CR"/>
    </w:rPr>
  </w:style>
  <w:style w:type="paragraph" w:customStyle="1" w:styleId="NormaldespesTabla">
    <w:name w:val="Normal despúes Tabla"/>
    <w:qFormat/>
    <w:rsid w:val="0095645A"/>
    <w:pPr>
      <w:keepLines/>
      <w:widowControl w:val="0"/>
      <w:autoSpaceDE w:val="0"/>
      <w:autoSpaceDN w:val="0"/>
      <w:adjustRightInd w:val="0"/>
      <w:spacing w:before="120" w:after="120"/>
      <w:ind w:left="851"/>
      <w:jc w:val="both"/>
    </w:pPr>
    <w:rPr>
      <w:rFonts w:ascii="Tahoma" w:hAnsi="Tahoma" w:cs="Tahoma"/>
    </w:rPr>
  </w:style>
  <w:style w:type="paragraph" w:customStyle="1" w:styleId="Ttulo62">
    <w:name w:val="T’tulo 6"/>
    <w:next w:val="Normal"/>
    <w:qFormat/>
    <w:rsid w:val="0095645A"/>
    <w:pPr>
      <w:keepNext/>
      <w:widowControl w:val="0"/>
      <w:autoSpaceDE w:val="0"/>
      <w:autoSpaceDN w:val="0"/>
      <w:adjustRightInd w:val="0"/>
      <w:jc w:val="center"/>
    </w:pPr>
    <w:rPr>
      <w:rFonts w:ascii="Arial" w:hAnsi="Arial" w:cs="Arial"/>
      <w:b/>
      <w:bCs/>
      <w:spacing w:val="-3"/>
      <w:sz w:val="22"/>
      <w:szCs w:val="22"/>
    </w:rPr>
  </w:style>
  <w:style w:type="paragraph" w:customStyle="1" w:styleId="Piedepgina0">
    <w:name w:val="Pie de p‡gina"/>
    <w:qFormat/>
    <w:rsid w:val="0095645A"/>
    <w:pPr>
      <w:widowControl w:val="0"/>
      <w:autoSpaceDE w:val="0"/>
      <w:autoSpaceDN w:val="0"/>
      <w:adjustRightInd w:val="0"/>
    </w:pPr>
    <w:rPr>
      <w:rFonts w:ascii="Arial" w:hAnsi="Arial" w:cs="Arial"/>
      <w:sz w:val="24"/>
      <w:szCs w:val="24"/>
    </w:rPr>
  </w:style>
  <w:style w:type="paragraph" w:customStyle="1" w:styleId="NormalTabla">
    <w:name w:val="Normal Tabla"/>
    <w:qFormat/>
    <w:rsid w:val="0095645A"/>
    <w:pPr>
      <w:keepLines/>
      <w:widowControl w:val="0"/>
      <w:autoSpaceDE w:val="0"/>
      <w:autoSpaceDN w:val="0"/>
      <w:adjustRightInd w:val="0"/>
      <w:spacing w:before="60" w:after="60"/>
    </w:pPr>
    <w:rPr>
      <w:rFonts w:ascii="Tahoma" w:hAnsi="Tahoma" w:cs="Tahoma"/>
      <w:sz w:val="18"/>
      <w:szCs w:val="18"/>
    </w:rPr>
  </w:style>
  <w:style w:type="paragraph" w:customStyle="1" w:styleId="NormalTabla10">
    <w:name w:val="Normal Tabla 10"/>
    <w:qFormat/>
    <w:rsid w:val="0095645A"/>
    <w:pPr>
      <w:keepLines/>
      <w:widowControl w:val="0"/>
      <w:autoSpaceDE w:val="0"/>
      <w:autoSpaceDN w:val="0"/>
      <w:adjustRightInd w:val="0"/>
      <w:spacing w:before="60" w:after="60"/>
    </w:pPr>
    <w:rPr>
      <w:rFonts w:ascii="Tahoma" w:hAnsi="Tahoma" w:cs="Tahoma"/>
    </w:rPr>
  </w:style>
  <w:style w:type="paragraph" w:customStyle="1" w:styleId="Ttulo50">
    <w:name w:val="T’tulo 5"/>
    <w:next w:val="Normal"/>
    <w:qFormat/>
    <w:rsid w:val="0095645A"/>
    <w:pPr>
      <w:keepNext/>
      <w:widowControl w:val="0"/>
      <w:autoSpaceDE w:val="0"/>
      <w:autoSpaceDN w:val="0"/>
      <w:adjustRightInd w:val="0"/>
      <w:jc w:val="both"/>
    </w:pPr>
    <w:rPr>
      <w:rFonts w:ascii="Arial" w:hAnsi="Arial" w:cs="Arial"/>
      <w:b/>
      <w:bCs/>
      <w:spacing w:val="-3"/>
      <w:sz w:val="24"/>
      <w:szCs w:val="24"/>
    </w:rPr>
  </w:style>
  <w:style w:type="paragraph" w:customStyle="1" w:styleId="CapituloNombre">
    <w:name w:val="Capitulo Nombre"/>
    <w:qFormat/>
    <w:rsid w:val="0095645A"/>
    <w:pPr>
      <w:keepLines/>
      <w:widowControl w:val="0"/>
      <w:autoSpaceDE w:val="0"/>
      <w:autoSpaceDN w:val="0"/>
      <w:adjustRightInd w:val="0"/>
      <w:spacing w:before="120" w:after="480"/>
      <w:jc w:val="center"/>
    </w:pPr>
    <w:rPr>
      <w:rFonts w:ascii="Tahoma" w:hAnsi="Tahoma" w:cs="Tahoma"/>
      <w:b/>
      <w:bCs/>
      <w:smallCaps/>
      <w:color w:val="800000"/>
      <w:sz w:val="40"/>
      <w:szCs w:val="40"/>
    </w:rPr>
  </w:style>
  <w:style w:type="paragraph" w:customStyle="1" w:styleId="NormalNegrita">
    <w:name w:val="Normal Negrita"/>
    <w:qFormat/>
    <w:rsid w:val="0095645A"/>
    <w:pPr>
      <w:keepNext/>
      <w:keepLines/>
      <w:widowControl w:val="0"/>
      <w:autoSpaceDE w:val="0"/>
      <w:autoSpaceDN w:val="0"/>
      <w:adjustRightInd w:val="0"/>
      <w:spacing w:before="120" w:after="120"/>
      <w:ind w:left="851"/>
      <w:jc w:val="both"/>
    </w:pPr>
    <w:rPr>
      <w:rFonts w:ascii="Tahoma" w:hAnsi="Tahoma" w:cs="Tahoma"/>
      <w:b/>
      <w:bCs/>
    </w:rPr>
  </w:style>
  <w:style w:type="paragraph" w:customStyle="1" w:styleId="Figura">
    <w:name w:val="Figura"/>
    <w:qFormat/>
    <w:rsid w:val="0095645A"/>
    <w:pPr>
      <w:keepLines/>
      <w:widowControl w:val="0"/>
      <w:autoSpaceDE w:val="0"/>
      <w:autoSpaceDN w:val="0"/>
      <w:adjustRightInd w:val="0"/>
      <w:spacing w:before="60"/>
      <w:ind w:left="851"/>
      <w:jc w:val="center"/>
    </w:pPr>
    <w:rPr>
      <w:rFonts w:ascii="Tahoma" w:hAnsi="Tahoma" w:cs="Tahoma"/>
    </w:rPr>
  </w:style>
  <w:style w:type="character" w:customStyle="1" w:styleId="EstiloCorreo4981">
    <w:name w:val="EstiloCorreo4981"/>
    <w:rsid w:val="0095645A"/>
    <w:rPr>
      <w:rFonts w:ascii="Arial" w:hAnsi="Arial" w:cs="Arial"/>
      <w:color w:val="auto"/>
      <w:sz w:val="20"/>
      <w:szCs w:val="20"/>
    </w:rPr>
  </w:style>
  <w:style w:type="paragraph" w:customStyle="1" w:styleId="Nombredireccininterior">
    <w:name w:val="Nombre dirección interior"/>
    <w:basedOn w:val="Normal"/>
    <w:next w:val="Normal"/>
    <w:rsid w:val="0095645A"/>
    <w:pPr>
      <w:widowControl w:val="0"/>
      <w:spacing w:before="220" w:line="240" w:lineRule="atLeast"/>
      <w:jc w:val="both"/>
    </w:pPr>
    <w:rPr>
      <w:rFonts w:ascii="Arial" w:eastAsia="Batang" w:hAnsi="Arial"/>
      <w:kern w:val="1"/>
      <w:szCs w:val="20"/>
    </w:rPr>
  </w:style>
  <w:style w:type="character" w:customStyle="1" w:styleId="mediumtext">
    <w:name w:val="mediumtext"/>
    <w:rsid w:val="0095645A"/>
  </w:style>
  <w:style w:type="character" w:customStyle="1" w:styleId="eacep">
    <w:name w:val="eacep"/>
    <w:rsid w:val="0095645A"/>
  </w:style>
  <w:style w:type="character" w:customStyle="1" w:styleId="ListParagraphChar">
    <w:name w:val="List Paragraph Char"/>
    <w:link w:val="Prrafodelista10"/>
    <w:rsid w:val="0095645A"/>
    <w:rPr>
      <w:rFonts w:ascii="Arial" w:hAnsi="Arial" w:cs="Arial"/>
      <w:u w:color="000000"/>
    </w:rPr>
  </w:style>
  <w:style w:type="paragraph" w:customStyle="1" w:styleId="Sangranormal1">
    <w:name w:val="Sangría normal1"/>
    <w:basedOn w:val="Normal"/>
    <w:rsid w:val="0095645A"/>
    <w:pPr>
      <w:spacing w:line="360" w:lineRule="auto"/>
      <w:ind w:firstLine="567"/>
      <w:jc w:val="both"/>
    </w:pPr>
    <w:rPr>
      <w:rFonts w:ascii="Courier New" w:hAnsi="Courier New" w:cs="Courier New"/>
      <w:sz w:val="20"/>
      <w:szCs w:val="20"/>
    </w:rPr>
  </w:style>
  <w:style w:type="paragraph" w:customStyle="1" w:styleId="Listaconvietas21">
    <w:name w:val="Lista con viñetas 21"/>
    <w:basedOn w:val="Normal"/>
    <w:rsid w:val="0095645A"/>
    <w:pPr>
      <w:tabs>
        <w:tab w:val="num" w:pos="720"/>
      </w:tabs>
      <w:autoSpaceDE w:val="0"/>
      <w:spacing w:before="60" w:after="60"/>
      <w:ind w:left="1565" w:hanging="357"/>
      <w:jc w:val="both"/>
    </w:pPr>
    <w:rPr>
      <w:rFonts w:ascii="Tahoma" w:hAnsi="Tahoma" w:cs="Tahoma"/>
      <w:sz w:val="20"/>
      <w:szCs w:val="20"/>
    </w:rPr>
  </w:style>
  <w:style w:type="paragraph" w:customStyle="1" w:styleId="Listaconnmeros21">
    <w:name w:val="Lista con números 21"/>
    <w:basedOn w:val="Normal"/>
    <w:rsid w:val="0095645A"/>
    <w:pPr>
      <w:tabs>
        <w:tab w:val="num" w:pos="720"/>
      </w:tabs>
      <w:autoSpaceDE w:val="0"/>
      <w:ind w:left="720" w:hanging="360"/>
    </w:pPr>
    <w:rPr>
      <w:rFonts w:ascii="Arial" w:hAnsi="Arial" w:cs="Arial"/>
    </w:rPr>
  </w:style>
  <w:style w:type="paragraph" w:customStyle="1" w:styleId="Listaconnmeros51">
    <w:name w:val="Lista con números 51"/>
    <w:basedOn w:val="Normal"/>
    <w:rsid w:val="0095645A"/>
    <w:pPr>
      <w:tabs>
        <w:tab w:val="num" w:pos="720"/>
      </w:tabs>
      <w:autoSpaceDE w:val="0"/>
      <w:ind w:left="1492" w:hanging="360"/>
    </w:pPr>
    <w:rPr>
      <w:rFonts w:ascii="Arial" w:hAnsi="Arial" w:cs="Arial"/>
    </w:rPr>
  </w:style>
  <w:style w:type="paragraph" w:customStyle="1" w:styleId="Continuarlista1">
    <w:name w:val="Continuar lista1"/>
    <w:basedOn w:val="Normal"/>
    <w:rsid w:val="0095645A"/>
    <w:pPr>
      <w:autoSpaceDE w:val="0"/>
      <w:spacing w:before="60" w:after="60"/>
      <w:ind w:left="1208"/>
      <w:jc w:val="both"/>
    </w:pPr>
    <w:rPr>
      <w:rFonts w:ascii="Tahoma" w:hAnsi="Tahoma" w:cs="Tahoma"/>
      <w:sz w:val="20"/>
      <w:szCs w:val="20"/>
    </w:rPr>
  </w:style>
  <w:style w:type="paragraph" w:customStyle="1" w:styleId="Textoindependienteprimerasangra21">
    <w:name w:val="Texto independiente primera sangría 21"/>
    <w:basedOn w:val="Normal"/>
    <w:rsid w:val="0095645A"/>
    <w:pPr>
      <w:spacing w:after="120"/>
      <w:ind w:left="283" w:firstLine="210"/>
    </w:pPr>
  </w:style>
  <w:style w:type="paragraph" w:customStyle="1" w:styleId="encabezamientodelista0">
    <w:name w:val="encabezamientodelista"/>
    <w:basedOn w:val="Normal"/>
    <w:rsid w:val="0095645A"/>
    <w:pPr>
      <w:overflowPunct w:val="0"/>
      <w:autoSpaceDE w:val="0"/>
    </w:pPr>
    <w:rPr>
      <w:rFonts w:ascii="Nimbus Roman No9 L" w:hAnsi="Nimbus Roman No9 L" w:cs="Nimbus Roman No9 L"/>
    </w:rPr>
  </w:style>
  <w:style w:type="paragraph" w:customStyle="1" w:styleId="contenidodelista0">
    <w:name w:val="contenidodelista"/>
    <w:basedOn w:val="Normal"/>
    <w:rsid w:val="0095645A"/>
    <w:pPr>
      <w:overflowPunct w:val="0"/>
      <w:autoSpaceDE w:val="0"/>
      <w:ind w:left="567"/>
    </w:pPr>
    <w:rPr>
      <w:rFonts w:ascii="Nimbus Roman No9 L" w:hAnsi="Nimbus Roman No9 L" w:cs="Nimbus Roman No9 L"/>
    </w:rPr>
  </w:style>
  <w:style w:type="paragraph" w:customStyle="1" w:styleId="estilo0">
    <w:name w:val="estilo"/>
    <w:basedOn w:val="Normal"/>
    <w:rsid w:val="0095645A"/>
    <w:pPr>
      <w:autoSpaceDE w:val="0"/>
    </w:pPr>
    <w:rPr>
      <w:rFonts w:ascii="Arial" w:hAnsi="Arial" w:cs="Arial"/>
    </w:rPr>
  </w:style>
  <w:style w:type="paragraph" w:customStyle="1" w:styleId="estilo10">
    <w:name w:val="estilo1"/>
    <w:basedOn w:val="Normal"/>
    <w:rsid w:val="0095645A"/>
    <w:pPr>
      <w:autoSpaceDE w:val="0"/>
    </w:pPr>
    <w:rPr>
      <w:rFonts w:ascii="Arial" w:hAnsi="Arial" w:cs="Arial"/>
    </w:rPr>
  </w:style>
  <w:style w:type="paragraph" w:customStyle="1" w:styleId="ttulo34">
    <w:name w:val="ttulo3"/>
    <w:basedOn w:val="Normal"/>
    <w:rsid w:val="0095645A"/>
    <w:pPr>
      <w:keepNext/>
      <w:autoSpaceDE w:val="0"/>
      <w:jc w:val="both"/>
    </w:pPr>
    <w:rPr>
      <w:rFonts w:ascii="Arial" w:hAnsi="Arial" w:cs="Arial"/>
    </w:rPr>
  </w:style>
  <w:style w:type="paragraph" w:customStyle="1" w:styleId="definitionterm0">
    <w:name w:val="definitionterm"/>
    <w:basedOn w:val="Normal"/>
    <w:rsid w:val="0095645A"/>
    <w:pPr>
      <w:autoSpaceDE w:val="0"/>
    </w:pPr>
    <w:rPr>
      <w:rFonts w:ascii="Arial" w:hAnsi="Arial" w:cs="Arial"/>
    </w:rPr>
  </w:style>
  <w:style w:type="paragraph" w:customStyle="1" w:styleId="definitionlist0">
    <w:name w:val="definitionlist"/>
    <w:basedOn w:val="Normal"/>
    <w:rsid w:val="0095645A"/>
    <w:pPr>
      <w:autoSpaceDE w:val="0"/>
      <w:ind w:left="360"/>
    </w:pPr>
    <w:rPr>
      <w:rFonts w:ascii="Arial" w:hAnsi="Arial" w:cs="Arial"/>
    </w:rPr>
  </w:style>
  <w:style w:type="paragraph" w:customStyle="1" w:styleId="h10">
    <w:name w:val="h1"/>
    <w:basedOn w:val="Normal"/>
    <w:qFormat/>
    <w:rsid w:val="0095645A"/>
    <w:pPr>
      <w:keepNext/>
      <w:autoSpaceDE w:val="0"/>
      <w:spacing w:before="100" w:after="100"/>
    </w:pPr>
    <w:rPr>
      <w:rFonts w:ascii="Arial" w:hAnsi="Arial" w:cs="Arial"/>
      <w:b/>
      <w:bCs/>
      <w:sz w:val="48"/>
      <w:szCs w:val="48"/>
    </w:rPr>
  </w:style>
  <w:style w:type="paragraph" w:customStyle="1" w:styleId="h30">
    <w:name w:val="h3"/>
    <w:basedOn w:val="Normal"/>
    <w:rsid w:val="0095645A"/>
    <w:pPr>
      <w:keepNext/>
      <w:autoSpaceDE w:val="0"/>
      <w:spacing w:before="100" w:after="100"/>
    </w:pPr>
    <w:rPr>
      <w:rFonts w:ascii="Arial" w:hAnsi="Arial" w:cs="Arial"/>
      <w:b/>
      <w:bCs/>
      <w:sz w:val="28"/>
      <w:szCs w:val="28"/>
    </w:rPr>
  </w:style>
  <w:style w:type="paragraph" w:customStyle="1" w:styleId="h60">
    <w:name w:val="h6"/>
    <w:basedOn w:val="Normal"/>
    <w:rsid w:val="0095645A"/>
    <w:pPr>
      <w:keepNext/>
      <w:autoSpaceDE w:val="0"/>
      <w:spacing w:before="100" w:after="100"/>
    </w:pPr>
    <w:rPr>
      <w:rFonts w:ascii="Arial" w:hAnsi="Arial" w:cs="Arial"/>
      <w:b/>
      <w:bCs/>
      <w:sz w:val="16"/>
      <w:szCs w:val="16"/>
    </w:rPr>
  </w:style>
  <w:style w:type="paragraph" w:customStyle="1" w:styleId="address0">
    <w:name w:val="address"/>
    <w:basedOn w:val="Normal"/>
    <w:rsid w:val="0095645A"/>
    <w:pPr>
      <w:autoSpaceDE w:val="0"/>
    </w:pPr>
    <w:rPr>
      <w:rFonts w:ascii="Arial" w:hAnsi="Arial" w:cs="Arial"/>
      <w:i/>
      <w:iCs/>
    </w:rPr>
  </w:style>
  <w:style w:type="paragraph" w:customStyle="1" w:styleId="blockquote0">
    <w:name w:val="blockquote"/>
    <w:basedOn w:val="Normal"/>
    <w:rsid w:val="0095645A"/>
    <w:pPr>
      <w:autoSpaceDE w:val="0"/>
      <w:spacing w:before="100" w:after="100"/>
      <w:ind w:left="360" w:right="360"/>
    </w:pPr>
    <w:rPr>
      <w:rFonts w:ascii="Arial" w:hAnsi="Arial" w:cs="Arial"/>
    </w:rPr>
  </w:style>
  <w:style w:type="paragraph" w:customStyle="1" w:styleId="preformatted0">
    <w:name w:val="preformatted"/>
    <w:basedOn w:val="Normal"/>
    <w:rsid w:val="0095645A"/>
    <w:pPr>
      <w:autoSpaceDE w:val="0"/>
    </w:pPr>
    <w:rPr>
      <w:rFonts w:ascii="Courier New" w:hAnsi="Courier New" w:cs="Courier New"/>
      <w:sz w:val="20"/>
      <w:szCs w:val="20"/>
    </w:rPr>
  </w:style>
  <w:style w:type="paragraph" w:customStyle="1" w:styleId="z-bottomofform0">
    <w:name w:val="z-bottomofform"/>
    <w:basedOn w:val="Normal"/>
    <w:rsid w:val="0095645A"/>
    <w:pPr>
      <w:autoSpaceDE w:val="0"/>
      <w:jc w:val="center"/>
    </w:pPr>
    <w:rPr>
      <w:rFonts w:ascii="Arial" w:hAnsi="Arial" w:cs="Arial"/>
      <w:vanish/>
      <w:sz w:val="16"/>
      <w:szCs w:val="16"/>
    </w:rPr>
  </w:style>
  <w:style w:type="paragraph" w:customStyle="1" w:styleId="z-topofform0">
    <w:name w:val="z-topofform"/>
    <w:basedOn w:val="Normal"/>
    <w:rsid w:val="0095645A"/>
    <w:pPr>
      <w:autoSpaceDE w:val="0"/>
      <w:jc w:val="center"/>
    </w:pPr>
    <w:rPr>
      <w:rFonts w:ascii="Arial" w:hAnsi="Arial" w:cs="Arial"/>
      <w:vanish/>
      <w:sz w:val="16"/>
      <w:szCs w:val="16"/>
    </w:rPr>
  </w:style>
  <w:style w:type="paragraph" w:customStyle="1" w:styleId="normaldespestabla0">
    <w:name w:val="normaldespestabla"/>
    <w:basedOn w:val="Normal"/>
    <w:rsid w:val="0095645A"/>
    <w:pPr>
      <w:autoSpaceDE w:val="0"/>
      <w:spacing w:before="120" w:after="120"/>
      <w:ind w:left="851"/>
      <w:jc w:val="both"/>
    </w:pPr>
    <w:rPr>
      <w:rFonts w:ascii="Tahoma" w:hAnsi="Tahoma" w:cs="Tahoma"/>
      <w:sz w:val="20"/>
      <w:szCs w:val="20"/>
    </w:rPr>
  </w:style>
  <w:style w:type="paragraph" w:customStyle="1" w:styleId="listbulletbold0">
    <w:name w:val="listbulletbold"/>
    <w:basedOn w:val="Normal"/>
    <w:rsid w:val="0095645A"/>
    <w:pPr>
      <w:keepNext/>
      <w:tabs>
        <w:tab w:val="num" w:pos="720"/>
      </w:tabs>
      <w:autoSpaceDE w:val="0"/>
      <w:spacing w:before="60" w:after="60"/>
      <w:ind w:left="714"/>
      <w:jc w:val="both"/>
    </w:pPr>
    <w:rPr>
      <w:rFonts w:ascii="Tahoma" w:hAnsi="Tahoma" w:cs="Tahoma"/>
      <w:b/>
      <w:bCs/>
      <w:sz w:val="20"/>
      <w:szCs w:val="20"/>
    </w:rPr>
  </w:style>
  <w:style w:type="paragraph" w:customStyle="1" w:styleId="ttulo63">
    <w:name w:val="ttulo6"/>
    <w:basedOn w:val="Normal"/>
    <w:rsid w:val="0095645A"/>
    <w:pPr>
      <w:keepNext/>
      <w:autoSpaceDE w:val="0"/>
      <w:jc w:val="center"/>
    </w:pPr>
    <w:rPr>
      <w:rFonts w:ascii="Arial" w:hAnsi="Arial" w:cs="Arial"/>
      <w:b/>
      <w:bCs/>
      <w:spacing w:val="-3"/>
      <w:sz w:val="22"/>
      <w:szCs w:val="22"/>
    </w:rPr>
  </w:style>
  <w:style w:type="paragraph" w:customStyle="1" w:styleId="piedepgina2">
    <w:name w:val="piedepgina"/>
    <w:basedOn w:val="Normal"/>
    <w:rsid w:val="0095645A"/>
    <w:pPr>
      <w:autoSpaceDE w:val="0"/>
    </w:pPr>
    <w:rPr>
      <w:rFonts w:ascii="Arial" w:hAnsi="Arial" w:cs="Arial"/>
    </w:rPr>
  </w:style>
  <w:style w:type="paragraph" w:customStyle="1" w:styleId="normaltabla0">
    <w:name w:val="normaltabla"/>
    <w:basedOn w:val="Normal"/>
    <w:rsid w:val="0095645A"/>
    <w:pPr>
      <w:autoSpaceDE w:val="0"/>
      <w:spacing w:before="60" w:after="60"/>
    </w:pPr>
    <w:rPr>
      <w:rFonts w:ascii="Tahoma" w:hAnsi="Tahoma" w:cs="Tahoma"/>
      <w:sz w:val="18"/>
      <w:szCs w:val="18"/>
    </w:rPr>
  </w:style>
  <w:style w:type="paragraph" w:customStyle="1" w:styleId="normaltabla100">
    <w:name w:val="normaltabla10"/>
    <w:basedOn w:val="Normal"/>
    <w:rsid w:val="0095645A"/>
    <w:pPr>
      <w:autoSpaceDE w:val="0"/>
      <w:spacing w:before="60" w:after="60"/>
    </w:pPr>
    <w:rPr>
      <w:rFonts w:ascii="Tahoma" w:hAnsi="Tahoma" w:cs="Tahoma"/>
      <w:sz w:val="20"/>
      <w:szCs w:val="20"/>
    </w:rPr>
  </w:style>
  <w:style w:type="paragraph" w:customStyle="1" w:styleId="ttulo54">
    <w:name w:val="ttulo5"/>
    <w:basedOn w:val="Normal"/>
    <w:rsid w:val="0095645A"/>
    <w:pPr>
      <w:keepNext/>
      <w:autoSpaceDE w:val="0"/>
      <w:jc w:val="both"/>
    </w:pPr>
    <w:rPr>
      <w:rFonts w:ascii="Arial" w:hAnsi="Arial" w:cs="Arial"/>
      <w:b/>
      <w:bCs/>
      <w:spacing w:val="-3"/>
    </w:rPr>
  </w:style>
  <w:style w:type="paragraph" w:customStyle="1" w:styleId="capitulonombre0">
    <w:name w:val="capitulonombre"/>
    <w:basedOn w:val="Normal"/>
    <w:rsid w:val="0095645A"/>
    <w:pPr>
      <w:autoSpaceDE w:val="0"/>
      <w:spacing w:before="120" w:after="480"/>
      <w:jc w:val="center"/>
    </w:pPr>
    <w:rPr>
      <w:rFonts w:ascii="Tahoma" w:hAnsi="Tahoma" w:cs="Tahoma"/>
      <w:b/>
      <w:bCs/>
      <w:smallCaps/>
      <w:color w:val="800000"/>
      <w:sz w:val="40"/>
      <w:szCs w:val="40"/>
    </w:rPr>
  </w:style>
  <w:style w:type="paragraph" w:customStyle="1" w:styleId="cita0">
    <w:name w:val="cita"/>
    <w:basedOn w:val="Normal"/>
    <w:rsid w:val="0095645A"/>
    <w:pPr>
      <w:autoSpaceDE w:val="0"/>
      <w:ind w:left="851" w:right="851"/>
      <w:jc w:val="both"/>
    </w:pPr>
    <w:rPr>
      <w:rFonts w:ascii="Arial" w:hAnsi="Arial" w:cs="Arial"/>
      <w:b/>
      <w:bCs/>
      <w:spacing w:val="-3"/>
      <w:sz w:val="22"/>
      <w:szCs w:val="22"/>
    </w:rPr>
  </w:style>
  <w:style w:type="paragraph" w:customStyle="1" w:styleId="normalnegrita0">
    <w:name w:val="normalnegrita"/>
    <w:basedOn w:val="Normal"/>
    <w:rsid w:val="0095645A"/>
    <w:pPr>
      <w:keepNext/>
      <w:autoSpaceDE w:val="0"/>
      <w:spacing w:before="120" w:after="120"/>
      <w:ind w:left="851"/>
      <w:jc w:val="both"/>
    </w:pPr>
    <w:rPr>
      <w:rFonts w:ascii="Tahoma" w:hAnsi="Tahoma" w:cs="Tahoma"/>
      <w:b/>
      <w:bCs/>
      <w:sz w:val="20"/>
      <w:szCs w:val="20"/>
    </w:rPr>
  </w:style>
  <w:style w:type="paragraph" w:customStyle="1" w:styleId="figura0">
    <w:name w:val="figura"/>
    <w:basedOn w:val="Normal"/>
    <w:rsid w:val="0095645A"/>
    <w:pPr>
      <w:autoSpaceDE w:val="0"/>
      <w:spacing w:before="60"/>
      <w:ind w:left="851"/>
      <w:jc w:val="center"/>
    </w:pPr>
    <w:rPr>
      <w:rFonts w:ascii="Tahoma" w:hAnsi="Tahoma" w:cs="Tahoma"/>
      <w:sz w:val="20"/>
      <w:szCs w:val="20"/>
    </w:rPr>
  </w:style>
  <w:style w:type="paragraph" w:customStyle="1" w:styleId="listaconvietastabla0">
    <w:name w:val="listaconvietastabla"/>
    <w:basedOn w:val="Normal"/>
    <w:rsid w:val="0095645A"/>
    <w:pPr>
      <w:autoSpaceDE w:val="0"/>
      <w:spacing w:before="60" w:after="60"/>
      <w:ind w:left="1167"/>
      <w:jc w:val="both"/>
    </w:pPr>
    <w:rPr>
      <w:rFonts w:ascii="Tahoma" w:hAnsi="Tahoma" w:cs="Tahoma"/>
      <w:sz w:val="20"/>
      <w:szCs w:val="20"/>
    </w:rPr>
  </w:style>
  <w:style w:type="paragraph" w:customStyle="1" w:styleId="nombredireccininterior0">
    <w:name w:val="nombredireccininterior"/>
    <w:basedOn w:val="Normal"/>
    <w:rsid w:val="0095645A"/>
    <w:pPr>
      <w:spacing w:before="220" w:line="240" w:lineRule="atLeast"/>
      <w:jc w:val="both"/>
    </w:pPr>
    <w:rPr>
      <w:rFonts w:ascii="Arial" w:hAnsi="Arial" w:cs="Arial"/>
    </w:rPr>
  </w:style>
  <w:style w:type="paragraph" w:customStyle="1" w:styleId="carcarcarcarcarcar0">
    <w:name w:val="carcarcarcarcarcar"/>
    <w:basedOn w:val="Normal"/>
    <w:rsid w:val="0095645A"/>
    <w:pPr>
      <w:spacing w:after="160" w:line="240" w:lineRule="atLeast"/>
    </w:pPr>
    <w:rPr>
      <w:rFonts w:ascii="Verdana" w:hAnsi="Verdana" w:cs="Verdana"/>
      <w:sz w:val="20"/>
      <w:szCs w:val="20"/>
    </w:rPr>
  </w:style>
  <w:style w:type="paragraph" w:customStyle="1" w:styleId="nospacing">
    <w:name w:val="nospacing"/>
    <w:basedOn w:val="Normal"/>
    <w:rsid w:val="0095645A"/>
    <w:pPr>
      <w:autoSpaceDE w:val="0"/>
    </w:pPr>
    <w:rPr>
      <w:rFonts w:ascii="Calibri" w:hAnsi="Calibri" w:cs="Calibri"/>
      <w:sz w:val="22"/>
      <w:szCs w:val="22"/>
    </w:rPr>
  </w:style>
  <w:style w:type="paragraph" w:customStyle="1" w:styleId="textoindependiente210">
    <w:name w:val="textoindependiente21"/>
    <w:basedOn w:val="Normal"/>
    <w:rsid w:val="0095645A"/>
    <w:pPr>
      <w:jc w:val="both"/>
    </w:pPr>
    <w:rPr>
      <w:rFonts w:ascii="Verdana" w:hAnsi="Verdana" w:cs="Verdana"/>
      <w:i/>
      <w:iCs/>
    </w:rPr>
  </w:style>
  <w:style w:type="paragraph" w:customStyle="1" w:styleId="textoindependiente310">
    <w:name w:val="textoindependiente31"/>
    <w:basedOn w:val="Normal"/>
    <w:rsid w:val="0095645A"/>
    <w:pPr>
      <w:autoSpaceDE w:val="0"/>
      <w:jc w:val="both"/>
    </w:pPr>
    <w:rPr>
      <w:rFonts w:ascii="Arial" w:hAnsi="Arial" w:cs="Arial"/>
    </w:rPr>
  </w:style>
  <w:style w:type="paragraph" w:customStyle="1" w:styleId="sangra2detindependiente100">
    <w:name w:val="sangra2detindependiente10"/>
    <w:basedOn w:val="Normal"/>
    <w:rsid w:val="0095645A"/>
    <w:pPr>
      <w:ind w:firstLine="709"/>
      <w:jc w:val="both"/>
    </w:pPr>
    <w:rPr>
      <w:rFonts w:ascii="Trebuchet MS" w:hAnsi="Trebuchet MS" w:cs="Trebuchet MS"/>
      <w:color w:val="000000"/>
      <w:sz w:val="22"/>
      <w:szCs w:val="22"/>
    </w:rPr>
  </w:style>
  <w:style w:type="paragraph" w:customStyle="1" w:styleId="preformattedtext">
    <w:name w:val="preformattedtext"/>
    <w:basedOn w:val="Normal"/>
    <w:rsid w:val="0095645A"/>
    <w:pPr>
      <w:autoSpaceDE w:val="0"/>
    </w:pPr>
    <w:rPr>
      <w:rFonts w:ascii="Courier New" w:hAnsi="Courier New" w:cs="Courier New"/>
      <w:sz w:val="20"/>
      <w:szCs w:val="20"/>
    </w:rPr>
  </w:style>
  <w:style w:type="paragraph" w:customStyle="1" w:styleId="bodytext2200">
    <w:name w:val="bodytext220"/>
    <w:basedOn w:val="Normal"/>
    <w:rsid w:val="0095645A"/>
    <w:pPr>
      <w:jc w:val="both"/>
    </w:pPr>
  </w:style>
  <w:style w:type="paragraph" w:customStyle="1" w:styleId="cont">
    <w:name w:val="cont"/>
    <w:basedOn w:val="Normal"/>
    <w:rsid w:val="0095645A"/>
    <w:pPr>
      <w:spacing w:before="280" w:after="280"/>
    </w:pPr>
    <w:rPr>
      <w:color w:val="000000"/>
      <w:sz w:val="20"/>
      <w:szCs w:val="20"/>
    </w:rPr>
  </w:style>
  <w:style w:type="paragraph" w:customStyle="1" w:styleId="normalprueba100">
    <w:name w:val="normalprueba10"/>
    <w:basedOn w:val="Normal"/>
    <w:rsid w:val="0095645A"/>
    <w:rPr>
      <w:sz w:val="28"/>
      <w:szCs w:val="28"/>
    </w:rPr>
  </w:style>
  <w:style w:type="paragraph" w:customStyle="1" w:styleId="charchar000">
    <w:name w:val="charchar00"/>
    <w:basedOn w:val="Normal"/>
    <w:rsid w:val="0095645A"/>
    <w:pPr>
      <w:spacing w:after="160" w:line="240" w:lineRule="atLeast"/>
    </w:pPr>
    <w:rPr>
      <w:rFonts w:ascii="Verdana" w:hAnsi="Verdana" w:cs="Verdana"/>
      <w:sz w:val="20"/>
      <w:szCs w:val="20"/>
    </w:rPr>
  </w:style>
  <w:style w:type="paragraph" w:customStyle="1" w:styleId="carcarcarcar0">
    <w:name w:val="carcarcarcar"/>
    <w:basedOn w:val="Normal"/>
    <w:rsid w:val="0095645A"/>
    <w:pPr>
      <w:spacing w:after="160" w:line="240" w:lineRule="atLeast"/>
    </w:pPr>
    <w:rPr>
      <w:rFonts w:ascii="Verdana" w:hAnsi="Verdana" w:cs="Verdana"/>
      <w:sz w:val="20"/>
      <w:szCs w:val="20"/>
    </w:rPr>
  </w:style>
  <w:style w:type="paragraph" w:customStyle="1" w:styleId="derechos">
    <w:name w:val="derechos"/>
    <w:basedOn w:val="Normal"/>
    <w:rsid w:val="0095645A"/>
    <w:pPr>
      <w:autoSpaceDE w:val="0"/>
      <w:jc w:val="both"/>
    </w:pPr>
    <w:rPr>
      <w:rFonts w:ascii="Helvetica" w:hAnsi="Helvetica" w:cs="Helvetica"/>
      <w:sz w:val="20"/>
      <w:szCs w:val="20"/>
    </w:rPr>
  </w:style>
  <w:style w:type="paragraph" w:customStyle="1" w:styleId="car000">
    <w:name w:val="car00"/>
    <w:basedOn w:val="Normal"/>
    <w:rsid w:val="0095645A"/>
    <w:pPr>
      <w:spacing w:after="160" w:line="240" w:lineRule="atLeast"/>
    </w:pPr>
    <w:rPr>
      <w:rFonts w:ascii="Verdana" w:hAnsi="Verdana" w:cs="Verdana"/>
      <w:sz w:val="20"/>
      <w:szCs w:val="20"/>
    </w:rPr>
  </w:style>
  <w:style w:type="paragraph" w:customStyle="1" w:styleId="cuadrculamedia1-nfasis21">
    <w:name w:val="cuadrculamedia1-nfasis21"/>
    <w:basedOn w:val="Normal"/>
    <w:rsid w:val="0095645A"/>
    <w:pPr>
      <w:ind w:left="720"/>
      <w:jc w:val="both"/>
    </w:pPr>
  </w:style>
  <w:style w:type="paragraph" w:customStyle="1" w:styleId="colorfullist-accent11">
    <w:name w:val="colorfullist-accent11"/>
    <w:basedOn w:val="Normal"/>
    <w:rsid w:val="0095645A"/>
    <w:pPr>
      <w:ind w:left="720"/>
      <w:jc w:val="both"/>
    </w:pPr>
  </w:style>
  <w:style w:type="paragraph" w:customStyle="1" w:styleId="cuadrculamedia1-nfasis22">
    <w:name w:val="cuadrculamedia1-nfasis22"/>
    <w:basedOn w:val="Normal"/>
    <w:rsid w:val="0095645A"/>
    <w:pPr>
      <w:ind w:left="708"/>
      <w:jc w:val="both"/>
    </w:pPr>
  </w:style>
  <w:style w:type="paragraph" w:customStyle="1" w:styleId="cuadrculamedia1-nfasis2">
    <w:name w:val="cuadrculamedia1-nfasis2"/>
    <w:basedOn w:val="Normal"/>
    <w:rsid w:val="0095645A"/>
    <w:pPr>
      <w:spacing w:after="160" w:line="252" w:lineRule="auto"/>
      <w:ind w:left="720"/>
    </w:pPr>
    <w:rPr>
      <w:rFonts w:ascii="Calibri" w:hAnsi="Calibri" w:cs="Calibri"/>
      <w:sz w:val="22"/>
      <w:szCs w:val="22"/>
    </w:rPr>
  </w:style>
  <w:style w:type="paragraph" w:customStyle="1" w:styleId="listavistosa-nfasis1">
    <w:name w:val="listavistosa-nfasis1"/>
    <w:basedOn w:val="Normal"/>
    <w:rsid w:val="0095645A"/>
    <w:pPr>
      <w:ind w:left="708"/>
      <w:jc w:val="both"/>
    </w:pPr>
  </w:style>
  <w:style w:type="paragraph" w:customStyle="1" w:styleId="estilottulo3arial11ptinterlineado15lneas">
    <w:name w:val="estilottulo3arial11ptinterlineado15lneas"/>
    <w:basedOn w:val="Normal"/>
    <w:rsid w:val="0095645A"/>
    <w:pPr>
      <w:keepNext/>
      <w:overflowPunct w:val="0"/>
      <w:autoSpaceDE w:val="0"/>
      <w:spacing w:line="360" w:lineRule="auto"/>
      <w:ind w:left="2160"/>
      <w:jc w:val="both"/>
    </w:pPr>
    <w:rPr>
      <w:rFonts w:ascii="Arial" w:hAnsi="Arial" w:cs="Arial"/>
      <w:b/>
      <w:bCs/>
      <w:i/>
      <w:iCs/>
    </w:rPr>
  </w:style>
  <w:style w:type="paragraph" w:customStyle="1" w:styleId="prrafodelista000">
    <w:name w:val="prrafodelista00"/>
    <w:basedOn w:val="Normal"/>
    <w:rsid w:val="0095645A"/>
    <w:pPr>
      <w:ind w:left="708"/>
    </w:pPr>
    <w:rPr>
      <w:rFonts w:ascii="MS Sans Serif" w:hAnsi="MS Sans Serif" w:cs="MS Sans Serif"/>
    </w:rPr>
  </w:style>
  <w:style w:type="paragraph" w:customStyle="1" w:styleId="cuadrculamedia1-nfasis21cxsplast">
    <w:name w:val="cuadrculamedia1-nfasis21cxsplast"/>
    <w:basedOn w:val="Normal"/>
    <w:rsid w:val="0095645A"/>
    <w:pPr>
      <w:spacing w:before="280" w:after="280"/>
    </w:pPr>
  </w:style>
  <w:style w:type="paragraph" w:customStyle="1" w:styleId="listavistosa-nfasis1cxspmiddle">
    <w:name w:val="listavistosa-nfasis1cxspmiddle"/>
    <w:basedOn w:val="Normal"/>
    <w:rsid w:val="0095645A"/>
    <w:pPr>
      <w:spacing w:before="280" w:after="280"/>
    </w:pPr>
  </w:style>
  <w:style w:type="paragraph" w:customStyle="1" w:styleId="listavistosa-nfasis1cxsplast">
    <w:name w:val="listavistosa-nfasis1cxsplast"/>
    <w:basedOn w:val="Normal"/>
    <w:rsid w:val="0095645A"/>
    <w:pPr>
      <w:spacing w:before="280" w:after="280"/>
    </w:pPr>
  </w:style>
  <w:style w:type="paragraph" w:customStyle="1" w:styleId="prrafodelistacxspmiddle">
    <w:name w:val="prrafodelistacxspmiddle"/>
    <w:basedOn w:val="Normal"/>
    <w:rsid w:val="0095645A"/>
    <w:pPr>
      <w:spacing w:before="280" w:after="280"/>
    </w:pPr>
  </w:style>
  <w:style w:type="paragraph" w:customStyle="1" w:styleId="prrafodelistacxsplast">
    <w:name w:val="prrafodelistacxsplast"/>
    <w:basedOn w:val="Normal"/>
    <w:rsid w:val="0095645A"/>
    <w:pPr>
      <w:spacing w:before="280" w:after="280"/>
    </w:pPr>
  </w:style>
  <w:style w:type="paragraph" w:customStyle="1" w:styleId="textoindependiente2100">
    <w:name w:val="textoindependiente210"/>
    <w:basedOn w:val="Normal"/>
    <w:rsid w:val="0095645A"/>
    <w:pPr>
      <w:jc w:val="both"/>
    </w:pPr>
    <w:rPr>
      <w:rFonts w:ascii="Verdana" w:hAnsi="Verdana" w:cs="Verdana"/>
      <w:i/>
      <w:iCs/>
    </w:rPr>
  </w:style>
  <w:style w:type="paragraph" w:customStyle="1" w:styleId="estilo200">
    <w:name w:val="estilo20"/>
    <w:basedOn w:val="Normal"/>
    <w:rsid w:val="0095645A"/>
    <w:pPr>
      <w:tabs>
        <w:tab w:val="num" w:pos="720"/>
      </w:tabs>
      <w:autoSpaceDE w:val="0"/>
      <w:spacing w:before="100" w:after="100"/>
    </w:pPr>
    <w:rPr>
      <w:rFonts w:ascii="Verdana" w:hAnsi="Verdana" w:cs="Verdana"/>
    </w:rPr>
  </w:style>
  <w:style w:type="paragraph" w:customStyle="1" w:styleId="artculo">
    <w:name w:val="artculo"/>
    <w:basedOn w:val="Normal"/>
    <w:rsid w:val="0095645A"/>
    <w:pPr>
      <w:jc w:val="center"/>
    </w:pPr>
    <w:rPr>
      <w:b/>
      <w:bCs/>
      <w:u w:val="single"/>
    </w:rPr>
  </w:style>
  <w:style w:type="paragraph" w:customStyle="1" w:styleId="heading51">
    <w:name w:val="heading51"/>
    <w:basedOn w:val="Normal"/>
    <w:rsid w:val="0095645A"/>
    <w:pPr>
      <w:keepNext/>
      <w:shd w:val="clear" w:color="auto" w:fill="FFFFFF"/>
      <w:jc w:val="center"/>
    </w:pPr>
    <w:rPr>
      <w:rFonts w:ascii="Arial" w:hAnsi="Arial" w:cs="Arial"/>
      <w:b/>
      <w:bCs/>
      <w:i/>
      <w:iCs/>
      <w:sz w:val="26"/>
      <w:szCs w:val="26"/>
      <w:u w:val="single"/>
    </w:rPr>
  </w:style>
  <w:style w:type="paragraph" w:customStyle="1" w:styleId="msonormalcxspmiddle">
    <w:name w:val="msonormalcxspmiddle"/>
    <w:basedOn w:val="Normal"/>
    <w:rsid w:val="0095645A"/>
    <w:pPr>
      <w:spacing w:before="100" w:after="100"/>
    </w:pPr>
  </w:style>
  <w:style w:type="paragraph" w:customStyle="1" w:styleId="cuerpodetexto0">
    <w:name w:val="cuerpodetexto"/>
    <w:basedOn w:val="Normal"/>
    <w:rsid w:val="0095645A"/>
    <w:pPr>
      <w:autoSpaceDE w:val="0"/>
      <w:spacing w:after="120"/>
    </w:pPr>
  </w:style>
  <w:style w:type="paragraph" w:customStyle="1" w:styleId="predeterminado00">
    <w:name w:val="predeterminado0"/>
    <w:basedOn w:val="Normal"/>
    <w:rsid w:val="0095645A"/>
    <w:pPr>
      <w:autoSpaceDE w:val="0"/>
    </w:pPr>
    <w:rPr>
      <w:rFonts w:ascii="Trebuchet MS" w:hAnsi="Trebuchet MS" w:cs="Trebuchet MS"/>
      <w:color w:val="000000"/>
      <w:sz w:val="48"/>
      <w:szCs w:val="48"/>
    </w:rPr>
  </w:style>
  <w:style w:type="paragraph" w:customStyle="1" w:styleId="normal20">
    <w:name w:val="normal2"/>
    <w:basedOn w:val="Normal"/>
    <w:rsid w:val="0095645A"/>
  </w:style>
  <w:style w:type="paragraph" w:customStyle="1" w:styleId="ww-predeterminado2">
    <w:name w:val="ww-predeterminado"/>
    <w:basedOn w:val="Normal"/>
    <w:rsid w:val="0095645A"/>
    <w:pPr>
      <w:autoSpaceDE w:val="0"/>
    </w:pPr>
    <w:rPr>
      <w:rFonts w:ascii="Arial" w:hAnsi="Arial" w:cs="Arial"/>
    </w:rPr>
  </w:style>
  <w:style w:type="paragraph" w:customStyle="1" w:styleId="ww-predeterminado10">
    <w:name w:val="ww-predeterminado1"/>
    <w:basedOn w:val="Normal"/>
    <w:rsid w:val="0095645A"/>
    <w:pPr>
      <w:autoSpaceDE w:val="0"/>
    </w:pPr>
  </w:style>
  <w:style w:type="paragraph" w:customStyle="1" w:styleId="sinespaciado0">
    <w:name w:val="sinespaciado"/>
    <w:basedOn w:val="Normal"/>
    <w:rsid w:val="0095645A"/>
    <w:pPr>
      <w:autoSpaceDE w:val="0"/>
    </w:pPr>
  </w:style>
  <w:style w:type="paragraph" w:customStyle="1" w:styleId="titulos">
    <w:name w:val="titulos"/>
    <w:basedOn w:val="Normal"/>
    <w:rsid w:val="0095645A"/>
    <w:pPr>
      <w:spacing w:before="280" w:after="280"/>
    </w:pPr>
    <w:rPr>
      <w:rFonts w:ascii="Arial Black" w:hAnsi="Arial Black" w:cs="Arial Black"/>
      <w:color w:val="666666"/>
      <w:sz w:val="21"/>
      <w:szCs w:val="21"/>
    </w:rPr>
  </w:style>
  <w:style w:type="paragraph" w:customStyle="1" w:styleId="listparagraph00">
    <w:name w:val="listparagraph00"/>
    <w:basedOn w:val="Normal"/>
    <w:rsid w:val="0095645A"/>
    <w:pPr>
      <w:spacing w:before="280" w:after="280"/>
    </w:pPr>
  </w:style>
  <w:style w:type="paragraph" w:customStyle="1" w:styleId="sangra3detindependiente100">
    <w:name w:val="sangra3detindependiente10"/>
    <w:basedOn w:val="Normal"/>
    <w:rsid w:val="0095645A"/>
    <w:pPr>
      <w:spacing w:after="120"/>
      <w:ind w:left="283"/>
    </w:pPr>
    <w:rPr>
      <w:sz w:val="16"/>
      <w:szCs w:val="16"/>
    </w:rPr>
  </w:style>
  <w:style w:type="paragraph" w:customStyle="1" w:styleId="nospacing0">
    <w:name w:val="nospacing0"/>
    <w:basedOn w:val="Normal"/>
    <w:rsid w:val="0095645A"/>
    <w:rPr>
      <w:rFonts w:ascii="Calibri" w:hAnsi="Calibri" w:cs="Calibri"/>
      <w:sz w:val="22"/>
      <w:szCs w:val="22"/>
    </w:rPr>
  </w:style>
  <w:style w:type="paragraph" w:customStyle="1" w:styleId="estilopredeterminado0">
    <w:name w:val="estilopredeterminado"/>
    <w:basedOn w:val="Normal"/>
    <w:rsid w:val="0095645A"/>
    <w:pPr>
      <w:spacing w:after="200" w:line="276" w:lineRule="auto"/>
    </w:pPr>
    <w:rPr>
      <w:rFonts w:ascii="Calibri" w:hAnsi="Calibri" w:cs="Calibri"/>
      <w:color w:val="00000A"/>
      <w:sz w:val="22"/>
      <w:szCs w:val="22"/>
    </w:rPr>
  </w:style>
  <w:style w:type="character" w:customStyle="1" w:styleId="NoSpacingChar">
    <w:name w:val="No Spacing Char"/>
    <w:link w:val="Sinespaciado1"/>
    <w:locked/>
    <w:rsid w:val="0095645A"/>
    <w:rPr>
      <w:rFonts w:ascii="Calibri" w:hAnsi="Calibri"/>
      <w:sz w:val="22"/>
      <w:szCs w:val="22"/>
      <w:lang w:val="en-US" w:eastAsia="en-US"/>
    </w:rPr>
  </w:style>
  <w:style w:type="paragraph" w:customStyle="1" w:styleId="pblicodot">
    <w:name w:val="público.dot"/>
    <w:basedOn w:val="Normal"/>
    <w:rsid w:val="0095645A"/>
    <w:pPr>
      <w:suppressAutoHyphens w:val="0"/>
      <w:spacing w:line="480" w:lineRule="auto"/>
      <w:jc w:val="both"/>
    </w:pPr>
    <w:rPr>
      <w:rFonts w:ascii="Courier 10cpi" w:hAnsi="Courier 10cpi" w:cs="Courier 10cpi"/>
      <w:lang w:val="es-CR" w:eastAsia="en-US"/>
    </w:rPr>
  </w:style>
  <w:style w:type="paragraph" w:customStyle="1" w:styleId="Textopredeterminado">
    <w:name w:val="Texto predeterminado"/>
    <w:basedOn w:val="Normal"/>
    <w:rsid w:val="0095645A"/>
    <w:pPr>
      <w:suppressAutoHyphens w:val="0"/>
    </w:pPr>
    <w:rPr>
      <w:color w:val="000000"/>
      <w:kern w:val="28"/>
      <w:lang w:val="es-CR" w:eastAsia="es-CR"/>
    </w:rPr>
  </w:style>
  <w:style w:type="paragraph" w:customStyle="1" w:styleId="Char">
    <w:name w:val="Char"/>
    <w:basedOn w:val="Normal"/>
    <w:rsid w:val="0095645A"/>
    <w:pPr>
      <w:suppressAutoHyphens w:val="0"/>
      <w:jc w:val="both"/>
    </w:pPr>
    <w:rPr>
      <w:rFonts w:ascii="Arial" w:hAnsi="Arial" w:cs="Arial"/>
      <w:lang w:val="pl-PL" w:eastAsia="pl-PL"/>
    </w:rPr>
  </w:style>
  <w:style w:type="paragraph" w:customStyle="1" w:styleId="Estilo4">
    <w:name w:val="Estilo4"/>
    <w:next w:val="Normal"/>
    <w:rsid w:val="0095645A"/>
    <w:pPr>
      <w:widowControl w:val="0"/>
      <w:autoSpaceDE w:val="0"/>
      <w:autoSpaceDN w:val="0"/>
      <w:adjustRightInd w:val="0"/>
    </w:pPr>
    <w:rPr>
      <w:rFonts w:ascii="Arial" w:eastAsia="MS Mincho" w:hAnsi="Arial"/>
      <w:color w:val="000000"/>
      <w:sz w:val="24"/>
      <w:szCs w:val="24"/>
      <w:shd w:val="clear" w:color="auto" w:fill="FFFFFF"/>
      <w:lang w:eastAsia="ja-JP"/>
    </w:rPr>
  </w:style>
  <w:style w:type="paragraph" w:customStyle="1" w:styleId="blocktext0">
    <w:name w:val="blocktext0"/>
    <w:rsid w:val="0095645A"/>
    <w:pPr>
      <w:widowControl w:val="0"/>
      <w:autoSpaceDE w:val="0"/>
      <w:autoSpaceDN w:val="0"/>
      <w:adjustRightInd w:val="0"/>
      <w:ind w:left="680" w:right="680"/>
      <w:jc w:val="both"/>
    </w:pPr>
    <w:rPr>
      <w:rFonts w:ascii="Arial" w:eastAsia="MS Mincho" w:hAnsi="Arial" w:cs="Arial"/>
      <w:sz w:val="24"/>
      <w:szCs w:val="24"/>
      <w:lang w:eastAsia="ja-JP"/>
    </w:rPr>
  </w:style>
  <w:style w:type="paragraph" w:customStyle="1" w:styleId="Prder1">
    <w:name w:val="PÀ_Àr. der. 1"/>
    <w:rsid w:val="0095645A"/>
    <w:pPr>
      <w:widowControl w:val="0"/>
      <w:autoSpaceDE w:val="0"/>
      <w:autoSpaceDN w:val="0"/>
      <w:adjustRightInd w:val="0"/>
      <w:ind w:left="720" w:hanging="208"/>
    </w:pPr>
    <w:rPr>
      <w:rFonts w:ascii="Courier New" w:eastAsia="MS Mincho" w:hAnsi="Courier New" w:cs="Courier New"/>
      <w:color w:val="000000"/>
      <w:sz w:val="24"/>
      <w:szCs w:val="24"/>
      <w:shd w:val="clear" w:color="auto" w:fill="FFFFFF"/>
      <w:lang w:eastAsia="ja-JP"/>
    </w:rPr>
  </w:style>
  <w:style w:type="paragraph" w:customStyle="1" w:styleId="Prder2">
    <w:name w:val="PÀ_Àr. der. 2"/>
    <w:rsid w:val="0095645A"/>
    <w:pPr>
      <w:widowControl w:val="0"/>
      <w:autoSpaceDE w:val="0"/>
      <w:autoSpaceDN w:val="0"/>
      <w:adjustRightInd w:val="0"/>
      <w:ind w:left="1440" w:hanging="294"/>
    </w:pPr>
    <w:rPr>
      <w:rFonts w:ascii="Courier New" w:eastAsia="MS Mincho" w:hAnsi="Courier New" w:cs="Courier New"/>
      <w:color w:val="000000"/>
      <w:sz w:val="24"/>
      <w:szCs w:val="24"/>
      <w:shd w:val="clear" w:color="auto" w:fill="FFFFFF"/>
      <w:lang w:eastAsia="ja-JP"/>
    </w:rPr>
  </w:style>
  <w:style w:type="paragraph" w:customStyle="1" w:styleId="Prder3">
    <w:name w:val="PÀ_Àr. der. 3"/>
    <w:rsid w:val="0095645A"/>
    <w:pPr>
      <w:widowControl w:val="0"/>
      <w:autoSpaceDE w:val="0"/>
      <w:autoSpaceDN w:val="0"/>
      <w:adjustRightInd w:val="0"/>
      <w:ind w:left="2160" w:hanging="236"/>
    </w:pPr>
    <w:rPr>
      <w:rFonts w:ascii="Courier New" w:eastAsia="MS Mincho" w:hAnsi="Courier New" w:cs="Courier New"/>
      <w:color w:val="000000"/>
      <w:sz w:val="24"/>
      <w:szCs w:val="24"/>
      <w:shd w:val="clear" w:color="auto" w:fill="FFFFFF"/>
      <w:lang w:eastAsia="ja-JP"/>
    </w:rPr>
  </w:style>
  <w:style w:type="paragraph" w:customStyle="1" w:styleId="Prder4">
    <w:name w:val="PÀ_Àr. der. 4"/>
    <w:rsid w:val="0095645A"/>
    <w:pPr>
      <w:widowControl w:val="0"/>
      <w:autoSpaceDE w:val="0"/>
      <w:autoSpaceDN w:val="0"/>
      <w:adjustRightInd w:val="0"/>
      <w:ind w:left="2880" w:hanging="236"/>
    </w:pPr>
    <w:rPr>
      <w:rFonts w:ascii="Courier New" w:eastAsia="MS Mincho" w:hAnsi="Courier New" w:cs="Courier New"/>
      <w:color w:val="000000"/>
      <w:sz w:val="24"/>
      <w:szCs w:val="24"/>
      <w:shd w:val="clear" w:color="auto" w:fill="FFFFFF"/>
      <w:lang w:eastAsia="ja-JP"/>
    </w:rPr>
  </w:style>
  <w:style w:type="paragraph" w:customStyle="1" w:styleId="Documento1">
    <w:name w:val="Documento 1"/>
    <w:rsid w:val="0095645A"/>
    <w:pPr>
      <w:keepNext/>
      <w:keepLines/>
      <w:widowControl w:val="0"/>
      <w:autoSpaceDE w:val="0"/>
      <w:autoSpaceDN w:val="0"/>
      <w:adjustRightInd w:val="0"/>
    </w:pPr>
    <w:rPr>
      <w:rFonts w:ascii="Courier New" w:eastAsia="MS Mincho" w:hAnsi="Courier New" w:cs="Courier New"/>
      <w:color w:val="000000"/>
      <w:sz w:val="24"/>
      <w:szCs w:val="24"/>
      <w:shd w:val="clear" w:color="auto" w:fill="FFFFFF"/>
      <w:lang w:eastAsia="ja-JP"/>
    </w:rPr>
  </w:style>
  <w:style w:type="paragraph" w:customStyle="1" w:styleId="Prder5">
    <w:name w:val="PÀ_Àr. der. 5"/>
    <w:rsid w:val="0095645A"/>
    <w:pPr>
      <w:widowControl w:val="0"/>
      <w:autoSpaceDE w:val="0"/>
      <w:autoSpaceDN w:val="0"/>
      <w:adjustRightInd w:val="0"/>
      <w:ind w:left="3600" w:hanging="356"/>
    </w:pPr>
    <w:rPr>
      <w:rFonts w:ascii="Courier New" w:eastAsia="MS Mincho" w:hAnsi="Courier New" w:cs="Courier New"/>
      <w:color w:val="000000"/>
      <w:sz w:val="24"/>
      <w:szCs w:val="24"/>
      <w:shd w:val="clear" w:color="auto" w:fill="FFFFFF"/>
      <w:lang w:eastAsia="ja-JP"/>
    </w:rPr>
  </w:style>
  <w:style w:type="paragraph" w:customStyle="1" w:styleId="Prder6">
    <w:name w:val="PÀ_Àr. der. 6"/>
    <w:rsid w:val="0095645A"/>
    <w:pPr>
      <w:widowControl w:val="0"/>
      <w:autoSpaceDE w:val="0"/>
      <w:autoSpaceDN w:val="0"/>
      <w:adjustRightInd w:val="0"/>
      <w:ind w:left="4320" w:hanging="356"/>
    </w:pPr>
    <w:rPr>
      <w:rFonts w:ascii="Courier New" w:eastAsia="MS Mincho" w:hAnsi="Courier New" w:cs="Courier New"/>
      <w:color w:val="000000"/>
      <w:sz w:val="24"/>
      <w:szCs w:val="24"/>
      <w:shd w:val="clear" w:color="auto" w:fill="FFFFFF"/>
      <w:lang w:eastAsia="ja-JP"/>
    </w:rPr>
  </w:style>
  <w:style w:type="paragraph" w:customStyle="1" w:styleId="Prder7">
    <w:name w:val="PÀ_Àr. der. 7"/>
    <w:rsid w:val="0095645A"/>
    <w:pPr>
      <w:widowControl w:val="0"/>
      <w:autoSpaceDE w:val="0"/>
      <w:autoSpaceDN w:val="0"/>
      <w:adjustRightInd w:val="0"/>
      <w:ind w:left="5040" w:hanging="222"/>
    </w:pPr>
    <w:rPr>
      <w:rFonts w:ascii="Courier New" w:eastAsia="MS Mincho" w:hAnsi="Courier New" w:cs="Courier New"/>
      <w:color w:val="000000"/>
      <w:sz w:val="24"/>
      <w:szCs w:val="24"/>
      <w:shd w:val="clear" w:color="auto" w:fill="FFFFFF"/>
      <w:lang w:eastAsia="ja-JP"/>
    </w:rPr>
  </w:style>
  <w:style w:type="paragraph" w:customStyle="1" w:styleId="Prder8">
    <w:name w:val="PÀ_Àr. der. 8"/>
    <w:rsid w:val="0095645A"/>
    <w:pPr>
      <w:widowControl w:val="0"/>
      <w:autoSpaceDE w:val="0"/>
      <w:autoSpaceDN w:val="0"/>
      <w:adjustRightInd w:val="0"/>
      <w:ind w:left="5760" w:hanging="270"/>
    </w:pPr>
    <w:rPr>
      <w:rFonts w:ascii="Courier New" w:eastAsia="MS Mincho" w:hAnsi="Courier New" w:cs="Courier New"/>
      <w:color w:val="000000"/>
      <w:sz w:val="24"/>
      <w:szCs w:val="24"/>
      <w:shd w:val="clear" w:color="auto" w:fill="FFFFFF"/>
      <w:lang w:eastAsia="ja-JP"/>
    </w:rPr>
  </w:style>
  <w:style w:type="paragraph" w:customStyle="1" w:styleId="Tcnico4">
    <w:name w:val="TÀ)Àcnico 4"/>
    <w:rsid w:val="0095645A"/>
    <w:pPr>
      <w:widowControl w:val="0"/>
      <w:autoSpaceDE w:val="0"/>
      <w:autoSpaceDN w:val="0"/>
      <w:adjustRightInd w:val="0"/>
    </w:pPr>
    <w:rPr>
      <w:rFonts w:ascii="Courier New" w:eastAsia="MS Mincho" w:hAnsi="Courier New" w:cs="Courier New"/>
      <w:b/>
      <w:bCs/>
      <w:color w:val="000000"/>
      <w:sz w:val="24"/>
      <w:szCs w:val="24"/>
      <w:shd w:val="clear" w:color="auto" w:fill="FFFFFF"/>
      <w:lang w:eastAsia="ja-JP"/>
    </w:rPr>
  </w:style>
  <w:style w:type="paragraph" w:customStyle="1" w:styleId="Tcnico5">
    <w:name w:val="TÀ)Àcnico 5"/>
    <w:rsid w:val="0095645A"/>
    <w:pPr>
      <w:widowControl w:val="0"/>
      <w:autoSpaceDE w:val="0"/>
      <w:autoSpaceDN w:val="0"/>
      <w:adjustRightInd w:val="0"/>
      <w:ind w:firstLine="720"/>
    </w:pPr>
    <w:rPr>
      <w:rFonts w:ascii="Courier New" w:eastAsia="MS Mincho" w:hAnsi="Courier New" w:cs="Courier New"/>
      <w:b/>
      <w:bCs/>
      <w:color w:val="000000"/>
      <w:sz w:val="24"/>
      <w:szCs w:val="24"/>
      <w:shd w:val="clear" w:color="auto" w:fill="FFFFFF"/>
      <w:lang w:eastAsia="ja-JP"/>
    </w:rPr>
  </w:style>
  <w:style w:type="paragraph" w:customStyle="1" w:styleId="Tcnico6">
    <w:name w:val="TÀ)Àcnico 6"/>
    <w:rsid w:val="0095645A"/>
    <w:pPr>
      <w:widowControl w:val="0"/>
      <w:autoSpaceDE w:val="0"/>
      <w:autoSpaceDN w:val="0"/>
      <w:adjustRightInd w:val="0"/>
      <w:ind w:firstLine="720"/>
    </w:pPr>
    <w:rPr>
      <w:rFonts w:ascii="Courier New" w:eastAsia="MS Mincho" w:hAnsi="Courier New" w:cs="Courier New"/>
      <w:b/>
      <w:bCs/>
      <w:color w:val="000000"/>
      <w:sz w:val="24"/>
      <w:szCs w:val="24"/>
      <w:shd w:val="clear" w:color="auto" w:fill="FFFFFF"/>
      <w:lang w:eastAsia="ja-JP"/>
    </w:rPr>
  </w:style>
  <w:style w:type="paragraph" w:customStyle="1" w:styleId="Tcnico7">
    <w:name w:val="TÀ)Àcnico 7"/>
    <w:rsid w:val="0095645A"/>
    <w:pPr>
      <w:widowControl w:val="0"/>
      <w:autoSpaceDE w:val="0"/>
      <w:autoSpaceDN w:val="0"/>
      <w:adjustRightInd w:val="0"/>
      <w:ind w:firstLine="720"/>
    </w:pPr>
    <w:rPr>
      <w:rFonts w:ascii="Courier New" w:eastAsia="MS Mincho" w:hAnsi="Courier New" w:cs="Courier New"/>
      <w:b/>
      <w:bCs/>
      <w:color w:val="000000"/>
      <w:sz w:val="24"/>
      <w:szCs w:val="24"/>
      <w:shd w:val="clear" w:color="auto" w:fill="FFFFFF"/>
      <w:lang w:eastAsia="ja-JP"/>
    </w:rPr>
  </w:style>
  <w:style w:type="paragraph" w:customStyle="1" w:styleId="Tcnico8">
    <w:name w:val="TÀ)Àcnico 8"/>
    <w:rsid w:val="0095645A"/>
    <w:pPr>
      <w:widowControl w:val="0"/>
      <w:autoSpaceDE w:val="0"/>
      <w:autoSpaceDN w:val="0"/>
      <w:adjustRightInd w:val="0"/>
      <w:ind w:firstLine="720"/>
    </w:pPr>
    <w:rPr>
      <w:rFonts w:ascii="Courier New" w:eastAsia="MS Mincho" w:hAnsi="Courier New" w:cs="Courier New"/>
      <w:b/>
      <w:bCs/>
      <w:color w:val="000000"/>
      <w:sz w:val="24"/>
      <w:szCs w:val="24"/>
      <w:shd w:val="clear" w:color="auto" w:fill="FFFFFF"/>
      <w:lang w:eastAsia="ja-JP"/>
    </w:rPr>
  </w:style>
  <w:style w:type="paragraph" w:customStyle="1" w:styleId="Escrlegal">
    <w:name w:val="Escr. legal"/>
    <w:rsid w:val="0095645A"/>
    <w:pPr>
      <w:widowControl w:val="0"/>
      <w:autoSpaceDE w:val="0"/>
      <w:autoSpaceDN w:val="0"/>
      <w:adjustRightInd w:val="0"/>
      <w:spacing w:line="240" w:lineRule="exact"/>
    </w:pPr>
    <w:rPr>
      <w:rFonts w:ascii="Courier New" w:eastAsia="MS Mincho" w:hAnsi="Courier New" w:cs="Courier New"/>
      <w:color w:val="000000"/>
      <w:sz w:val="24"/>
      <w:szCs w:val="24"/>
      <w:shd w:val="clear" w:color="auto" w:fill="FFFFFF"/>
      <w:lang w:eastAsia="ja-JP"/>
    </w:rPr>
  </w:style>
  <w:style w:type="paragraph" w:customStyle="1" w:styleId="ndice10">
    <w:name w:val="índice 1"/>
    <w:rsid w:val="0095645A"/>
    <w:pPr>
      <w:widowControl w:val="0"/>
      <w:autoSpaceDE w:val="0"/>
      <w:autoSpaceDN w:val="0"/>
      <w:adjustRightInd w:val="0"/>
      <w:ind w:left="1440" w:right="720" w:hanging="1440"/>
    </w:pPr>
    <w:rPr>
      <w:rFonts w:ascii="Courier New" w:eastAsia="MS Mincho" w:hAnsi="Courier New" w:cs="Courier New"/>
      <w:color w:val="000000"/>
      <w:sz w:val="24"/>
      <w:szCs w:val="24"/>
      <w:shd w:val="clear" w:color="auto" w:fill="FFFFFF"/>
      <w:lang w:eastAsia="ja-JP"/>
    </w:rPr>
  </w:style>
  <w:style w:type="paragraph" w:customStyle="1" w:styleId="ndice2">
    <w:name w:val="índice 2"/>
    <w:rsid w:val="0095645A"/>
    <w:pPr>
      <w:widowControl w:val="0"/>
      <w:autoSpaceDE w:val="0"/>
      <w:autoSpaceDN w:val="0"/>
      <w:adjustRightInd w:val="0"/>
      <w:ind w:left="1440" w:right="720" w:hanging="720"/>
    </w:pPr>
    <w:rPr>
      <w:rFonts w:ascii="Courier New" w:eastAsia="MS Mincho" w:hAnsi="Courier New" w:cs="Courier New"/>
      <w:color w:val="000000"/>
      <w:sz w:val="24"/>
      <w:szCs w:val="24"/>
      <w:shd w:val="clear" w:color="auto" w:fill="FFFFFF"/>
      <w:lang w:eastAsia="ja-JP"/>
    </w:rPr>
  </w:style>
  <w:style w:type="paragraph" w:customStyle="1" w:styleId="msolistparagraphcxsplast">
    <w:name w:val="msolistparagraphcxsplast"/>
    <w:basedOn w:val="Normal"/>
    <w:rsid w:val="0095645A"/>
    <w:pPr>
      <w:suppressAutoHyphens w:val="0"/>
      <w:spacing w:before="100" w:beforeAutospacing="1" w:after="100" w:afterAutospacing="1"/>
    </w:pPr>
    <w:rPr>
      <w:lang w:eastAsia="es-ES"/>
    </w:rPr>
  </w:style>
  <w:style w:type="paragraph" w:customStyle="1" w:styleId="msolistparagraphcxspmiddle">
    <w:name w:val="msolistparagraphcxspmiddle"/>
    <w:basedOn w:val="Normal"/>
    <w:rsid w:val="0095645A"/>
    <w:pPr>
      <w:suppressAutoHyphens w:val="0"/>
      <w:spacing w:before="100" w:beforeAutospacing="1" w:after="100" w:afterAutospacing="1"/>
    </w:pPr>
    <w:rPr>
      <w:lang w:eastAsia="es-ES"/>
    </w:rPr>
  </w:style>
  <w:style w:type="paragraph" w:styleId="Sangranormal">
    <w:name w:val="Normal Indent"/>
    <w:basedOn w:val="Normal"/>
    <w:qFormat/>
    <w:rsid w:val="0095645A"/>
    <w:pPr>
      <w:suppressAutoHyphens w:val="0"/>
      <w:spacing w:line="360" w:lineRule="auto"/>
      <w:ind w:firstLine="567"/>
      <w:jc w:val="both"/>
    </w:pPr>
    <w:rPr>
      <w:rFonts w:ascii="Courier New" w:eastAsia="Arial Unicode MS" w:hAnsi="Courier New" w:cs="Courier New"/>
      <w:sz w:val="20"/>
      <w:szCs w:val="20"/>
      <w:lang w:eastAsia="es-ES"/>
    </w:rPr>
  </w:style>
  <w:style w:type="paragraph" w:customStyle="1" w:styleId="ww-texto">
    <w:name w:val="ww-texto"/>
    <w:basedOn w:val="Normal"/>
    <w:rsid w:val="0095645A"/>
    <w:pPr>
      <w:suppressAutoHyphens w:val="0"/>
      <w:overflowPunct w:val="0"/>
      <w:autoSpaceDE w:val="0"/>
      <w:spacing w:after="120" w:line="240" w:lineRule="atLeast"/>
      <w:jc w:val="both"/>
    </w:pPr>
    <w:rPr>
      <w:rFonts w:ascii="Arial" w:eastAsia="MS Mincho" w:hAnsi="Arial" w:cs="Arial"/>
      <w:sz w:val="20"/>
      <w:szCs w:val="20"/>
      <w:lang w:eastAsia="ja-JP"/>
    </w:rPr>
  </w:style>
  <w:style w:type="paragraph" w:customStyle="1" w:styleId="listprocedureitem1">
    <w:name w:val="listprocedureitem1"/>
    <w:basedOn w:val="Normal"/>
    <w:rsid w:val="0095645A"/>
    <w:pPr>
      <w:suppressAutoHyphens w:val="0"/>
      <w:overflowPunct w:val="0"/>
      <w:autoSpaceDE w:val="0"/>
      <w:spacing w:after="80" w:line="240" w:lineRule="atLeast"/>
      <w:ind w:left="238" w:hanging="238"/>
      <w:jc w:val="both"/>
    </w:pPr>
    <w:rPr>
      <w:rFonts w:ascii="Arial" w:eastAsia="MS Mincho" w:hAnsi="Arial" w:cs="Arial"/>
      <w:sz w:val="20"/>
      <w:szCs w:val="20"/>
      <w:lang w:eastAsia="ja-JP"/>
    </w:rPr>
  </w:style>
  <w:style w:type="paragraph" w:customStyle="1" w:styleId="textoindependiente3100">
    <w:name w:val="textoindependiente310"/>
    <w:basedOn w:val="Normal"/>
    <w:rsid w:val="0095645A"/>
    <w:pPr>
      <w:suppressAutoHyphens w:val="0"/>
      <w:spacing w:before="100" w:beforeAutospacing="1" w:after="100" w:afterAutospacing="1"/>
    </w:pPr>
    <w:rPr>
      <w:rFonts w:eastAsia="MS Mincho"/>
      <w:lang w:eastAsia="ja-JP"/>
    </w:rPr>
  </w:style>
  <w:style w:type="paragraph" w:customStyle="1" w:styleId="Derechos0">
    <w:name w:val="Derechos"/>
    <w:next w:val="Normal"/>
    <w:rsid w:val="0095645A"/>
    <w:pPr>
      <w:autoSpaceDE w:val="0"/>
      <w:autoSpaceDN w:val="0"/>
      <w:adjustRightInd w:val="0"/>
      <w:jc w:val="both"/>
    </w:pPr>
    <w:rPr>
      <w:rFonts w:ascii="Helvetica" w:eastAsia="MS Mincho" w:hAnsi="Helvetica" w:cs="Helvetica"/>
      <w:lang w:eastAsia="ja-JP"/>
    </w:rPr>
  </w:style>
  <w:style w:type="paragraph" w:customStyle="1" w:styleId="CarCarCarCarCarCarCarCarCar">
    <w:name w:val="Car Car Car Car Car Car Car Car Car"/>
    <w:basedOn w:val="Normal"/>
    <w:autoRedefine/>
    <w:rsid w:val="0095645A"/>
    <w:pPr>
      <w:suppressAutoHyphens w:val="0"/>
      <w:spacing w:after="160" w:line="240" w:lineRule="exact"/>
    </w:pPr>
    <w:rPr>
      <w:rFonts w:ascii="Arial" w:hAnsi="Arial"/>
      <w:szCs w:val="20"/>
      <w:lang w:val="en-US" w:eastAsia="en-US"/>
    </w:rPr>
  </w:style>
  <w:style w:type="paragraph" w:customStyle="1" w:styleId="CarCarCarCarCarCarCarCarCar4">
    <w:name w:val="Car Car Car Car Car Car Car Car Car4"/>
    <w:basedOn w:val="Normal"/>
    <w:autoRedefine/>
    <w:rsid w:val="0095645A"/>
    <w:pPr>
      <w:suppressAutoHyphens w:val="0"/>
      <w:spacing w:after="160" w:line="240" w:lineRule="exact"/>
    </w:pPr>
    <w:rPr>
      <w:rFonts w:ascii="Arial" w:hAnsi="Arial"/>
      <w:szCs w:val="20"/>
      <w:lang w:val="en-US" w:eastAsia="en-US"/>
    </w:rPr>
  </w:style>
  <w:style w:type="paragraph" w:customStyle="1" w:styleId="CarCarCarCarCarCarCarCarCar3">
    <w:name w:val="Car Car Car Car Car Car Car Car Car3"/>
    <w:basedOn w:val="Normal"/>
    <w:autoRedefine/>
    <w:rsid w:val="0095645A"/>
    <w:pPr>
      <w:suppressAutoHyphens w:val="0"/>
      <w:spacing w:after="160" w:line="240" w:lineRule="exact"/>
    </w:pPr>
    <w:rPr>
      <w:rFonts w:ascii="Arial" w:hAnsi="Arial"/>
      <w:szCs w:val="20"/>
      <w:lang w:val="en-US" w:eastAsia="en-US"/>
    </w:rPr>
  </w:style>
  <w:style w:type="paragraph" w:customStyle="1" w:styleId="CarCarCarCarCarCarCarCarCar2">
    <w:name w:val="Car Car Car Car Car Car Car Car Car2"/>
    <w:basedOn w:val="Normal"/>
    <w:autoRedefine/>
    <w:rsid w:val="0095645A"/>
    <w:pPr>
      <w:suppressAutoHyphens w:val="0"/>
      <w:spacing w:after="160" w:line="240" w:lineRule="exact"/>
    </w:pPr>
    <w:rPr>
      <w:rFonts w:ascii="Arial" w:hAnsi="Arial"/>
      <w:szCs w:val="20"/>
      <w:lang w:val="en-US" w:eastAsia="en-US"/>
    </w:rPr>
  </w:style>
  <w:style w:type="table" w:customStyle="1" w:styleId="Sombreadomedio11">
    <w:name w:val="Sombreado medio 11"/>
    <w:basedOn w:val="Tablanormal"/>
    <w:uiPriority w:val="63"/>
    <w:rsid w:val="0095645A"/>
    <w:rPr>
      <w:rFonts w:ascii="Cambria" w:hAnsi="Cambria"/>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Sombreadomedio21">
    <w:name w:val="Sombreado medio 21"/>
    <w:basedOn w:val="Tablanormal"/>
    <w:rsid w:val="0095645A"/>
    <w:rPr>
      <w:rFonts w:ascii="Cambria" w:hAnsi="Cambria"/>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
    <w:name w:val="Lista media 11"/>
    <w:basedOn w:val="Tablanormal"/>
    <w:rsid w:val="0095645A"/>
    <w:rPr>
      <w:rFonts w:ascii="Cambria" w:hAnsi="Cambria"/>
      <w:color w:val="000000"/>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Listamedia21">
    <w:name w:val="Lista media 21"/>
    <w:basedOn w:val="Tablanormal"/>
    <w:rsid w:val="0095645A"/>
    <w:rPr>
      <w:rFonts w:ascii="Calibri" w:hAnsi="Calibri"/>
      <w:color w:val="000000"/>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ombreadoclaro1">
    <w:name w:val="Sombreado claro1"/>
    <w:basedOn w:val="Tablanormal"/>
    <w:rsid w:val="0095645A"/>
    <w:rPr>
      <w:rFonts w:ascii="Cambria" w:hAnsi="Cambria"/>
      <w:color w:val="000000"/>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Grid1-Accent1">
    <w:name w:val="Medium Grid 1 - Accent 1"/>
    <w:basedOn w:val="Tablanormal"/>
    <w:rsid w:val="0095645A"/>
    <w:rPr>
      <w:rFonts w:ascii="Cambria" w:hAnsi="Cambria"/>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Grid3-Accent1">
    <w:name w:val="Medium Grid 3 - Accent 1"/>
    <w:basedOn w:val="Tablanormal"/>
    <w:rsid w:val="0095645A"/>
    <w:rPr>
      <w:rFonts w:ascii="Cambria" w:hAnsi="Cambria"/>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paragraph" w:customStyle="1" w:styleId="CarCarCarCarCarCarCarCarCar1">
    <w:name w:val="Car Car Car Car Car Car Car Car Car1"/>
    <w:basedOn w:val="Normal"/>
    <w:autoRedefine/>
    <w:rsid w:val="0095645A"/>
    <w:pPr>
      <w:suppressAutoHyphens w:val="0"/>
      <w:spacing w:after="160" w:line="240" w:lineRule="exact"/>
    </w:pPr>
    <w:rPr>
      <w:rFonts w:ascii="Arial" w:hAnsi="Arial"/>
      <w:szCs w:val="20"/>
      <w:lang w:val="en-US" w:eastAsia="en-US"/>
    </w:rPr>
  </w:style>
  <w:style w:type="table" w:customStyle="1" w:styleId="Sombreadoclaro-nfasis11">
    <w:name w:val="Sombreado claro - Énfasis 11"/>
    <w:basedOn w:val="Tablanormal"/>
    <w:rsid w:val="0095645A"/>
    <w:rPr>
      <w:rFonts w:ascii="Cambria" w:hAnsi="Cambria"/>
      <w:color w:val="365F91"/>
      <w:sz w:val="22"/>
      <w:szCs w:val="22"/>
      <w:lang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paragraph" w:customStyle="1" w:styleId="rvps2">
    <w:name w:val="rvps2"/>
    <w:basedOn w:val="Normal"/>
    <w:rsid w:val="0095645A"/>
    <w:pPr>
      <w:suppressAutoHyphens w:val="0"/>
      <w:spacing w:line="480" w:lineRule="auto"/>
      <w:jc w:val="both"/>
    </w:pPr>
    <w:rPr>
      <w:lang w:val="es-CR" w:eastAsia="es-CR"/>
    </w:rPr>
  </w:style>
  <w:style w:type="paragraph" w:customStyle="1" w:styleId="rvps25">
    <w:name w:val="rvps25"/>
    <w:basedOn w:val="Normal"/>
    <w:rsid w:val="0095645A"/>
    <w:pPr>
      <w:suppressAutoHyphens w:val="0"/>
      <w:spacing w:line="480" w:lineRule="auto"/>
      <w:jc w:val="both"/>
    </w:pPr>
    <w:rPr>
      <w:lang w:val="es-CR" w:eastAsia="es-CR"/>
    </w:rPr>
  </w:style>
  <w:style w:type="paragraph" w:customStyle="1" w:styleId="yiv7138735150msonormal">
    <w:name w:val="yiv7138735150msonormal"/>
    <w:basedOn w:val="Normal"/>
    <w:rsid w:val="0095645A"/>
    <w:pPr>
      <w:suppressAutoHyphens w:val="0"/>
      <w:spacing w:before="100" w:beforeAutospacing="1" w:after="100" w:afterAutospacing="1"/>
    </w:pPr>
    <w:rPr>
      <w:lang w:eastAsia="es-ES"/>
    </w:rPr>
  </w:style>
  <w:style w:type="table" w:customStyle="1" w:styleId="MediumShading1-Accent1">
    <w:name w:val="Medium Shading 1 - Accent 1"/>
    <w:basedOn w:val="Tablanormal"/>
    <w:rsid w:val="0095645A"/>
    <w:rPr>
      <w:rFonts w:ascii="Cambria" w:hAnsi="Cambria"/>
      <w:sz w:val="22"/>
      <w:szCs w:val="22"/>
      <w:lang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character" w:customStyle="1" w:styleId="style481">
    <w:name w:val="style481"/>
    <w:rsid w:val="0095645A"/>
    <w:rPr>
      <w:rFonts w:ascii="Times New Roman" w:hAnsi="Times New Roman" w:cs="Times New Roman" w:hint="default"/>
      <w:color w:val="0000FF"/>
      <w:sz w:val="27"/>
      <w:szCs w:val="27"/>
    </w:rPr>
  </w:style>
  <w:style w:type="paragraph" w:customStyle="1" w:styleId="Sangradet">
    <w:name w:val="Sangría de t"/>
    <w:basedOn w:val="Normal"/>
    <w:rsid w:val="0095645A"/>
    <w:pPr>
      <w:tabs>
        <w:tab w:val="left" w:pos="-720"/>
      </w:tabs>
      <w:jc w:val="both"/>
    </w:pPr>
    <w:rPr>
      <w:rFonts w:ascii="Courier New" w:hAnsi="Courier New" w:cs="Courier New"/>
      <w:spacing w:val="-3"/>
      <w:sz w:val="28"/>
      <w:szCs w:val="28"/>
      <w:lang w:val="es-ES_tradnl"/>
    </w:rPr>
  </w:style>
  <w:style w:type="paragraph" w:customStyle="1" w:styleId="Sangra2det">
    <w:name w:val="Sangría 2 de t"/>
    <w:basedOn w:val="Normal"/>
    <w:rsid w:val="0095645A"/>
    <w:pPr>
      <w:ind w:firstLine="720"/>
      <w:jc w:val="both"/>
    </w:pPr>
    <w:rPr>
      <w:rFonts w:ascii="Book Antiqua" w:hAnsi="Book Antiqua"/>
      <w:b/>
      <w:bCs/>
      <w:spacing w:val="-3"/>
      <w:lang w:val="es-ES_tradnl"/>
    </w:rPr>
  </w:style>
  <w:style w:type="paragraph" w:customStyle="1" w:styleId="Sangra3det">
    <w:name w:val="Sangría 3 de t"/>
    <w:basedOn w:val="Normal"/>
    <w:rsid w:val="0095645A"/>
    <w:pPr>
      <w:ind w:firstLine="720"/>
      <w:jc w:val="both"/>
    </w:pPr>
    <w:rPr>
      <w:rFonts w:ascii="Book Antiqua" w:hAnsi="Book Antiqua"/>
      <w:spacing w:val="-3"/>
      <w:lang w:val="es-ES_tradnl"/>
    </w:rPr>
  </w:style>
  <w:style w:type="paragraph" w:customStyle="1" w:styleId="Sangradet1">
    <w:name w:val="Sangría de t1"/>
    <w:basedOn w:val="Normal"/>
    <w:rsid w:val="0095645A"/>
    <w:pPr>
      <w:tabs>
        <w:tab w:val="left" w:pos="-720"/>
      </w:tabs>
      <w:jc w:val="both"/>
    </w:pPr>
    <w:rPr>
      <w:rFonts w:ascii="Book Antiqua" w:hAnsi="Book Antiqua"/>
      <w:spacing w:val="-3"/>
      <w:lang w:val="es-ES_tradnl"/>
    </w:rPr>
  </w:style>
  <w:style w:type="numbering" w:styleId="111111">
    <w:name w:val="Outline List 2"/>
    <w:aliases w:val="1.1 / 1.1.1 / 1.1.1.1"/>
    <w:basedOn w:val="Sinlista"/>
    <w:unhideWhenUsed/>
    <w:rsid w:val="0095645A"/>
    <w:pPr>
      <w:numPr>
        <w:numId w:val="26"/>
      </w:numPr>
    </w:pPr>
  </w:style>
  <w:style w:type="character" w:customStyle="1" w:styleId="CarCar24">
    <w:name w:val="Car Car24"/>
    <w:rsid w:val="0095645A"/>
    <w:rPr>
      <w:rFonts w:ascii="Arial" w:hAnsi="Arial" w:cs="Arial"/>
      <w:b/>
      <w:bCs/>
      <w:i/>
      <w:iCs/>
      <w:sz w:val="28"/>
      <w:szCs w:val="28"/>
    </w:rPr>
  </w:style>
  <w:style w:type="character" w:customStyle="1" w:styleId="CarCar230">
    <w:name w:val="Car Car23"/>
    <w:rsid w:val="0095645A"/>
    <w:rPr>
      <w:rFonts w:ascii="Arial" w:hAnsi="Arial" w:cs="Arial"/>
      <w:b/>
      <w:bCs/>
      <w:sz w:val="26"/>
      <w:szCs w:val="26"/>
    </w:rPr>
  </w:style>
  <w:style w:type="character" w:customStyle="1" w:styleId="CarCar19">
    <w:name w:val="Car Car19"/>
    <w:rsid w:val="0095645A"/>
    <w:rPr>
      <w:rFonts w:ascii="Arial" w:hAnsi="Arial" w:cs="Arial"/>
      <w:b/>
      <w:bCs/>
      <w:u w:val="single"/>
    </w:rPr>
  </w:style>
  <w:style w:type="character" w:customStyle="1" w:styleId="CarCar17">
    <w:name w:val="Car Car17"/>
    <w:rsid w:val="0095645A"/>
    <w:rPr>
      <w:rFonts w:ascii="Arial" w:hAnsi="Arial" w:cs="Arial"/>
      <w:sz w:val="22"/>
      <w:szCs w:val="22"/>
    </w:rPr>
  </w:style>
  <w:style w:type="character" w:customStyle="1" w:styleId="CarCar131">
    <w:name w:val="Car Car131"/>
    <w:rsid w:val="0095645A"/>
    <w:rPr>
      <w:rFonts w:ascii="Arial" w:hAnsi="Arial" w:cs="Arial"/>
    </w:rPr>
  </w:style>
  <w:style w:type="character" w:customStyle="1" w:styleId="CarCar121">
    <w:name w:val="Car Car121"/>
    <w:rsid w:val="0095645A"/>
    <w:rPr>
      <w:sz w:val="20"/>
      <w:szCs w:val="20"/>
    </w:rPr>
  </w:style>
  <w:style w:type="character" w:customStyle="1" w:styleId="EstiloCorreo691">
    <w:name w:val="EstiloCorreo691"/>
    <w:rsid w:val="0095645A"/>
    <w:rPr>
      <w:rFonts w:ascii="Arial" w:hAnsi="Arial" w:cs="Arial"/>
      <w:color w:val="000080"/>
      <w:sz w:val="20"/>
      <w:szCs w:val="20"/>
    </w:rPr>
  </w:style>
  <w:style w:type="paragraph" w:customStyle="1" w:styleId="CarCarCarCarCarCarCarCarCarCar">
    <w:name w:val="Car Car Car Car Car Car Car Car Car Car"/>
    <w:qFormat/>
    <w:rsid w:val="0095645A"/>
    <w:pPr>
      <w:widowControl w:val="0"/>
      <w:autoSpaceDE w:val="0"/>
      <w:autoSpaceDN w:val="0"/>
      <w:adjustRightInd w:val="0"/>
      <w:spacing w:after="160" w:line="240" w:lineRule="exact"/>
    </w:pPr>
    <w:rPr>
      <w:rFonts w:ascii="Verdana" w:hAnsi="Verdana" w:cs="Verdana"/>
    </w:rPr>
  </w:style>
  <w:style w:type="character" w:customStyle="1" w:styleId="CarCar81">
    <w:name w:val="Car Car81"/>
    <w:rsid w:val="0095645A"/>
    <w:rPr>
      <w:rFonts w:ascii="Arial" w:hAnsi="Arial" w:cs="Arial"/>
    </w:rPr>
  </w:style>
  <w:style w:type="character" w:customStyle="1" w:styleId="CarCar26">
    <w:name w:val="Car Car26"/>
    <w:rsid w:val="0095645A"/>
  </w:style>
  <w:style w:type="paragraph" w:customStyle="1" w:styleId="ubicador">
    <w:name w:val="ubicador"/>
    <w:rsid w:val="0095645A"/>
    <w:pPr>
      <w:widowControl w:val="0"/>
      <w:autoSpaceDE w:val="0"/>
      <w:autoSpaceDN w:val="0"/>
      <w:adjustRightInd w:val="0"/>
      <w:spacing w:before="100" w:after="100"/>
    </w:pPr>
    <w:rPr>
      <w:vanish/>
      <w:sz w:val="24"/>
      <w:szCs w:val="24"/>
    </w:rPr>
  </w:style>
  <w:style w:type="paragraph" w:customStyle="1" w:styleId="ubicadorinteligente">
    <w:name w:val="ubicadorinteligente"/>
    <w:rsid w:val="0095645A"/>
    <w:pPr>
      <w:widowControl w:val="0"/>
      <w:autoSpaceDE w:val="0"/>
      <w:autoSpaceDN w:val="0"/>
      <w:adjustRightInd w:val="0"/>
      <w:spacing w:before="100" w:after="100"/>
    </w:pPr>
    <w:rPr>
      <w:sz w:val="24"/>
      <w:szCs w:val="24"/>
    </w:rPr>
  </w:style>
  <w:style w:type="character" w:customStyle="1" w:styleId="skypepnhcontainer">
    <w:name w:val="skype_pnh_container"/>
    <w:rsid w:val="0095645A"/>
  </w:style>
  <w:style w:type="character" w:customStyle="1" w:styleId="skypepnhmark1">
    <w:name w:val="skype_pnh_mark1"/>
    <w:rsid w:val="0095645A"/>
    <w:rPr>
      <w:vanish/>
    </w:rPr>
  </w:style>
  <w:style w:type="character" w:customStyle="1" w:styleId="skypepnhprintcontainer1366813726">
    <w:name w:val="skype_pnh_print_container_1366813726"/>
    <w:rsid w:val="0095645A"/>
  </w:style>
  <w:style w:type="character" w:customStyle="1" w:styleId="skypepnhtextspan">
    <w:name w:val="skype_pnh_text_span"/>
    <w:rsid w:val="0095645A"/>
  </w:style>
  <w:style w:type="character" w:customStyle="1" w:styleId="skypepnhfreetextspan">
    <w:name w:val="skype_pnh_free_text_span"/>
    <w:rsid w:val="0095645A"/>
  </w:style>
  <w:style w:type="paragraph" w:customStyle="1" w:styleId="ttulo300">
    <w:name w:val="ttulo30"/>
    <w:rsid w:val="0095645A"/>
    <w:pPr>
      <w:widowControl w:val="0"/>
      <w:autoSpaceDE w:val="0"/>
      <w:autoSpaceDN w:val="0"/>
      <w:adjustRightInd w:val="0"/>
      <w:spacing w:before="100" w:after="100"/>
    </w:pPr>
    <w:rPr>
      <w:sz w:val="24"/>
      <w:szCs w:val="24"/>
    </w:rPr>
  </w:style>
  <w:style w:type="character" w:customStyle="1" w:styleId="CarCar1100">
    <w:name w:val="Car Car110"/>
    <w:rsid w:val="0095645A"/>
    <w:rPr>
      <w:rFonts w:ascii="Courier New" w:hAnsi="Courier New" w:cs="Courier New"/>
    </w:rPr>
  </w:style>
  <w:style w:type="paragraph" w:customStyle="1" w:styleId="Car2">
    <w:name w:val="Car2"/>
    <w:qFormat/>
    <w:rsid w:val="0095645A"/>
    <w:pPr>
      <w:widowControl w:val="0"/>
      <w:autoSpaceDE w:val="0"/>
      <w:autoSpaceDN w:val="0"/>
      <w:adjustRightInd w:val="0"/>
      <w:spacing w:after="160" w:line="240" w:lineRule="exact"/>
    </w:pPr>
    <w:rPr>
      <w:rFonts w:ascii="Verdana" w:hAnsi="Verdana" w:cs="Verdana"/>
    </w:rPr>
  </w:style>
  <w:style w:type="paragraph" w:customStyle="1" w:styleId="Car3">
    <w:name w:val="Car3"/>
    <w:qFormat/>
    <w:rsid w:val="0095645A"/>
    <w:pPr>
      <w:widowControl w:val="0"/>
      <w:autoSpaceDE w:val="0"/>
      <w:autoSpaceDN w:val="0"/>
      <w:adjustRightInd w:val="0"/>
      <w:spacing w:after="160" w:line="240" w:lineRule="exact"/>
    </w:pPr>
    <w:rPr>
      <w:rFonts w:ascii="Verdana" w:hAnsi="Verdana" w:cs="Verdana"/>
    </w:rPr>
  </w:style>
  <w:style w:type="paragraph" w:customStyle="1" w:styleId="Car4">
    <w:name w:val="Car4"/>
    <w:rsid w:val="0095645A"/>
    <w:pPr>
      <w:widowControl w:val="0"/>
      <w:autoSpaceDE w:val="0"/>
      <w:autoSpaceDN w:val="0"/>
      <w:adjustRightInd w:val="0"/>
      <w:spacing w:after="160" w:line="240" w:lineRule="exact"/>
    </w:pPr>
    <w:rPr>
      <w:rFonts w:ascii="Verdana" w:hAnsi="Verdana" w:cs="Verdana"/>
    </w:rPr>
  </w:style>
  <w:style w:type="character" w:customStyle="1" w:styleId="EstiloCorreo1211">
    <w:name w:val="EstiloCorreo1211"/>
    <w:rsid w:val="0095645A"/>
  </w:style>
  <w:style w:type="paragraph" w:customStyle="1" w:styleId="CarCar2CarCarCarCar">
    <w:name w:val="Car Car2 Car Car Car Car"/>
    <w:rsid w:val="0095645A"/>
    <w:pPr>
      <w:widowControl w:val="0"/>
      <w:autoSpaceDE w:val="0"/>
      <w:autoSpaceDN w:val="0"/>
      <w:adjustRightInd w:val="0"/>
      <w:spacing w:after="160" w:line="240" w:lineRule="exact"/>
    </w:pPr>
    <w:rPr>
      <w:rFonts w:ascii="Verdana" w:hAnsi="Verdana" w:cs="Verdana"/>
    </w:rPr>
  </w:style>
  <w:style w:type="paragraph" w:customStyle="1" w:styleId="Car5">
    <w:name w:val="Car5"/>
    <w:rsid w:val="0095645A"/>
    <w:pPr>
      <w:widowControl w:val="0"/>
      <w:autoSpaceDE w:val="0"/>
      <w:autoSpaceDN w:val="0"/>
      <w:adjustRightInd w:val="0"/>
      <w:spacing w:after="160" w:line="240" w:lineRule="exact"/>
    </w:pPr>
    <w:rPr>
      <w:rFonts w:ascii="Verdana" w:hAnsi="Verdana" w:cs="Verdana"/>
    </w:rPr>
  </w:style>
  <w:style w:type="character" w:customStyle="1" w:styleId="CarCar25">
    <w:name w:val="Car Car25"/>
    <w:rsid w:val="0095645A"/>
    <w:rPr>
      <w:rFonts w:ascii="Courier New" w:hAnsi="Courier New" w:cs="Courier New"/>
      <w:color w:val="000000"/>
    </w:rPr>
  </w:style>
  <w:style w:type="character" w:customStyle="1" w:styleId="EstiloCorreo683">
    <w:name w:val="EstiloCorreo683"/>
    <w:rsid w:val="0095645A"/>
    <w:rPr>
      <w:rFonts w:ascii="Arial" w:hAnsi="Arial" w:cs="Arial" w:hint="default"/>
      <w:color w:val="auto"/>
    </w:rPr>
  </w:style>
  <w:style w:type="character" w:customStyle="1" w:styleId="EstiloCorreo684">
    <w:name w:val="EstiloCorreo684"/>
    <w:rsid w:val="0095645A"/>
    <w:rPr>
      <w:rFonts w:ascii="Arial" w:hAnsi="Arial" w:cs="Arial" w:hint="default"/>
      <w:color w:val="000080"/>
    </w:rPr>
  </w:style>
  <w:style w:type="character" w:customStyle="1" w:styleId="EstiloCorreo685">
    <w:name w:val="EstiloCorreo685"/>
    <w:rsid w:val="0095645A"/>
    <w:rPr>
      <w:rFonts w:ascii="Arial" w:hAnsi="Arial" w:cs="Arial" w:hint="default"/>
      <w:b w:val="0"/>
      <w:bCs w:val="0"/>
      <w:i w:val="0"/>
      <w:iCs w:val="0"/>
      <w:strike w:val="0"/>
      <w:dstrike w:val="0"/>
      <w:color w:val="auto"/>
      <w:u w:val="none"/>
      <w:effect w:val="none"/>
    </w:rPr>
  </w:style>
  <w:style w:type="character" w:customStyle="1" w:styleId="EstiloCorreo686">
    <w:name w:val="EstiloCorreo686"/>
    <w:rsid w:val="0095645A"/>
    <w:rPr>
      <w:rFonts w:ascii="Arial" w:hAnsi="Arial" w:cs="Arial" w:hint="default"/>
      <w:b w:val="0"/>
      <w:bCs w:val="0"/>
      <w:i w:val="0"/>
      <w:iCs w:val="0"/>
      <w:strike w:val="0"/>
      <w:dstrike w:val="0"/>
      <w:color w:val="auto"/>
      <w:u w:val="none"/>
      <w:effect w:val="none"/>
    </w:rPr>
  </w:style>
  <w:style w:type="character" w:customStyle="1" w:styleId="EstiloCorreo6871">
    <w:name w:val="EstiloCorreo6871"/>
    <w:rsid w:val="0095645A"/>
    <w:rPr>
      <w:rFonts w:ascii="Arial" w:hAnsi="Arial" w:cs="Arial" w:hint="default"/>
      <w:b w:val="0"/>
      <w:bCs w:val="0"/>
      <w:i w:val="0"/>
      <w:iCs w:val="0"/>
      <w:strike w:val="0"/>
      <w:dstrike w:val="0"/>
      <w:color w:val="auto"/>
      <w:u w:val="none"/>
      <w:effect w:val="none"/>
    </w:rPr>
  </w:style>
  <w:style w:type="character" w:customStyle="1" w:styleId="CarCar28">
    <w:name w:val="Car Car28"/>
    <w:locked/>
    <w:rsid w:val="0095645A"/>
    <w:rPr>
      <w:rFonts w:eastAsia="MS Mincho"/>
      <w:sz w:val="24"/>
      <w:szCs w:val="24"/>
      <w:lang w:val="es-ES" w:eastAsia="ar-SA" w:bidi="ar-SA"/>
    </w:rPr>
  </w:style>
  <w:style w:type="character" w:customStyle="1" w:styleId="nwtovh0">
    <w:name w:val="nwtovh"/>
    <w:rsid w:val="0095645A"/>
  </w:style>
  <w:style w:type="character" w:customStyle="1" w:styleId="Ancladenotaalpie">
    <w:name w:val="Ancla de nota al pie"/>
    <w:uiPriority w:val="99"/>
    <w:rsid w:val="0095645A"/>
    <w:rPr>
      <w:vertAlign w:val="superscript"/>
    </w:rPr>
  </w:style>
  <w:style w:type="paragraph" w:customStyle="1" w:styleId="Notaalpie">
    <w:name w:val="Nota al pie"/>
    <w:basedOn w:val="Predeterminado0"/>
    <w:uiPriority w:val="99"/>
    <w:rsid w:val="0095645A"/>
  </w:style>
  <w:style w:type="character" w:customStyle="1" w:styleId="smbolodenotaalpie0">
    <w:name w:val="smbolodenotaalpie"/>
    <w:rsid w:val="0095645A"/>
    <w:rPr>
      <w:rFonts w:ascii="Courier New" w:hAnsi="Courier New" w:cs="Courier New" w:hint="default"/>
      <w:vertAlign w:val="superscript"/>
    </w:rPr>
  </w:style>
  <w:style w:type="character" w:customStyle="1" w:styleId="Refdenotaalpie3">
    <w:name w:val="Ref. de nota al pie3"/>
    <w:rsid w:val="0095645A"/>
    <w:rPr>
      <w:vertAlign w:val="superscript"/>
    </w:rPr>
  </w:style>
  <w:style w:type="paragraph" w:customStyle="1" w:styleId="ecxxxxmsonormal">
    <w:name w:val="ecxxxxmsonormal"/>
    <w:basedOn w:val="Normal"/>
    <w:rsid w:val="0095645A"/>
    <w:pPr>
      <w:suppressAutoHyphens w:val="0"/>
      <w:spacing w:before="100" w:beforeAutospacing="1" w:after="100" w:afterAutospacing="1"/>
    </w:pPr>
    <w:rPr>
      <w:lang w:val="es-CR" w:eastAsia="es-CR"/>
    </w:rPr>
  </w:style>
  <w:style w:type="paragraph" w:customStyle="1" w:styleId="cierre10">
    <w:name w:val="cierre10"/>
    <w:basedOn w:val="Normal"/>
    <w:rsid w:val="0095645A"/>
    <w:pPr>
      <w:suppressAutoHyphens w:val="0"/>
      <w:spacing w:before="100" w:beforeAutospacing="1" w:after="100" w:afterAutospacing="1"/>
    </w:pPr>
    <w:rPr>
      <w:color w:val="000000"/>
      <w:lang w:eastAsia="es-ES"/>
    </w:rPr>
  </w:style>
  <w:style w:type="paragraph" w:customStyle="1" w:styleId="formulario">
    <w:name w:val="formulario"/>
    <w:basedOn w:val="Normal"/>
    <w:rsid w:val="0095645A"/>
    <w:pPr>
      <w:suppressAutoHyphens w:val="0"/>
      <w:spacing w:before="100" w:beforeAutospacing="1" w:after="100" w:afterAutospacing="1"/>
      <w:jc w:val="both"/>
    </w:pPr>
    <w:rPr>
      <w:rFonts w:ascii="Verdana" w:hAnsi="Verdana"/>
      <w:color w:val="333333"/>
      <w:sz w:val="18"/>
      <w:szCs w:val="18"/>
      <w:lang w:val="es-CR" w:eastAsia="es-CR"/>
    </w:rPr>
  </w:style>
  <w:style w:type="paragraph" w:customStyle="1" w:styleId="Normalprueba">
    <w:name w:val="Normal.prueba"/>
    <w:rsid w:val="0095645A"/>
    <w:pPr>
      <w:widowControl w:val="0"/>
      <w:autoSpaceDE w:val="0"/>
      <w:autoSpaceDN w:val="0"/>
      <w:adjustRightInd w:val="0"/>
    </w:pPr>
    <w:rPr>
      <w:rFonts w:ascii="Arial" w:hAnsi="Arial" w:cs="Arial"/>
      <w:color w:val="000000"/>
      <w:sz w:val="24"/>
      <w:szCs w:val="24"/>
      <w:u w:color="000000"/>
      <w:shd w:val="clear" w:color="auto" w:fill="FFFFFF"/>
    </w:rPr>
  </w:style>
  <w:style w:type="paragraph" w:customStyle="1" w:styleId="4">
    <w:name w:val="4"/>
    <w:basedOn w:val="Normal"/>
    <w:qFormat/>
    <w:rsid w:val="0095645A"/>
    <w:pPr>
      <w:suppressAutoHyphens w:val="0"/>
      <w:spacing w:after="160" w:line="240" w:lineRule="exact"/>
    </w:pPr>
    <w:rPr>
      <w:rFonts w:ascii="Verdana" w:hAnsi="Verdana"/>
      <w:sz w:val="20"/>
      <w:szCs w:val="21"/>
      <w:lang w:val="en-AU" w:eastAsia="en-US"/>
    </w:rPr>
  </w:style>
  <w:style w:type="character" w:customStyle="1" w:styleId="s9">
    <w:name w:val="s9"/>
    <w:rsid w:val="0095645A"/>
  </w:style>
  <w:style w:type="character" w:customStyle="1" w:styleId="s24">
    <w:name w:val="s24"/>
    <w:rsid w:val="0095645A"/>
  </w:style>
  <w:style w:type="paragraph" w:customStyle="1" w:styleId="s15">
    <w:name w:val="s15"/>
    <w:basedOn w:val="Normal"/>
    <w:rsid w:val="0095645A"/>
    <w:pPr>
      <w:suppressAutoHyphens w:val="0"/>
      <w:spacing w:before="100" w:after="100"/>
    </w:pPr>
    <w:rPr>
      <w:kern w:val="1"/>
    </w:rPr>
  </w:style>
  <w:style w:type="paragraph" w:customStyle="1" w:styleId="s25">
    <w:name w:val="s25"/>
    <w:basedOn w:val="Normal"/>
    <w:rsid w:val="0095645A"/>
    <w:pPr>
      <w:suppressAutoHyphens w:val="0"/>
      <w:spacing w:before="100" w:after="100"/>
    </w:pPr>
    <w:rPr>
      <w:kern w:val="1"/>
    </w:rPr>
  </w:style>
  <w:style w:type="paragraph" w:customStyle="1" w:styleId="s26">
    <w:name w:val="s26"/>
    <w:basedOn w:val="Normal"/>
    <w:rsid w:val="0095645A"/>
    <w:pPr>
      <w:suppressAutoHyphens w:val="0"/>
      <w:spacing w:before="100" w:after="100"/>
    </w:pPr>
    <w:rPr>
      <w:kern w:val="1"/>
    </w:rPr>
  </w:style>
  <w:style w:type="paragraph" w:customStyle="1" w:styleId="fecha0">
    <w:name w:val="fecha"/>
    <w:basedOn w:val="Normal"/>
    <w:rsid w:val="0095645A"/>
    <w:pPr>
      <w:suppressAutoHyphens w:val="0"/>
      <w:spacing w:before="100" w:beforeAutospacing="1" w:after="100" w:afterAutospacing="1"/>
    </w:pPr>
    <w:rPr>
      <w:color w:val="666666"/>
      <w:lang w:eastAsia="es-ES"/>
    </w:rPr>
  </w:style>
  <w:style w:type="character" w:customStyle="1" w:styleId="12ptlargebluebold">
    <w:name w:val="12pt large blue bold"/>
    <w:rsid w:val="0095645A"/>
    <w:rPr>
      <w:color w:val="5EAAC4"/>
      <w:sz w:val="24"/>
      <w:szCs w:val="24"/>
    </w:rPr>
  </w:style>
  <w:style w:type="paragraph" w:customStyle="1" w:styleId="s19">
    <w:name w:val="s19"/>
    <w:basedOn w:val="Normal"/>
    <w:rsid w:val="0095645A"/>
    <w:pPr>
      <w:suppressAutoHyphens w:val="0"/>
      <w:spacing w:before="100" w:after="100"/>
    </w:pPr>
    <w:rPr>
      <w:sz w:val="20"/>
      <w:szCs w:val="20"/>
      <w:lang w:val="es-CR"/>
    </w:rPr>
  </w:style>
  <w:style w:type="paragraph" w:customStyle="1" w:styleId="s27">
    <w:name w:val="s27"/>
    <w:basedOn w:val="Normal"/>
    <w:rsid w:val="0095645A"/>
    <w:pPr>
      <w:suppressAutoHyphens w:val="0"/>
      <w:spacing w:before="100" w:after="100"/>
    </w:pPr>
    <w:rPr>
      <w:sz w:val="20"/>
      <w:szCs w:val="20"/>
      <w:lang w:val="es-CR"/>
    </w:rPr>
  </w:style>
  <w:style w:type="paragraph" w:customStyle="1" w:styleId="Prrafobsico">
    <w:name w:val="[Párrafo básico]"/>
    <w:basedOn w:val="Normal"/>
    <w:rsid w:val="0095645A"/>
    <w:pPr>
      <w:widowControl w:val="0"/>
      <w:suppressAutoHyphens w:val="0"/>
      <w:autoSpaceDE w:val="0"/>
      <w:spacing w:line="240" w:lineRule="atLeast"/>
      <w:jc w:val="both"/>
      <w:textAlignment w:val="center"/>
    </w:pPr>
    <w:rPr>
      <w:rFonts w:ascii="AvantGardeITCbyBT-Book" w:hAnsi="AvantGardeITCbyBT-Book" w:cs="AvantGardeITCbyBT-Book"/>
      <w:color w:val="595959"/>
      <w:spacing w:val="2"/>
      <w:sz w:val="20"/>
      <w:szCs w:val="20"/>
      <w:lang w:val="en-GB"/>
    </w:rPr>
  </w:style>
  <w:style w:type="paragraph" w:customStyle="1" w:styleId="Arial0">
    <w:name w:val="Arial"/>
    <w:basedOn w:val="Normal"/>
    <w:rsid w:val="0095645A"/>
    <w:pPr>
      <w:tabs>
        <w:tab w:val="left" w:pos="3380"/>
      </w:tabs>
      <w:spacing w:after="200" w:line="360" w:lineRule="auto"/>
      <w:jc w:val="both"/>
    </w:pPr>
    <w:rPr>
      <w:sz w:val="20"/>
      <w:szCs w:val="20"/>
      <w:lang w:val="es-CR" w:eastAsia="en-US"/>
    </w:rPr>
  </w:style>
  <w:style w:type="paragraph" w:customStyle="1" w:styleId="xl27">
    <w:name w:val="xl27"/>
    <w:basedOn w:val="Normal"/>
    <w:rsid w:val="0095645A"/>
    <w:pPr>
      <w:spacing w:before="100" w:after="100"/>
      <w:jc w:val="center"/>
      <w:textAlignment w:val="center"/>
    </w:pPr>
    <w:rPr>
      <w:rFonts w:ascii="Arial" w:eastAsia="Arial Unicode MS" w:hAnsi="Arial" w:cs="Arial"/>
    </w:rPr>
  </w:style>
  <w:style w:type="paragraph" w:customStyle="1" w:styleId="Lneahorizontal">
    <w:name w:val="Línea horizontal"/>
    <w:basedOn w:val="Normal"/>
    <w:next w:val="Textoindependiente"/>
    <w:rsid w:val="0095645A"/>
    <w:pPr>
      <w:widowControl w:val="0"/>
      <w:suppressLineNumbers/>
      <w:pBdr>
        <w:bottom w:val="double" w:sz="1" w:space="0" w:color="808080"/>
      </w:pBdr>
      <w:spacing w:after="283"/>
    </w:pPr>
    <w:rPr>
      <w:rFonts w:eastAsia="Lucida Sans Unicode"/>
      <w:kern w:val="1"/>
      <w:sz w:val="12"/>
      <w:szCs w:val="12"/>
      <w:lang w:val="es-CR"/>
    </w:rPr>
  </w:style>
  <w:style w:type="paragraph" w:customStyle="1" w:styleId="estilo29">
    <w:name w:val="estilo29"/>
    <w:basedOn w:val="Normal"/>
    <w:rsid w:val="0095645A"/>
    <w:pPr>
      <w:suppressAutoHyphens w:val="0"/>
      <w:spacing w:before="100" w:beforeAutospacing="1" w:after="100" w:afterAutospacing="1"/>
    </w:pPr>
    <w:rPr>
      <w:rFonts w:ascii="Arial" w:hAnsi="Arial" w:cs="Arial"/>
      <w:b/>
      <w:bCs/>
      <w:lang w:eastAsia="es-ES"/>
    </w:rPr>
  </w:style>
  <w:style w:type="paragraph" w:customStyle="1" w:styleId="Fecha2">
    <w:name w:val="Fecha2"/>
    <w:basedOn w:val="Normal"/>
    <w:rsid w:val="0095645A"/>
    <w:pPr>
      <w:widowControl w:val="0"/>
      <w:suppressAutoHyphens w:val="0"/>
      <w:overflowPunct w:val="0"/>
      <w:autoSpaceDE w:val="0"/>
      <w:autoSpaceDN w:val="0"/>
      <w:adjustRightInd w:val="0"/>
      <w:textAlignment w:val="baseline"/>
    </w:pPr>
    <w:rPr>
      <w:rFonts w:ascii="Courier New" w:hAnsi="Courier New"/>
      <w:szCs w:val="20"/>
      <w:lang w:val="es-ES_tradnl" w:eastAsia="es-ES"/>
    </w:rPr>
  </w:style>
  <w:style w:type="paragraph" w:customStyle="1" w:styleId="xl25">
    <w:name w:val="xl25"/>
    <w:basedOn w:val="Normal"/>
    <w:rsid w:val="0095645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26">
    <w:name w:val="xl26"/>
    <w:basedOn w:val="Normal"/>
    <w:rsid w:val="0095645A"/>
    <w:pPr>
      <w:suppressAutoHyphens w:val="0"/>
      <w:spacing w:before="100" w:beforeAutospacing="1" w:after="100" w:afterAutospacing="1"/>
    </w:pPr>
    <w:rPr>
      <w:rFonts w:ascii="Book Antiqua" w:eastAsia="Arial Unicode MS" w:hAnsi="Book Antiqua" w:cs="Arial Unicode MS"/>
      <w:sz w:val="22"/>
      <w:szCs w:val="22"/>
      <w:lang w:eastAsia="es-ES"/>
    </w:rPr>
  </w:style>
  <w:style w:type="paragraph" w:customStyle="1" w:styleId="xl28">
    <w:name w:val="xl28"/>
    <w:basedOn w:val="Normal"/>
    <w:rsid w:val="0095645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29">
    <w:name w:val="xl29"/>
    <w:basedOn w:val="Normal"/>
    <w:rsid w:val="0095645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30">
    <w:name w:val="xl30"/>
    <w:basedOn w:val="Normal"/>
    <w:rsid w:val="0095645A"/>
    <w:pPr>
      <w:suppressAutoHyphens w:val="0"/>
      <w:spacing w:before="100" w:beforeAutospacing="1" w:after="100" w:afterAutospacing="1"/>
    </w:pPr>
    <w:rPr>
      <w:rFonts w:ascii="Book Antiqua" w:eastAsia="Arial Unicode MS" w:hAnsi="Book Antiqua" w:cs="Arial Unicode MS"/>
      <w:sz w:val="22"/>
      <w:szCs w:val="22"/>
      <w:lang w:eastAsia="es-ES"/>
    </w:rPr>
  </w:style>
  <w:style w:type="paragraph" w:customStyle="1" w:styleId="xl31">
    <w:name w:val="xl31"/>
    <w:basedOn w:val="Normal"/>
    <w:rsid w:val="0095645A"/>
    <w:pPr>
      <w:pBdr>
        <w:bottom w:val="single" w:sz="4" w:space="0" w:color="auto"/>
      </w:pBd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32">
    <w:name w:val="xl32"/>
    <w:basedOn w:val="Normal"/>
    <w:rsid w:val="0095645A"/>
    <w:pPr>
      <w:pBdr>
        <w:top w:val="single" w:sz="4" w:space="0" w:color="auto"/>
        <w:bottom w:val="single" w:sz="4" w:space="0" w:color="auto"/>
      </w:pBdr>
      <w:suppressAutoHyphens w:val="0"/>
      <w:spacing w:before="100" w:beforeAutospacing="1" w:after="100" w:afterAutospacing="1"/>
      <w:textAlignment w:val="center"/>
    </w:pPr>
    <w:rPr>
      <w:rFonts w:ascii="Book Antiqua" w:eastAsia="Arial Unicode MS" w:hAnsi="Book Antiqua" w:cs="Arial Unicode MS"/>
      <w:b/>
      <w:bCs/>
      <w:sz w:val="22"/>
      <w:szCs w:val="22"/>
      <w:lang w:eastAsia="es-ES"/>
    </w:rPr>
  </w:style>
  <w:style w:type="paragraph" w:customStyle="1" w:styleId="xl33">
    <w:name w:val="xl33"/>
    <w:basedOn w:val="Normal"/>
    <w:rsid w:val="0095645A"/>
    <w:pPr>
      <w:pBdr>
        <w:top w:val="single" w:sz="4" w:space="0" w:color="auto"/>
        <w:bottom w:val="single" w:sz="4" w:space="0" w:color="auto"/>
      </w:pBdr>
      <w:suppressAutoHyphens w:val="0"/>
      <w:spacing w:before="100" w:beforeAutospacing="1" w:after="100" w:afterAutospacing="1"/>
      <w:jc w:val="center"/>
      <w:textAlignment w:val="center"/>
    </w:pPr>
    <w:rPr>
      <w:rFonts w:ascii="Book Antiqua" w:eastAsia="Arial Unicode MS" w:hAnsi="Book Antiqua" w:cs="Arial Unicode MS"/>
      <w:b/>
      <w:bCs/>
      <w:sz w:val="22"/>
      <w:szCs w:val="22"/>
      <w:lang w:eastAsia="es-ES"/>
    </w:rPr>
  </w:style>
  <w:style w:type="paragraph" w:customStyle="1" w:styleId="xl34">
    <w:name w:val="xl34"/>
    <w:basedOn w:val="Normal"/>
    <w:rsid w:val="0095645A"/>
    <w:pPr>
      <w:suppressAutoHyphens w:val="0"/>
      <w:spacing w:before="100" w:beforeAutospacing="1" w:after="100" w:afterAutospacing="1"/>
      <w:jc w:val="center"/>
    </w:pPr>
    <w:rPr>
      <w:rFonts w:ascii="Book Antiqua" w:eastAsia="Arial Unicode MS" w:hAnsi="Book Antiqua" w:cs="Arial Unicode MS"/>
      <w:b/>
      <w:bCs/>
      <w:sz w:val="22"/>
      <w:szCs w:val="22"/>
      <w:lang w:eastAsia="es-ES"/>
    </w:rPr>
  </w:style>
  <w:style w:type="paragraph" w:customStyle="1" w:styleId="xl35">
    <w:name w:val="xl35"/>
    <w:basedOn w:val="Normal"/>
    <w:rsid w:val="0095645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36">
    <w:name w:val="xl36"/>
    <w:basedOn w:val="Normal"/>
    <w:rsid w:val="0095645A"/>
    <w:pPr>
      <w:suppressAutoHyphens w:val="0"/>
      <w:spacing w:before="100" w:beforeAutospacing="1" w:after="100" w:afterAutospacing="1"/>
      <w:jc w:val="right"/>
    </w:pPr>
    <w:rPr>
      <w:rFonts w:ascii="Book Antiqua" w:eastAsia="Arial Unicode MS" w:hAnsi="Book Antiqua" w:cs="Arial Unicode MS"/>
      <w:b/>
      <w:bCs/>
      <w:sz w:val="22"/>
      <w:szCs w:val="22"/>
      <w:lang w:eastAsia="es-ES"/>
    </w:rPr>
  </w:style>
  <w:style w:type="paragraph" w:customStyle="1" w:styleId="xl37">
    <w:name w:val="xl37"/>
    <w:basedOn w:val="Normal"/>
    <w:rsid w:val="0095645A"/>
    <w:pPr>
      <w:suppressAutoHyphens w:val="0"/>
      <w:spacing w:before="100" w:beforeAutospacing="1" w:after="100" w:afterAutospacing="1"/>
      <w:ind w:firstLineChars="300" w:firstLine="300"/>
    </w:pPr>
    <w:rPr>
      <w:rFonts w:ascii="Book Antiqua" w:eastAsia="Arial Unicode MS" w:hAnsi="Book Antiqua" w:cs="Arial Unicode MS"/>
      <w:b/>
      <w:bCs/>
      <w:sz w:val="22"/>
      <w:szCs w:val="22"/>
      <w:lang w:eastAsia="es-ES"/>
    </w:rPr>
  </w:style>
  <w:style w:type="paragraph" w:customStyle="1" w:styleId="xl38">
    <w:name w:val="xl38"/>
    <w:basedOn w:val="Normal"/>
    <w:rsid w:val="0095645A"/>
    <w:pPr>
      <w:suppressAutoHyphens w:val="0"/>
      <w:spacing w:before="100" w:beforeAutospacing="1" w:after="100" w:afterAutospacing="1"/>
    </w:pPr>
    <w:rPr>
      <w:rFonts w:ascii="Book Antiqua" w:eastAsia="Arial Unicode MS" w:hAnsi="Book Antiqua" w:cs="Arial Unicode MS"/>
      <w:b/>
      <w:bCs/>
      <w:sz w:val="22"/>
      <w:szCs w:val="22"/>
      <w:u w:val="single"/>
      <w:lang w:eastAsia="es-ES"/>
    </w:rPr>
  </w:style>
  <w:style w:type="paragraph" w:customStyle="1" w:styleId="xl39">
    <w:name w:val="xl39"/>
    <w:basedOn w:val="Normal"/>
    <w:rsid w:val="0095645A"/>
    <w:pPr>
      <w:pBdr>
        <w:bottom w:val="single" w:sz="4" w:space="0" w:color="auto"/>
      </w:pBd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1">
    <w:name w:val="xl41"/>
    <w:basedOn w:val="Normal"/>
    <w:rsid w:val="0095645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2">
    <w:name w:val="xl42"/>
    <w:basedOn w:val="Normal"/>
    <w:rsid w:val="0095645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3">
    <w:name w:val="xl43"/>
    <w:basedOn w:val="Normal"/>
    <w:link w:val="xl43Car"/>
    <w:qFormat/>
    <w:rsid w:val="0095645A"/>
    <w:pPr>
      <w:suppressAutoHyphens w:val="0"/>
      <w:spacing w:before="100" w:beforeAutospacing="1" w:after="100" w:afterAutospacing="1"/>
      <w:textAlignment w:val="center"/>
    </w:pPr>
    <w:rPr>
      <w:rFonts w:ascii="Book Antiqua" w:eastAsia="Arial Unicode MS" w:hAnsi="Book Antiqua"/>
      <w:b/>
      <w:bCs/>
      <w:sz w:val="22"/>
      <w:szCs w:val="22"/>
      <w:lang w:eastAsia="es-ES"/>
    </w:rPr>
  </w:style>
  <w:style w:type="paragraph" w:customStyle="1" w:styleId="xl44">
    <w:name w:val="xl44"/>
    <w:basedOn w:val="Normal"/>
    <w:rsid w:val="0095645A"/>
    <w:pPr>
      <w:suppressAutoHyphens w:val="0"/>
      <w:spacing w:before="100" w:beforeAutospacing="1" w:after="100" w:afterAutospacing="1"/>
      <w:textAlignment w:val="center"/>
    </w:pPr>
    <w:rPr>
      <w:rFonts w:ascii="Book Antiqua" w:eastAsia="Arial Unicode MS" w:hAnsi="Book Antiqua" w:cs="Arial Unicode MS"/>
      <w:sz w:val="22"/>
      <w:szCs w:val="22"/>
      <w:lang w:eastAsia="es-ES"/>
    </w:rPr>
  </w:style>
  <w:style w:type="paragraph" w:customStyle="1" w:styleId="xl45">
    <w:name w:val="xl45"/>
    <w:basedOn w:val="Normal"/>
    <w:rsid w:val="0095645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46">
    <w:name w:val="xl46"/>
    <w:basedOn w:val="Normal"/>
    <w:rsid w:val="0095645A"/>
    <w:pPr>
      <w:pBdr>
        <w:bottom w:val="single" w:sz="4" w:space="0" w:color="auto"/>
      </w:pBdr>
      <w:suppressAutoHyphens w:val="0"/>
      <w:spacing w:before="100" w:beforeAutospacing="1" w:after="100" w:afterAutospacing="1"/>
      <w:jc w:val="right"/>
    </w:pPr>
    <w:rPr>
      <w:rFonts w:ascii="Book Antiqua" w:eastAsia="Arial Unicode MS" w:hAnsi="Book Antiqua" w:cs="Arial Unicode MS"/>
      <w:b/>
      <w:bCs/>
      <w:sz w:val="22"/>
      <w:szCs w:val="22"/>
      <w:lang w:eastAsia="es-ES"/>
    </w:rPr>
  </w:style>
  <w:style w:type="paragraph" w:customStyle="1" w:styleId="xl47">
    <w:name w:val="xl47"/>
    <w:basedOn w:val="Normal"/>
    <w:rsid w:val="0095645A"/>
    <w:pPr>
      <w:suppressAutoHyphens w:val="0"/>
      <w:spacing w:before="100" w:beforeAutospacing="1" w:after="100" w:afterAutospacing="1"/>
      <w:textAlignment w:val="top"/>
    </w:pPr>
    <w:rPr>
      <w:rFonts w:ascii="Book Antiqua" w:eastAsia="Arial Unicode MS" w:hAnsi="Book Antiqua" w:cs="Arial Unicode MS"/>
      <w:b/>
      <w:bCs/>
      <w:sz w:val="22"/>
      <w:szCs w:val="22"/>
      <w:lang w:eastAsia="es-ES"/>
    </w:rPr>
  </w:style>
  <w:style w:type="paragraph" w:customStyle="1" w:styleId="xl48">
    <w:name w:val="xl48"/>
    <w:basedOn w:val="Normal"/>
    <w:rsid w:val="0095645A"/>
    <w:pPr>
      <w:suppressAutoHyphens w:val="0"/>
      <w:spacing w:before="100" w:beforeAutospacing="1" w:after="100" w:afterAutospacing="1"/>
      <w:textAlignment w:val="top"/>
    </w:pPr>
    <w:rPr>
      <w:rFonts w:ascii="Book Antiqua" w:eastAsia="Arial Unicode MS" w:hAnsi="Book Antiqua" w:cs="Arial Unicode MS"/>
      <w:b/>
      <w:bCs/>
      <w:sz w:val="22"/>
      <w:szCs w:val="22"/>
      <w:lang w:eastAsia="es-ES"/>
    </w:rPr>
  </w:style>
  <w:style w:type="paragraph" w:customStyle="1" w:styleId="xl49">
    <w:name w:val="xl49"/>
    <w:basedOn w:val="Normal"/>
    <w:rsid w:val="0095645A"/>
    <w:pP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50">
    <w:name w:val="xl50"/>
    <w:basedOn w:val="Normal"/>
    <w:rsid w:val="0095645A"/>
    <w:pPr>
      <w:suppressAutoHyphens w:val="0"/>
      <w:spacing w:before="100" w:beforeAutospacing="1" w:after="100" w:afterAutospacing="1"/>
    </w:pPr>
    <w:rPr>
      <w:rFonts w:ascii="Book Antiqua" w:eastAsia="Arial Unicode MS" w:hAnsi="Book Antiqua" w:cs="Arial Unicode MS"/>
      <w:sz w:val="22"/>
      <w:szCs w:val="22"/>
      <w:lang w:eastAsia="es-ES"/>
    </w:rPr>
  </w:style>
  <w:style w:type="paragraph" w:customStyle="1" w:styleId="xl51">
    <w:name w:val="xl51"/>
    <w:basedOn w:val="Normal"/>
    <w:rsid w:val="0095645A"/>
    <w:pPr>
      <w:suppressAutoHyphens w:val="0"/>
      <w:spacing w:before="100" w:beforeAutospacing="1" w:after="100" w:afterAutospacing="1"/>
      <w:jc w:val="center"/>
      <w:textAlignment w:val="center"/>
    </w:pPr>
    <w:rPr>
      <w:rFonts w:ascii="Book Antiqua" w:eastAsia="Arial Unicode MS" w:hAnsi="Book Antiqua" w:cs="Arial Unicode MS"/>
      <w:b/>
      <w:bCs/>
      <w:sz w:val="22"/>
      <w:szCs w:val="22"/>
      <w:lang w:eastAsia="es-ES"/>
    </w:rPr>
  </w:style>
  <w:style w:type="paragraph" w:customStyle="1" w:styleId="xl52">
    <w:name w:val="xl52"/>
    <w:basedOn w:val="Normal"/>
    <w:rsid w:val="0095645A"/>
    <w:pPr>
      <w:pBdr>
        <w:bottom w:val="single" w:sz="4" w:space="0" w:color="auto"/>
      </w:pBdr>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53">
    <w:name w:val="xl53"/>
    <w:basedOn w:val="Normal"/>
    <w:rsid w:val="0095645A"/>
    <w:pPr>
      <w:suppressAutoHyphens w:val="0"/>
      <w:spacing w:before="100" w:beforeAutospacing="1" w:after="100" w:afterAutospacing="1"/>
      <w:jc w:val="right"/>
    </w:pPr>
    <w:rPr>
      <w:rFonts w:ascii="Book Antiqua" w:eastAsia="Arial Unicode MS" w:hAnsi="Book Antiqua" w:cs="Arial Unicode MS"/>
      <w:b/>
      <w:bCs/>
      <w:sz w:val="22"/>
      <w:szCs w:val="22"/>
      <w:lang w:eastAsia="es-ES"/>
    </w:rPr>
  </w:style>
  <w:style w:type="paragraph" w:customStyle="1" w:styleId="xl54">
    <w:name w:val="xl54"/>
    <w:basedOn w:val="Normal"/>
    <w:rsid w:val="0095645A"/>
    <w:pPr>
      <w:shd w:val="clear" w:color="auto" w:fill="FFFFFF"/>
      <w:suppressAutoHyphens w:val="0"/>
      <w:spacing w:before="100" w:beforeAutospacing="1" w:after="100" w:afterAutospacing="1"/>
    </w:pPr>
    <w:rPr>
      <w:rFonts w:ascii="Book Antiqua" w:eastAsia="Arial Unicode MS" w:hAnsi="Book Antiqua" w:cs="Arial Unicode MS"/>
      <w:b/>
      <w:bCs/>
      <w:sz w:val="22"/>
      <w:szCs w:val="22"/>
      <w:lang w:eastAsia="es-ES"/>
    </w:rPr>
  </w:style>
  <w:style w:type="paragraph" w:customStyle="1" w:styleId="xl55">
    <w:name w:val="xl55"/>
    <w:basedOn w:val="Normal"/>
    <w:rsid w:val="0095645A"/>
    <w:pPr>
      <w:pBdr>
        <w:bottom w:val="single" w:sz="4" w:space="0" w:color="auto"/>
      </w:pBdr>
      <w:suppressAutoHyphens w:val="0"/>
      <w:spacing w:before="100" w:beforeAutospacing="1" w:after="100" w:afterAutospacing="1"/>
    </w:pPr>
    <w:rPr>
      <w:rFonts w:ascii="Book Antiqua" w:eastAsia="Arial Unicode MS" w:hAnsi="Book Antiqua" w:cs="Arial Unicode MS"/>
      <w:b/>
      <w:bCs/>
      <w:sz w:val="26"/>
      <w:szCs w:val="26"/>
      <w:lang w:eastAsia="es-ES"/>
    </w:rPr>
  </w:style>
  <w:style w:type="paragraph" w:customStyle="1" w:styleId="xl56">
    <w:name w:val="xl56"/>
    <w:basedOn w:val="Normal"/>
    <w:rsid w:val="0095645A"/>
    <w:pPr>
      <w:pBdr>
        <w:bottom w:val="single" w:sz="4" w:space="0" w:color="auto"/>
      </w:pBdr>
      <w:suppressAutoHyphens w:val="0"/>
      <w:spacing w:before="100" w:beforeAutospacing="1" w:after="100" w:afterAutospacing="1"/>
    </w:pPr>
    <w:rPr>
      <w:rFonts w:ascii="Book Antiqua" w:eastAsia="Arial Unicode MS" w:hAnsi="Book Antiqua" w:cs="Arial Unicode MS"/>
      <w:b/>
      <w:bCs/>
      <w:sz w:val="26"/>
      <w:szCs w:val="26"/>
      <w:lang w:eastAsia="es-ES"/>
    </w:rPr>
  </w:style>
  <w:style w:type="paragraph" w:customStyle="1" w:styleId="xl58">
    <w:name w:val="xl58"/>
    <w:basedOn w:val="Normal"/>
    <w:rsid w:val="0095645A"/>
    <w:pPr>
      <w:suppressAutoHyphens w:val="0"/>
      <w:spacing w:before="100" w:beforeAutospacing="1" w:after="100" w:afterAutospacing="1"/>
    </w:pPr>
    <w:rPr>
      <w:rFonts w:ascii="Book Antiqua" w:eastAsia="Arial Unicode MS" w:hAnsi="Book Antiqua" w:cs="Arial Unicode MS"/>
      <w:sz w:val="26"/>
      <w:szCs w:val="26"/>
      <w:lang w:eastAsia="es-ES"/>
    </w:rPr>
  </w:style>
  <w:style w:type="paragraph" w:customStyle="1" w:styleId="xl59">
    <w:name w:val="xl59"/>
    <w:basedOn w:val="Normal"/>
    <w:rsid w:val="0095645A"/>
    <w:pPr>
      <w:pBdr>
        <w:bottom w:val="single" w:sz="4" w:space="0" w:color="auto"/>
      </w:pBdr>
      <w:suppressAutoHyphens w:val="0"/>
      <w:spacing w:before="100" w:beforeAutospacing="1" w:after="100" w:afterAutospacing="1"/>
    </w:pPr>
    <w:rPr>
      <w:rFonts w:ascii="Book Antiqua" w:eastAsia="Arial Unicode MS" w:hAnsi="Book Antiqua" w:cs="Arial Unicode MS"/>
      <w:sz w:val="26"/>
      <w:szCs w:val="26"/>
      <w:lang w:eastAsia="es-ES"/>
    </w:rPr>
  </w:style>
  <w:style w:type="paragraph" w:customStyle="1" w:styleId="xl60">
    <w:name w:val="xl60"/>
    <w:basedOn w:val="Normal"/>
    <w:rsid w:val="0095645A"/>
    <w:pPr>
      <w:suppressAutoHyphens w:val="0"/>
      <w:spacing w:before="100" w:beforeAutospacing="1" w:after="100" w:afterAutospacing="1"/>
    </w:pPr>
    <w:rPr>
      <w:rFonts w:ascii="Book Antiqua" w:eastAsia="Arial Unicode MS" w:hAnsi="Book Antiqua" w:cs="Arial Unicode MS"/>
      <w:b/>
      <w:bCs/>
      <w:sz w:val="26"/>
      <w:szCs w:val="26"/>
      <w:lang w:eastAsia="es-ES"/>
    </w:rPr>
  </w:style>
  <w:style w:type="paragraph" w:customStyle="1" w:styleId="xl61">
    <w:name w:val="xl61"/>
    <w:basedOn w:val="Normal"/>
    <w:rsid w:val="0095645A"/>
    <w:pPr>
      <w:suppressAutoHyphens w:val="0"/>
      <w:spacing w:before="100" w:beforeAutospacing="1" w:after="100" w:afterAutospacing="1"/>
    </w:pPr>
    <w:rPr>
      <w:rFonts w:ascii="Book Antiqua" w:eastAsia="Arial Unicode MS" w:hAnsi="Book Antiqua" w:cs="Arial Unicode MS"/>
      <w:sz w:val="26"/>
      <w:szCs w:val="26"/>
      <w:lang w:eastAsia="es-ES"/>
    </w:rPr>
  </w:style>
  <w:style w:type="paragraph" w:customStyle="1" w:styleId="xl62">
    <w:name w:val="xl62"/>
    <w:basedOn w:val="Normal"/>
    <w:rsid w:val="0095645A"/>
    <w:pPr>
      <w:suppressAutoHyphens w:val="0"/>
      <w:spacing w:before="100" w:beforeAutospacing="1" w:after="100" w:afterAutospacing="1"/>
    </w:pPr>
    <w:rPr>
      <w:rFonts w:ascii="Book Antiqua" w:eastAsia="Arial Unicode MS" w:hAnsi="Book Antiqua" w:cs="Arial Unicode MS"/>
      <w:b/>
      <w:bCs/>
      <w:sz w:val="26"/>
      <w:szCs w:val="26"/>
      <w:lang w:eastAsia="es-ES"/>
    </w:rPr>
  </w:style>
  <w:style w:type="paragraph" w:customStyle="1" w:styleId="xl79">
    <w:name w:val="xl79"/>
    <w:basedOn w:val="Normal"/>
    <w:rsid w:val="0095645A"/>
    <w:pPr>
      <w:suppressAutoHyphens w:val="0"/>
      <w:spacing w:before="100" w:beforeAutospacing="1" w:after="100" w:afterAutospacing="1"/>
      <w:jc w:val="center"/>
      <w:textAlignment w:val="top"/>
    </w:pPr>
    <w:rPr>
      <w:rFonts w:ascii="Arial" w:eastAsia="Arial Unicode MS" w:hAnsi="Arial" w:cs="Arial"/>
      <w:lang w:eastAsia="es-ES"/>
    </w:rPr>
  </w:style>
  <w:style w:type="paragraph" w:customStyle="1" w:styleId="xl80">
    <w:name w:val="xl80"/>
    <w:basedOn w:val="Normal"/>
    <w:rsid w:val="0095645A"/>
    <w:pPr>
      <w:suppressAutoHyphens w:val="0"/>
      <w:spacing w:before="100" w:beforeAutospacing="1" w:after="100" w:afterAutospacing="1"/>
      <w:textAlignment w:val="top"/>
    </w:pPr>
    <w:rPr>
      <w:rFonts w:ascii="Arial Unicode MS" w:eastAsia="Arial Unicode MS" w:hAnsi="Arial Unicode MS" w:cs="Arial Unicode MS"/>
      <w:lang w:eastAsia="es-ES"/>
    </w:rPr>
  </w:style>
  <w:style w:type="paragraph" w:customStyle="1" w:styleId="xl81">
    <w:name w:val="xl81"/>
    <w:basedOn w:val="Normal"/>
    <w:rsid w:val="0095645A"/>
    <w:pPr>
      <w:suppressAutoHyphens w:val="0"/>
      <w:spacing w:before="100" w:beforeAutospacing="1" w:after="100" w:afterAutospacing="1"/>
      <w:textAlignment w:val="top"/>
    </w:pPr>
    <w:rPr>
      <w:rFonts w:ascii="Arial" w:eastAsia="Arial Unicode MS" w:hAnsi="Arial" w:cs="Arial"/>
      <w:b/>
      <w:bCs/>
      <w:lang w:eastAsia="es-ES"/>
    </w:rPr>
  </w:style>
  <w:style w:type="paragraph" w:customStyle="1" w:styleId="xl82">
    <w:name w:val="xl82"/>
    <w:basedOn w:val="Normal"/>
    <w:rsid w:val="0095645A"/>
    <w:pPr>
      <w:pBdr>
        <w:left w:val="single" w:sz="4" w:space="0" w:color="auto"/>
        <w:right w:val="single" w:sz="4" w:space="0" w:color="auto"/>
      </w:pBdr>
      <w:suppressAutoHyphens w:val="0"/>
      <w:spacing w:before="100" w:beforeAutospacing="1" w:after="100" w:afterAutospacing="1"/>
    </w:pPr>
    <w:rPr>
      <w:rFonts w:ascii="Arial" w:eastAsia="Arial Unicode MS" w:hAnsi="Arial" w:cs="Arial"/>
      <w:lang w:eastAsia="es-ES"/>
    </w:rPr>
  </w:style>
  <w:style w:type="paragraph" w:customStyle="1" w:styleId="xl90">
    <w:name w:val="xl90"/>
    <w:basedOn w:val="Normal"/>
    <w:rsid w:val="0095645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1">
    <w:name w:val="xl91"/>
    <w:basedOn w:val="Normal"/>
    <w:rsid w:val="0095645A"/>
    <w:pPr>
      <w:pBdr>
        <w:top w:val="single" w:sz="4" w:space="0" w:color="auto"/>
        <w:bottom w:val="single" w:sz="4" w:space="0" w:color="auto"/>
      </w:pBdr>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2">
    <w:name w:val="xl92"/>
    <w:basedOn w:val="Normal"/>
    <w:rsid w:val="0095645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3">
    <w:name w:val="xl93"/>
    <w:basedOn w:val="Normal"/>
    <w:rsid w:val="0095645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4">
    <w:name w:val="xl94"/>
    <w:basedOn w:val="Normal"/>
    <w:rsid w:val="0095645A"/>
    <w:pPr>
      <w:pBdr>
        <w:left w:val="single" w:sz="4" w:space="0" w:color="auto"/>
      </w:pBdr>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95">
    <w:name w:val="xl95"/>
    <w:basedOn w:val="Normal"/>
    <w:rsid w:val="0095645A"/>
    <w:pPr>
      <w:pBdr>
        <w:left w:val="single" w:sz="4" w:space="0" w:color="auto"/>
        <w:right w:val="single" w:sz="4" w:space="0" w:color="auto"/>
      </w:pBdr>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96">
    <w:name w:val="xl96"/>
    <w:basedOn w:val="Normal"/>
    <w:rsid w:val="0095645A"/>
    <w:pPr>
      <w:pBdr>
        <w:right w:val="single" w:sz="4" w:space="0" w:color="auto"/>
      </w:pBdr>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97">
    <w:name w:val="xl97"/>
    <w:basedOn w:val="Normal"/>
    <w:rsid w:val="0095645A"/>
    <w:pPr>
      <w:pBdr>
        <w:right w:val="single" w:sz="4" w:space="0" w:color="auto"/>
      </w:pBdr>
      <w:shd w:val="clear" w:color="auto" w:fill="808080"/>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8">
    <w:name w:val="xl98"/>
    <w:basedOn w:val="Normal"/>
    <w:rsid w:val="0095645A"/>
    <w:pPr>
      <w:shd w:val="clear" w:color="auto" w:fill="808080"/>
      <w:suppressAutoHyphens w:val="0"/>
      <w:spacing w:before="100" w:beforeAutospacing="1" w:after="100" w:afterAutospacing="1"/>
      <w:jc w:val="center"/>
      <w:textAlignment w:val="top"/>
    </w:pPr>
    <w:rPr>
      <w:rFonts w:ascii="Arial" w:eastAsia="Arial Unicode MS" w:hAnsi="Arial" w:cs="Arial"/>
      <w:b/>
      <w:bCs/>
      <w:lang w:eastAsia="es-ES"/>
    </w:rPr>
  </w:style>
  <w:style w:type="paragraph" w:customStyle="1" w:styleId="xl99">
    <w:name w:val="xl99"/>
    <w:basedOn w:val="Normal"/>
    <w:rsid w:val="0095645A"/>
    <w:pPr>
      <w:suppressAutoHyphens w:val="0"/>
      <w:spacing w:before="100" w:beforeAutospacing="1" w:after="100" w:afterAutospacing="1"/>
    </w:pPr>
    <w:rPr>
      <w:rFonts w:ascii="Arial" w:eastAsia="Arial Unicode MS" w:hAnsi="Arial" w:cs="Arial"/>
      <w:lang w:eastAsia="es-ES"/>
    </w:rPr>
  </w:style>
  <w:style w:type="paragraph" w:customStyle="1" w:styleId="xl100">
    <w:name w:val="xl100"/>
    <w:basedOn w:val="Normal"/>
    <w:rsid w:val="0095645A"/>
    <w:pPr>
      <w:pBdr>
        <w:right w:val="single" w:sz="4" w:space="0" w:color="auto"/>
      </w:pBdr>
      <w:suppressAutoHyphens w:val="0"/>
      <w:spacing w:before="100" w:beforeAutospacing="1" w:after="100" w:afterAutospacing="1"/>
    </w:pPr>
    <w:rPr>
      <w:rFonts w:ascii="Arial" w:eastAsia="Arial Unicode MS" w:hAnsi="Arial" w:cs="Arial"/>
      <w:lang w:eastAsia="es-ES"/>
    </w:rPr>
  </w:style>
  <w:style w:type="paragraph" w:customStyle="1" w:styleId="xl101">
    <w:name w:val="xl101"/>
    <w:basedOn w:val="Normal"/>
    <w:rsid w:val="0095645A"/>
    <w:pPr>
      <w:pBdr>
        <w:left w:val="single" w:sz="4" w:space="0" w:color="auto"/>
      </w:pBdr>
      <w:suppressAutoHyphens w:val="0"/>
      <w:spacing w:before="100" w:beforeAutospacing="1" w:after="100" w:afterAutospacing="1"/>
    </w:pPr>
    <w:rPr>
      <w:rFonts w:ascii="Arial" w:eastAsia="Arial Unicode MS" w:hAnsi="Arial" w:cs="Arial"/>
      <w:b/>
      <w:bCs/>
      <w:lang w:eastAsia="es-ES"/>
    </w:rPr>
  </w:style>
  <w:style w:type="paragraph" w:customStyle="1" w:styleId="xl102">
    <w:name w:val="xl102"/>
    <w:basedOn w:val="Normal"/>
    <w:rsid w:val="0095645A"/>
    <w:pPr>
      <w:pBdr>
        <w:left w:val="single" w:sz="4" w:space="0" w:color="auto"/>
        <w:right w:val="single" w:sz="4" w:space="0" w:color="auto"/>
      </w:pBdr>
      <w:shd w:val="clear" w:color="auto" w:fill="FFFFFF"/>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103">
    <w:name w:val="xl103"/>
    <w:basedOn w:val="Normal"/>
    <w:rsid w:val="0095645A"/>
    <w:pPr>
      <w:shd w:val="clear" w:color="auto" w:fill="FFFFFF"/>
      <w:suppressAutoHyphens w:val="0"/>
      <w:spacing w:before="100" w:beforeAutospacing="1" w:after="100" w:afterAutospacing="1"/>
    </w:pPr>
    <w:rPr>
      <w:rFonts w:ascii="Arial Unicode MS" w:eastAsia="Arial Unicode MS" w:hAnsi="Arial Unicode MS" w:cs="Arial Unicode MS"/>
      <w:lang w:eastAsia="es-ES"/>
    </w:rPr>
  </w:style>
  <w:style w:type="paragraph" w:customStyle="1" w:styleId="xl104">
    <w:name w:val="xl104"/>
    <w:basedOn w:val="Normal"/>
    <w:rsid w:val="0095645A"/>
    <w:pPr>
      <w:pBdr>
        <w:left w:val="single" w:sz="4" w:space="0" w:color="auto"/>
        <w:right w:val="single" w:sz="4" w:space="0" w:color="auto"/>
      </w:pBdr>
      <w:suppressAutoHyphens w:val="0"/>
      <w:spacing w:before="100" w:beforeAutospacing="1" w:after="100" w:afterAutospacing="1"/>
      <w:textAlignment w:val="top"/>
    </w:pPr>
    <w:rPr>
      <w:rFonts w:ascii="Arial" w:eastAsia="Arial Unicode MS" w:hAnsi="Arial" w:cs="Arial"/>
      <w:lang w:eastAsia="es-ES"/>
    </w:rPr>
  </w:style>
  <w:style w:type="paragraph" w:customStyle="1" w:styleId="xl105">
    <w:name w:val="xl105"/>
    <w:basedOn w:val="Normal"/>
    <w:rsid w:val="0095645A"/>
    <w:pPr>
      <w:pBdr>
        <w:top w:val="single" w:sz="4" w:space="0" w:color="auto"/>
        <w:left w:val="single" w:sz="4" w:space="0" w:color="auto"/>
        <w:bottom w:val="single" w:sz="4" w:space="0" w:color="auto"/>
      </w:pBdr>
      <w:suppressAutoHyphens w:val="0"/>
      <w:spacing w:before="100" w:beforeAutospacing="1" w:after="100" w:afterAutospacing="1"/>
      <w:jc w:val="center"/>
      <w:textAlignment w:val="top"/>
    </w:pPr>
    <w:rPr>
      <w:rFonts w:eastAsia="Arial Unicode MS"/>
      <w:b/>
      <w:bCs/>
      <w:lang w:eastAsia="es-ES"/>
    </w:rPr>
  </w:style>
  <w:style w:type="paragraph" w:customStyle="1" w:styleId="xl106">
    <w:name w:val="xl106"/>
    <w:basedOn w:val="Normal"/>
    <w:rsid w:val="0095645A"/>
    <w:pPr>
      <w:pBdr>
        <w:top w:val="single" w:sz="4" w:space="0" w:color="auto"/>
        <w:bottom w:val="single" w:sz="4" w:space="0" w:color="auto"/>
      </w:pBdr>
      <w:suppressAutoHyphens w:val="0"/>
      <w:spacing w:before="100" w:beforeAutospacing="1" w:after="100" w:afterAutospacing="1"/>
      <w:jc w:val="center"/>
      <w:textAlignment w:val="top"/>
    </w:pPr>
    <w:rPr>
      <w:rFonts w:eastAsia="Arial Unicode MS"/>
      <w:b/>
      <w:bCs/>
      <w:lang w:eastAsia="es-ES"/>
    </w:rPr>
  </w:style>
  <w:style w:type="paragraph" w:customStyle="1" w:styleId="xl107">
    <w:name w:val="xl107"/>
    <w:basedOn w:val="Normal"/>
    <w:rsid w:val="0095645A"/>
    <w:pPr>
      <w:pBdr>
        <w:top w:val="single" w:sz="4" w:space="0" w:color="auto"/>
        <w:bottom w:val="single" w:sz="4" w:space="0" w:color="auto"/>
        <w:right w:val="single" w:sz="4" w:space="0" w:color="auto"/>
      </w:pBdr>
      <w:suppressAutoHyphens w:val="0"/>
      <w:spacing w:before="100" w:beforeAutospacing="1" w:after="100" w:afterAutospacing="1"/>
      <w:jc w:val="center"/>
      <w:textAlignment w:val="top"/>
    </w:pPr>
    <w:rPr>
      <w:rFonts w:eastAsia="Arial Unicode MS"/>
      <w:b/>
      <w:bCs/>
      <w:lang w:eastAsia="es-ES"/>
    </w:rPr>
  </w:style>
  <w:style w:type="paragraph" w:customStyle="1" w:styleId="heading1">
    <w:name w:val="heading1"/>
    <w:basedOn w:val="Normal"/>
    <w:rsid w:val="0095645A"/>
    <w:pPr>
      <w:keepNext/>
      <w:suppressAutoHyphens w:val="0"/>
      <w:autoSpaceDE w:val="0"/>
      <w:spacing w:line="480" w:lineRule="auto"/>
      <w:ind w:left="720"/>
      <w:jc w:val="center"/>
    </w:pPr>
    <w:rPr>
      <w:rFonts w:ascii="Arial" w:hAnsi="Arial" w:cs="Arial"/>
      <w:b/>
      <w:bCs/>
      <w:u w:val="single"/>
      <w:lang w:eastAsia="es-ES"/>
    </w:rPr>
  </w:style>
  <w:style w:type="paragraph" w:customStyle="1" w:styleId="ttulo70">
    <w:name w:val="ttulo7"/>
    <w:basedOn w:val="Normal"/>
    <w:rsid w:val="0095645A"/>
    <w:pPr>
      <w:keepNext/>
      <w:suppressAutoHyphens w:val="0"/>
      <w:autoSpaceDE w:val="0"/>
      <w:jc w:val="both"/>
    </w:pPr>
    <w:rPr>
      <w:rFonts w:ascii="Arial" w:hAnsi="Arial" w:cs="Arial"/>
      <w:b/>
      <w:bCs/>
      <w:u w:val="single"/>
      <w:lang w:eastAsia="es-ES"/>
    </w:rPr>
  </w:style>
  <w:style w:type="paragraph" w:customStyle="1" w:styleId="bodytextindent2">
    <w:name w:val="bodytextindent2"/>
    <w:basedOn w:val="Normal"/>
    <w:rsid w:val="0095645A"/>
    <w:pPr>
      <w:suppressAutoHyphens w:val="0"/>
      <w:autoSpaceDE w:val="0"/>
      <w:spacing w:line="480" w:lineRule="auto"/>
      <w:ind w:firstLine="708"/>
      <w:jc w:val="both"/>
    </w:pPr>
    <w:rPr>
      <w:rFonts w:ascii="Arial" w:hAnsi="Arial" w:cs="Arial"/>
      <w:u w:val="single"/>
      <w:lang w:eastAsia="es-ES"/>
    </w:rPr>
  </w:style>
  <w:style w:type="paragraph" w:customStyle="1" w:styleId="estilo12">
    <w:name w:val="estilo12"/>
    <w:basedOn w:val="Normal"/>
    <w:rsid w:val="0095645A"/>
    <w:pPr>
      <w:suppressAutoHyphens w:val="0"/>
      <w:spacing w:before="100" w:beforeAutospacing="1" w:after="100" w:afterAutospacing="1"/>
    </w:pPr>
    <w:rPr>
      <w:rFonts w:ascii="Arial" w:hAnsi="Arial" w:cs="Arial"/>
      <w:color w:val="003366"/>
      <w:sz w:val="21"/>
      <w:szCs w:val="21"/>
      <w:lang w:eastAsia="es-ES"/>
    </w:rPr>
  </w:style>
  <w:style w:type="character" w:customStyle="1" w:styleId="estilo191">
    <w:name w:val="estilo191"/>
    <w:rsid w:val="0095645A"/>
    <w:rPr>
      <w:rFonts w:ascii="Monotype Corsiva" w:hAnsi="Monotype Corsiva" w:hint="default"/>
      <w:b/>
      <w:bCs/>
      <w:i/>
      <w:iCs/>
      <w:color w:val="1D0000"/>
    </w:rPr>
  </w:style>
  <w:style w:type="character" w:customStyle="1" w:styleId="estilo111">
    <w:name w:val="estilo111"/>
    <w:rsid w:val="0095645A"/>
    <w:rPr>
      <w:rFonts w:ascii="Arial" w:hAnsi="Arial" w:cs="Arial" w:hint="default"/>
    </w:rPr>
  </w:style>
  <w:style w:type="character" w:customStyle="1" w:styleId="estilo141">
    <w:name w:val="estilo141"/>
    <w:rsid w:val="0095645A"/>
    <w:rPr>
      <w:rFonts w:ascii="Arial" w:hAnsi="Arial" w:cs="Arial" w:hint="default"/>
    </w:rPr>
  </w:style>
  <w:style w:type="character" w:customStyle="1" w:styleId="estilo171">
    <w:name w:val="estilo171"/>
    <w:rsid w:val="0095645A"/>
  </w:style>
  <w:style w:type="paragraph" w:customStyle="1" w:styleId="Ttulo35">
    <w:name w:val="TÕtulo 3"/>
    <w:next w:val="Normal"/>
    <w:rsid w:val="0095645A"/>
    <w:pPr>
      <w:keepNext/>
      <w:widowControl w:val="0"/>
      <w:suppressAutoHyphens/>
      <w:autoSpaceDE w:val="0"/>
      <w:jc w:val="both"/>
    </w:pPr>
    <w:rPr>
      <w:rFonts w:ascii="Tahoma" w:eastAsia="Tahoma" w:hAnsi="Tahoma" w:cs="Tahoma"/>
      <w:b/>
      <w:bCs/>
      <w:sz w:val="24"/>
      <w:szCs w:val="24"/>
      <w:u w:val="single"/>
      <w:lang w:bidi="es-ES"/>
    </w:rPr>
  </w:style>
  <w:style w:type="paragraph" w:customStyle="1" w:styleId="Ttulo72">
    <w:name w:val="T’tulo 7"/>
    <w:next w:val="Normal"/>
    <w:rsid w:val="0095645A"/>
    <w:pPr>
      <w:keepNext/>
      <w:widowControl w:val="0"/>
      <w:suppressAutoHyphens/>
      <w:autoSpaceDE w:val="0"/>
      <w:jc w:val="both"/>
    </w:pPr>
    <w:rPr>
      <w:rFonts w:ascii="Arial" w:eastAsia="Arial" w:hAnsi="Arial" w:cs="Arial"/>
      <w:b/>
      <w:bCs/>
      <w:sz w:val="24"/>
      <w:szCs w:val="24"/>
      <w:u w:val="single"/>
      <w:lang w:bidi="es-ES"/>
    </w:rPr>
  </w:style>
  <w:style w:type="paragraph" w:styleId="Firmadecorreoelectrnico">
    <w:name w:val="E-mail Signature"/>
    <w:basedOn w:val="Normal"/>
    <w:link w:val="FirmadecorreoelectrnicoCar"/>
    <w:qFormat/>
    <w:rsid w:val="0095645A"/>
    <w:pPr>
      <w:suppressAutoHyphens w:val="0"/>
    </w:pPr>
    <w:rPr>
      <w:lang w:eastAsia="es-ES"/>
    </w:rPr>
  </w:style>
  <w:style w:type="character" w:customStyle="1" w:styleId="FirmadecorreoelectrnicoCar">
    <w:name w:val="Firma de correo electrónico Car"/>
    <w:basedOn w:val="Fuentedeprrafopredeter"/>
    <w:link w:val="Firmadecorreoelectrnico"/>
    <w:rsid w:val="0095645A"/>
    <w:rPr>
      <w:sz w:val="24"/>
      <w:szCs w:val="24"/>
    </w:rPr>
  </w:style>
  <w:style w:type="paragraph" w:customStyle="1" w:styleId="estilo2estilo3">
    <w:name w:val="estilo2estilo3"/>
    <w:basedOn w:val="Normal"/>
    <w:rsid w:val="0095645A"/>
    <w:pPr>
      <w:suppressAutoHyphens w:val="0"/>
      <w:spacing w:before="100" w:beforeAutospacing="1" w:after="100" w:afterAutospacing="1"/>
    </w:pPr>
    <w:rPr>
      <w:lang w:eastAsia="es-ES"/>
    </w:rPr>
  </w:style>
  <w:style w:type="paragraph" w:customStyle="1" w:styleId="CarCar2CarCarCarCarCarCar">
    <w:name w:val="Car Car2 Car Car Car Car Car Car"/>
    <w:basedOn w:val="Normal"/>
    <w:link w:val="CarCar2CarCarCarCarCarCarCar"/>
    <w:autoRedefine/>
    <w:rsid w:val="0095645A"/>
    <w:pPr>
      <w:tabs>
        <w:tab w:val="left" w:pos="0"/>
        <w:tab w:val="left" w:pos="700"/>
      </w:tabs>
      <w:suppressAutoHyphens w:val="0"/>
      <w:spacing w:line="360" w:lineRule="auto"/>
      <w:jc w:val="center"/>
    </w:pPr>
    <w:rPr>
      <w:rFonts w:ascii="Arial" w:hAnsi="Arial"/>
      <w:b/>
      <w:sz w:val="26"/>
      <w:szCs w:val="26"/>
      <w:lang w:val="es-MX" w:eastAsia="en-US"/>
    </w:rPr>
  </w:style>
  <w:style w:type="character" w:customStyle="1" w:styleId="CarCar2CarCarCarCarCarCarCar">
    <w:name w:val="Car Car2 Car Car Car Car Car Car Car"/>
    <w:link w:val="CarCar2CarCarCarCarCarCar"/>
    <w:rsid w:val="0095645A"/>
    <w:rPr>
      <w:rFonts w:ascii="Arial" w:hAnsi="Arial"/>
      <w:b/>
      <w:sz w:val="26"/>
      <w:szCs w:val="26"/>
      <w:lang w:val="es-MX" w:eastAsia="en-US"/>
    </w:rPr>
  </w:style>
  <w:style w:type="paragraph" w:customStyle="1" w:styleId="CM3">
    <w:name w:val="CM3"/>
    <w:basedOn w:val="Default"/>
    <w:next w:val="Default"/>
    <w:rsid w:val="0095645A"/>
  </w:style>
  <w:style w:type="character" w:customStyle="1" w:styleId="texto">
    <w:name w:val="texto"/>
    <w:rsid w:val="0095645A"/>
  </w:style>
  <w:style w:type="paragraph" w:customStyle="1" w:styleId="x4000">
    <w:name w:val="x4000"/>
    <w:basedOn w:val="Normal"/>
    <w:rsid w:val="0095645A"/>
    <w:pPr>
      <w:suppressAutoHyphens w:val="0"/>
      <w:overflowPunct w:val="0"/>
      <w:autoSpaceDE w:val="0"/>
      <w:autoSpaceDN w:val="0"/>
      <w:ind w:right="567"/>
    </w:pPr>
    <w:rPr>
      <w:rFonts w:ascii="Courier" w:hAnsi="Courier"/>
      <w:caps/>
      <w:sz w:val="22"/>
      <w:szCs w:val="22"/>
      <w:lang w:eastAsia="es-ES"/>
    </w:rPr>
  </w:style>
  <w:style w:type="table" w:styleId="Tablaelegante">
    <w:name w:val="Table Elegant"/>
    <w:basedOn w:val="Tablanormal"/>
    <w:qFormat/>
    <w:rsid w:val="0095645A"/>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customStyle="1" w:styleId="font5">
    <w:name w:val="font5"/>
    <w:basedOn w:val="Normal"/>
    <w:rsid w:val="0095645A"/>
    <w:pPr>
      <w:suppressAutoHyphens w:val="0"/>
      <w:spacing w:before="100" w:beforeAutospacing="1" w:after="100" w:afterAutospacing="1"/>
    </w:pPr>
    <w:rPr>
      <w:rFonts w:ascii="Arial" w:eastAsia="Arial Unicode MS" w:hAnsi="Arial" w:cs="Arial"/>
      <w:b/>
      <w:bCs/>
      <w:color w:val="000000"/>
      <w:sz w:val="20"/>
      <w:szCs w:val="20"/>
      <w:lang w:eastAsia="es-ES"/>
    </w:rPr>
  </w:style>
  <w:style w:type="paragraph" w:customStyle="1" w:styleId="xl57">
    <w:name w:val="xl57"/>
    <w:basedOn w:val="Normal"/>
    <w:rsid w:val="0095645A"/>
    <w:pPr>
      <w:pBdr>
        <w:top w:val="single" w:sz="4" w:space="0" w:color="auto"/>
        <w:left w:val="single" w:sz="4" w:space="0" w:color="auto"/>
        <w:bottom w:val="single" w:sz="4" w:space="0" w:color="auto"/>
        <w:right w:val="single" w:sz="4" w:space="0" w:color="auto"/>
      </w:pBdr>
      <w:shd w:val="clear" w:color="auto" w:fill="CCFFFF"/>
      <w:suppressAutoHyphens w:val="0"/>
      <w:spacing w:before="100" w:beforeAutospacing="1" w:after="100" w:afterAutospacing="1"/>
      <w:jc w:val="center"/>
    </w:pPr>
    <w:rPr>
      <w:rFonts w:ascii="Arial" w:eastAsia="Arial Unicode MS" w:hAnsi="Arial" w:cs="Arial"/>
      <w:b/>
      <w:bCs/>
      <w:color w:val="000000"/>
      <w:sz w:val="16"/>
      <w:szCs w:val="16"/>
      <w:lang w:eastAsia="es-ES"/>
    </w:rPr>
  </w:style>
  <w:style w:type="paragraph" w:customStyle="1" w:styleId="font6">
    <w:name w:val="font6"/>
    <w:basedOn w:val="Normal"/>
    <w:rsid w:val="0095645A"/>
    <w:pPr>
      <w:suppressAutoHyphens w:val="0"/>
      <w:spacing w:before="100" w:beforeAutospacing="1" w:after="100" w:afterAutospacing="1"/>
    </w:pPr>
    <w:rPr>
      <w:rFonts w:ascii="Tahoma" w:eastAsia="Arial Unicode MS" w:hAnsi="Tahoma" w:cs="Tahoma"/>
      <w:color w:val="000000"/>
      <w:sz w:val="16"/>
      <w:szCs w:val="16"/>
      <w:lang w:eastAsia="es-ES"/>
    </w:rPr>
  </w:style>
  <w:style w:type="paragraph" w:customStyle="1" w:styleId="xl22">
    <w:name w:val="xl22"/>
    <w:basedOn w:val="Normal"/>
    <w:rsid w:val="0095645A"/>
    <w:pPr>
      <w:suppressAutoHyphens w:val="0"/>
      <w:spacing w:before="100" w:beforeAutospacing="1" w:after="100" w:afterAutospacing="1"/>
      <w:jc w:val="center"/>
      <w:textAlignment w:val="center"/>
    </w:pPr>
    <w:rPr>
      <w:rFonts w:ascii="Arial" w:eastAsia="Arial Unicode MS" w:hAnsi="Arial" w:cs="Arial"/>
      <w:b/>
      <w:bCs/>
      <w:sz w:val="16"/>
      <w:szCs w:val="16"/>
      <w:lang w:eastAsia="es-ES"/>
    </w:rPr>
  </w:style>
  <w:style w:type="paragraph" w:customStyle="1" w:styleId="xl23">
    <w:name w:val="xl23"/>
    <w:basedOn w:val="Normal"/>
    <w:rsid w:val="0095645A"/>
    <w:pPr>
      <w:suppressAutoHyphens w:val="0"/>
      <w:spacing w:before="100" w:beforeAutospacing="1" w:after="100" w:afterAutospacing="1"/>
      <w:jc w:val="center"/>
      <w:textAlignment w:val="center"/>
    </w:pPr>
    <w:rPr>
      <w:rFonts w:ascii="Arial" w:eastAsia="Arial Unicode MS" w:hAnsi="Arial" w:cs="Arial"/>
      <w:lang w:eastAsia="es-ES"/>
    </w:rPr>
  </w:style>
  <w:style w:type="paragraph" w:customStyle="1" w:styleId="normal100">
    <w:name w:val="normal10"/>
    <w:basedOn w:val="Normal"/>
    <w:rsid w:val="0095645A"/>
    <w:pPr>
      <w:suppressAutoHyphens w:val="0"/>
    </w:pPr>
    <w:rPr>
      <w:color w:val="000000"/>
      <w:lang w:eastAsia="es-ES"/>
    </w:rPr>
  </w:style>
  <w:style w:type="character" w:customStyle="1" w:styleId="EstiloCorreo8231">
    <w:name w:val="EstiloCorreo8231"/>
    <w:rsid w:val="0095645A"/>
    <w:rPr>
      <w:color w:val="000000"/>
    </w:rPr>
  </w:style>
  <w:style w:type="character" w:customStyle="1" w:styleId="displayonly">
    <w:name w:val="display_only"/>
    <w:rsid w:val="0095645A"/>
  </w:style>
  <w:style w:type="paragraph" w:customStyle="1" w:styleId="Headings">
    <w:name w:val="Headings"/>
    <w:basedOn w:val="Normal"/>
    <w:rsid w:val="0095645A"/>
    <w:pPr>
      <w:tabs>
        <w:tab w:val="left" w:pos="720"/>
      </w:tabs>
      <w:spacing w:after="40" w:line="100" w:lineRule="atLeast"/>
    </w:pPr>
    <w:rPr>
      <w:rFonts w:ascii="Tahoma" w:hAnsi="Tahoma" w:cs="Tahoma"/>
      <w:b/>
      <w:color w:val="00000A"/>
      <w:sz w:val="20"/>
      <w:szCs w:val="20"/>
      <w:lang w:eastAsia="zh-CN"/>
    </w:rPr>
  </w:style>
  <w:style w:type="character" w:customStyle="1" w:styleId="EstiloCorreo828">
    <w:name w:val="EstiloCorreo828"/>
    <w:rsid w:val="0095645A"/>
    <w:rPr>
      <w:rFonts w:ascii="Arial" w:hAnsi="Arial" w:cs="Arial"/>
      <w:color w:val="auto"/>
      <w:sz w:val="20"/>
      <w:szCs w:val="20"/>
    </w:rPr>
  </w:style>
  <w:style w:type="paragraph" w:customStyle="1" w:styleId="h-subtitle01italics">
    <w:name w:val="h-subtitle01italics"/>
    <w:basedOn w:val="Normal"/>
    <w:rsid w:val="0095645A"/>
    <w:pPr>
      <w:keepNext/>
      <w:suppressAutoHyphens w:val="0"/>
      <w:autoSpaceDN w:val="0"/>
      <w:spacing w:before="240" w:after="120"/>
    </w:pPr>
    <w:rPr>
      <w:rFonts w:ascii="Arial" w:hAnsi="Arial" w:cs="Arial"/>
      <w:i/>
      <w:iCs/>
      <w:sz w:val="20"/>
      <w:szCs w:val="20"/>
      <w:lang w:eastAsia="es-ES"/>
    </w:rPr>
  </w:style>
  <w:style w:type="paragraph" w:customStyle="1" w:styleId="bodytextarial">
    <w:name w:val="bodytextarial"/>
    <w:basedOn w:val="Normal"/>
    <w:rsid w:val="0095645A"/>
    <w:pPr>
      <w:suppressAutoHyphens w:val="0"/>
      <w:spacing w:before="60" w:after="180" w:line="312" w:lineRule="auto"/>
    </w:pPr>
    <w:rPr>
      <w:rFonts w:ascii="Arial" w:hAnsi="Arial" w:cs="Arial"/>
      <w:sz w:val="20"/>
      <w:szCs w:val="20"/>
      <w:lang w:eastAsia="es-ES"/>
    </w:rPr>
  </w:style>
  <w:style w:type="paragraph" w:styleId="Lista5">
    <w:name w:val="List 5"/>
    <w:basedOn w:val="Normal"/>
    <w:qFormat/>
    <w:rsid w:val="0095645A"/>
    <w:pPr>
      <w:ind w:left="1415" w:hanging="283"/>
    </w:pPr>
    <w:rPr>
      <w:sz w:val="20"/>
      <w:szCs w:val="20"/>
      <w:lang w:val="es-ES_tradnl"/>
    </w:rPr>
  </w:style>
  <w:style w:type="paragraph" w:styleId="Lista4">
    <w:name w:val="List 4"/>
    <w:basedOn w:val="Normal"/>
    <w:qFormat/>
    <w:rsid w:val="0095645A"/>
    <w:pPr>
      <w:ind w:left="1132" w:hanging="283"/>
    </w:pPr>
    <w:rPr>
      <w:sz w:val="20"/>
      <w:szCs w:val="20"/>
      <w:lang w:val="es-ES_tradnl"/>
    </w:rPr>
  </w:style>
  <w:style w:type="paragraph" w:customStyle="1" w:styleId="captulottuloapndice">
    <w:name w:val="captulottuloapndice"/>
    <w:basedOn w:val="Normal"/>
    <w:rsid w:val="0095645A"/>
    <w:pPr>
      <w:keepNext/>
      <w:suppressAutoHyphens w:val="0"/>
      <w:overflowPunct w:val="0"/>
      <w:autoSpaceDE w:val="0"/>
      <w:autoSpaceDN w:val="0"/>
      <w:spacing w:line="680" w:lineRule="atLeast"/>
      <w:jc w:val="right"/>
    </w:pPr>
    <w:rPr>
      <w:rFonts w:eastAsia="Arial Unicode MS"/>
      <w:sz w:val="68"/>
      <w:szCs w:val="68"/>
      <w:lang w:val="en-US" w:eastAsia="en-US"/>
    </w:rPr>
  </w:style>
  <w:style w:type="paragraph" w:customStyle="1" w:styleId="p4">
    <w:name w:val="p4"/>
    <w:basedOn w:val="Normal"/>
    <w:rsid w:val="0095645A"/>
    <w:pPr>
      <w:widowControl w:val="0"/>
      <w:tabs>
        <w:tab w:val="left" w:pos="204"/>
      </w:tabs>
      <w:suppressAutoHyphens w:val="0"/>
      <w:autoSpaceDE w:val="0"/>
      <w:autoSpaceDN w:val="0"/>
      <w:adjustRightInd w:val="0"/>
      <w:jc w:val="both"/>
    </w:pPr>
    <w:rPr>
      <w:lang w:val="en-US" w:eastAsia="es-ES"/>
    </w:rPr>
  </w:style>
  <w:style w:type="paragraph" w:customStyle="1" w:styleId="p5">
    <w:name w:val="p5"/>
    <w:basedOn w:val="Normal"/>
    <w:rsid w:val="0095645A"/>
    <w:pPr>
      <w:widowControl w:val="0"/>
      <w:tabs>
        <w:tab w:val="left" w:pos="340"/>
      </w:tabs>
      <w:suppressAutoHyphens w:val="0"/>
      <w:autoSpaceDE w:val="0"/>
      <w:autoSpaceDN w:val="0"/>
      <w:adjustRightInd w:val="0"/>
      <w:ind w:firstLine="340"/>
      <w:jc w:val="both"/>
    </w:pPr>
    <w:rPr>
      <w:lang w:val="en-US" w:eastAsia="es-ES"/>
    </w:rPr>
  </w:style>
  <w:style w:type="paragraph" w:customStyle="1" w:styleId="subtituloblue">
    <w:name w:val="subtituloblue"/>
    <w:basedOn w:val="Normal"/>
    <w:rsid w:val="0095645A"/>
    <w:pPr>
      <w:suppressAutoHyphens w:val="0"/>
      <w:spacing w:before="100" w:beforeAutospacing="1" w:after="100" w:afterAutospacing="1"/>
    </w:pPr>
    <w:rPr>
      <w:rFonts w:ascii="Georgia" w:hAnsi="Georgia"/>
      <w:b/>
      <w:bCs/>
      <w:i/>
      <w:iCs/>
      <w:color w:val="3C5487"/>
      <w:sz w:val="18"/>
      <w:szCs w:val="18"/>
      <w:lang w:eastAsia="es-ES"/>
    </w:rPr>
  </w:style>
  <w:style w:type="paragraph" w:customStyle="1" w:styleId="Titulo2">
    <w:name w:val="Titulo 2"/>
    <w:basedOn w:val="Textoindependiente2"/>
    <w:rsid w:val="0095645A"/>
  </w:style>
  <w:style w:type="character" w:customStyle="1" w:styleId="body">
    <w:name w:val="body"/>
    <w:rsid w:val="0095645A"/>
  </w:style>
  <w:style w:type="character" w:customStyle="1" w:styleId="drilldown">
    <w:name w:val="drilldown"/>
    <w:rsid w:val="0095645A"/>
  </w:style>
  <w:style w:type="paragraph" w:customStyle="1" w:styleId="noparagraphstyle0">
    <w:name w:val="noparagraphstyle"/>
    <w:basedOn w:val="Normal"/>
    <w:qFormat/>
    <w:rsid w:val="0095645A"/>
    <w:pPr>
      <w:suppressAutoHyphens w:val="0"/>
      <w:spacing w:before="100" w:beforeAutospacing="1" w:after="100" w:afterAutospacing="1"/>
    </w:pPr>
    <w:rPr>
      <w:lang w:eastAsia="es-ES"/>
    </w:rPr>
  </w:style>
  <w:style w:type="paragraph" w:customStyle="1" w:styleId="etiqueta0">
    <w:name w:val="etiqueta"/>
    <w:basedOn w:val="Normal"/>
    <w:rsid w:val="0095645A"/>
    <w:pPr>
      <w:suppressAutoHyphens w:val="0"/>
      <w:spacing w:before="120" w:after="120"/>
    </w:pPr>
    <w:rPr>
      <w:i/>
      <w:iCs/>
      <w:lang w:eastAsia="es-ES"/>
    </w:rPr>
  </w:style>
  <w:style w:type="paragraph" w:customStyle="1" w:styleId="ndice0">
    <w:name w:val="ndice"/>
    <w:basedOn w:val="Normal"/>
    <w:rsid w:val="0095645A"/>
    <w:pPr>
      <w:suppressAutoHyphens w:val="0"/>
    </w:pPr>
    <w:rPr>
      <w:lang w:eastAsia="es-ES"/>
    </w:rPr>
  </w:style>
  <w:style w:type="paragraph" w:customStyle="1" w:styleId="encabezado12">
    <w:name w:val="encabezado1"/>
    <w:basedOn w:val="Normal"/>
    <w:rsid w:val="0095645A"/>
    <w:pPr>
      <w:keepNext/>
      <w:suppressAutoHyphens w:val="0"/>
      <w:spacing w:before="240" w:after="120"/>
    </w:pPr>
    <w:rPr>
      <w:rFonts w:ascii="Arial" w:hAnsi="Arial" w:cs="Arial"/>
      <w:sz w:val="28"/>
      <w:szCs w:val="28"/>
      <w:lang w:eastAsia="es-ES"/>
    </w:rPr>
  </w:style>
  <w:style w:type="paragraph" w:customStyle="1" w:styleId="t3fulo70">
    <w:name w:val="t3fulo7"/>
    <w:basedOn w:val="Normal"/>
    <w:rsid w:val="0095645A"/>
    <w:pPr>
      <w:keepNext/>
      <w:shd w:val="clear" w:color="auto" w:fill="FFFFFF"/>
      <w:suppressAutoHyphens w:val="0"/>
      <w:autoSpaceDE w:val="0"/>
      <w:jc w:val="both"/>
    </w:pPr>
    <w:rPr>
      <w:rFonts w:ascii="Arial" w:hAnsi="Arial" w:cs="Arial"/>
      <w:b/>
      <w:bCs/>
      <w:u w:val="single"/>
      <w:lang w:eastAsia="es-ES"/>
    </w:rPr>
  </w:style>
  <w:style w:type="paragraph" w:customStyle="1" w:styleId="contenidodelmarco0">
    <w:name w:val="contenidodelmarco"/>
    <w:basedOn w:val="Normal"/>
    <w:rsid w:val="0095645A"/>
    <w:pPr>
      <w:suppressAutoHyphens w:val="0"/>
      <w:spacing w:after="120"/>
    </w:pPr>
    <w:rPr>
      <w:lang w:eastAsia="es-ES"/>
    </w:rPr>
  </w:style>
  <w:style w:type="paragraph" w:customStyle="1" w:styleId="encabezadodelatabla0">
    <w:name w:val="encabezadodelatabla"/>
    <w:basedOn w:val="Normal"/>
    <w:rsid w:val="0095645A"/>
    <w:pPr>
      <w:suppressAutoHyphens w:val="0"/>
      <w:jc w:val="center"/>
    </w:pPr>
    <w:rPr>
      <w:b/>
      <w:bCs/>
      <w:lang w:eastAsia="es-ES"/>
    </w:rPr>
  </w:style>
  <w:style w:type="paragraph" w:customStyle="1" w:styleId="encabezado10">
    <w:name w:val="encabezado10"/>
    <w:basedOn w:val="Normal"/>
    <w:rsid w:val="0095645A"/>
    <w:pPr>
      <w:keepNext/>
      <w:numPr>
        <w:numId w:val="27"/>
      </w:numPr>
      <w:suppressAutoHyphens w:val="0"/>
      <w:spacing w:before="240" w:after="120"/>
    </w:pPr>
    <w:rPr>
      <w:rFonts w:ascii="Arial" w:hAnsi="Arial" w:cs="Arial"/>
      <w:b/>
      <w:bCs/>
      <w:sz w:val="21"/>
      <w:szCs w:val="21"/>
      <w:lang w:eastAsia="es-ES"/>
    </w:rPr>
  </w:style>
  <w:style w:type="character" w:customStyle="1" w:styleId="ww8num2z00">
    <w:name w:val="ww8num2z0"/>
    <w:rsid w:val="0095645A"/>
    <w:rPr>
      <w:rFonts w:ascii="Symbol" w:hAnsi="Symbol" w:hint="default"/>
    </w:rPr>
  </w:style>
  <w:style w:type="character" w:customStyle="1" w:styleId="vietas0">
    <w:name w:val="vietas"/>
    <w:rsid w:val="0095645A"/>
    <w:rPr>
      <w:rFonts w:ascii="StarSymbol" w:hAnsi="StarSymbol" w:hint="default"/>
    </w:rPr>
  </w:style>
  <w:style w:type="character" w:customStyle="1" w:styleId="ww8num1z00">
    <w:name w:val="ww8num1z0"/>
    <w:rsid w:val="0095645A"/>
    <w:rPr>
      <w:rFonts w:ascii="Symbol" w:hAnsi="Symbol" w:hint="default"/>
    </w:rPr>
  </w:style>
  <w:style w:type="paragraph" w:customStyle="1" w:styleId="WW-Texto0">
    <w:name w:val="WW-Texto"/>
    <w:basedOn w:val="Normal"/>
    <w:rsid w:val="0095645A"/>
    <w:pPr>
      <w:suppressLineNumbers/>
      <w:overflowPunct w:val="0"/>
      <w:autoSpaceDE w:val="0"/>
      <w:spacing w:after="120" w:line="240" w:lineRule="exact"/>
      <w:jc w:val="both"/>
      <w:textAlignment w:val="baseline"/>
    </w:pPr>
    <w:rPr>
      <w:rFonts w:ascii="Arial" w:hAnsi="Arial" w:cs="Arial"/>
      <w:kern w:val="1"/>
      <w:sz w:val="20"/>
      <w:szCs w:val="20"/>
      <w:lang w:val="es-CR"/>
    </w:rPr>
  </w:style>
  <w:style w:type="paragraph" w:customStyle="1" w:styleId="ListProcedureItem10">
    <w:name w:val="List Procedure Item 1"/>
    <w:basedOn w:val="Normal"/>
    <w:rsid w:val="0095645A"/>
    <w:pPr>
      <w:suppressLineNumbers/>
      <w:overflowPunct w:val="0"/>
      <w:autoSpaceDE w:val="0"/>
      <w:spacing w:after="80" w:line="240" w:lineRule="exact"/>
      <w:ind w:left="238" w:hanging="238"/>
      <w:jc w:val="both"/>
      <w:textAlignment w:val="baseline"/>
    </w:pPr>
    <w:rPr>
      <w:rFonts w:ascii="Arial" w:hAnsi="Arial" w:cs="Arial"/>
      <w:kern w:val="1"/>
      <w:sz w:val="20"/>
      <w:szCs w:val="20"/>
      <w:lang w:val="es-CR"/>
    </w:rPr>
  </w:style>
  <w:style w:type="character" w:styleId="Textodelmarcadordeposicin">
    <w:name w:val="Placeholder Text"/>
    <w:uiPriority w:val="99"/>
    <w:qFormat/>
    <w:rsid w:val="0095645A"/>
    <w:rPr>
      <w:rFonts w:eastAsia="SimSun"/>
      <w:color w:val="808080"/>
      <w:lang w:val="es-CR" w:eastAsia="zh-CN"/>
    </w:rPr>
  </w:style>
  <w:style w:type="paragraph" w:customStyle="1" w:styleId="H-Subtitle01Italics0">
    <w:name w:val="H-Subtitle 01_Italics"/>
    <w:next w:val="Normal"/>
    <w:rsid w:val="0095645A"/>
    <w:pPr>
      <w:keepNext/>
      <w:keepLines/>
      <w:widowControl w:val="0"/>
      <w:autoSpaceDN w:val="0"/>
      <w:adjustRightInd w:val="0"/>
      <w:spacing w:before="240" w:after="120"/>
    </w:pPr>
    <w:rPr>
      <w:rFonts w:ascii="Arial" w:hAnsi="Arial" w:cs="Arial"/>
      <w:i/>
      <w:iCs/>
      <w:lang w:val="en-US" w:eastAsia="zh-CN"/>
    </w:rPr>
  </w:style>
  <w:style w:type="paragraph" w:customStyle="1" w:styleId="Empresa">
    <w:name w:val="Empresa"/>
    <w:basedOn w:val="Normal"/>
    <w:rsid w:val="0095645A"/>
    <w:pPr>
      <w:keepLines/>
      <w:suppressAutoHyphens w:val="0"/>
      <w:spacing w:before="360" w:after="360"/>
      <w:ind w:left="357"/>
      <w:jc w:val="center"/>
    </w:pPr>
    <w:rPr>
      <w:rFonts w:ascii="Tahoma" w:eastAsia="Calibri" w:hAnsi="Tahoma" w:cs="Tahoma"/>
      <w:b/>
      <w:bCs/>
      <w:smallCaps/>
      <w:color w:val="800000"/>
      <w:sz w:val="32"/>
      <w:szCs w:val="32"/>
      <w:lang w:val="es-MX" w:eastAsia="es-ES"/>
    </w:rPr>
  </w:style>
  <w:style w:type="paragraph" w:customStyle="1" w:styleId="TDocCover02Subtitle">
    <w:name w:val="TDoc_Cover 02_Subtitle"/>
    <w:basedOn w:val="Normal"/>
    <w:semiHidden/>
    <w:qFormat/>
    <w:rsid w:val="0095645A"/>
    <w:pPr>
      <w:framePr w:hSpace="187" w:wrap="around" w:vAnchor="page" w:hAnchor="margin" w:y="865"/>
      <w:suppressAutoHyphens w:val="0"/>
      <w:suppressOverlap/>
      <w:jc w:val="right"/>
    </w:pPr>
    <w:rPr>
      <w:rFonts w:ascii="Arial Black" w:eastAsia="Calibri" w:hAnsi="Arial Black"/>
      <w:bCs/>
      <w:iCs/>
      <w:color w:val="808080"/>
      <w:sz w:val="18"/>
      <w:szCs w:val="22"/>
      <w:lang w:val="es-CR" w:eastAsia="en-US"/>
    </w:rPr>
  </w:style>
  <w:style w:type="paragraph" w:customStyle="1" w:styleId="TDocCover05Header-Footer">
    <w:name w:val="TDoc_Cover 05_Header-Footer"/>
    <w:basedOn w:val="Normal"/>
    <w:qFormat/>
    <w:rsid w:val="0095645A"/>
    <w:pPr>
      <w:tabs>
        <w:tab w:val="right" w:pos="10080"/>
      </w:tabs>
      <w:suppressAutoHyphens w:val="0"/>
    </w:pPr>
    <w:rPr>
      <w:rFonts w:ascii="Arial" w:eastAsia="Calibri" w:hAnsi="Arial"/>
      <w:b/>
      <w:color w:val="808080"/>
      <w:sz w:val="16"/>
      <w:szCs w:val="18"/>
      <w:lang w:val="es-CR" w:eastAsia="en-US"/>
    </w:rPr>
  </w:style>
  <w:style w:type="character" w:customStyle="1" w:styleId="EstiloArial11ptNegrita">
    <w:name w:val="Estilo Arial 11 pt Negrita"/>
    <w:rsid w:val="0095645A"/>
    <w:rPr>
      <w:rFonts w:ascii="Arial" w:hAnsi="Arial"/>
      <w:b/>
      <w:bCs/>
      <w:sz w:val="18"/>
    </w:rPr>
  </w:style>
  <w:style w:type="paragraph" w:styleId="Tabladeilustraciones">
    <w:name w:val="table of figures"/>
    <w:basedOn w:val="Normal"/>
    <w:next w:val="Normal"/>
    <w:uiPriority w:val="99"/>
    <w:qFormat/>
    <w:rsid w:val="0095645A"/>
    <w:pPr>
      <w:suppressAutoHyphens w:val="0"/>
    </w:pPr>
    <w:rPr>
      <w:rFonts w:ascii="Arial" w:hAnsi="Arial"/>
      <w:sz w:val="22"/>
      <w:lang w:eastAsia="es-ES"/>
    </w:rPr>
  </w:style>
  <w:style w:type="table" w:styleId="Tablaconcuadrcula8">
    <w:name w:val="Table Grid 8"/>
    <w:basedOn w:val="Tablanormal"/>
    <w:qFormat/>
    <w:rsid w:val="0095645A"/>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msoaddress">
    <w:name w:val="msoaddress"/>
    <w:basedOn w:val="Normal"/>
    <w:rsid w:val="0095645A"/>
    <w:pPr>
      <w:suppressAutoHyphens w:val="0"/>
      <w:spacing w:before="100" w:beforeAutospacing="1" w:after="100" w:afterAutospacing="1"/>
    </w:pPr>
    <w:rPr>
      <w:lang w:eastAsia="es-ES"/>
    </w:rPr>
  </w:style>
  <w:style w:type="paragraph" w:customStyle="1" w:styleId="citadestacada">
    <w:name w:val="citadestacada"/>
    <w:basedOn w:val="Normal"/>
    <w:rsid w:val="0095645A"/>
    <w:pPr>
      <w:suppressAutoHyphens w:val="0"/>
      <w:spacing w:before="200" w:after="280"/>
      <w:ind w:left="936" w:right="936"/>
    </w:pPr>
    <w:rPr>
      <w:b/>
      <w:bCs/>
      <w:i/>
      <w:iCs/>
      <w:color w:val="4F81BD"/>
      <w:sz w:val="20"/>
      <w:szCs w:val="20"/>
      <w:lang w:eastAsia="es-ES"/>
    </w:rPr>
  </w:style>
  <w:style w:type="character" w:customStyle="1" w:styleId="xvegaguz">
    <w:name w:val="xvegaguz"/>
    <w:rsid w:val="0095645A"/>
    <w:rPr>
      <w:rFonts w:ascii="Arial" w:hAnsi="Arial" w:cs="Arial"/>
      <w:color w:val="000080"/>
      <w:sz w:val="20"/>
      <w:szCs w:val="20"/>
    </w:rPr>
  </w:style>
  <w:style w:type="character" w:customStyle="1" w:styleId="FootnoteTextChar0">
    <w:name w:val="Footnote Text Char"/>
    <w:locked/>
    <w:rsid w:val="0095645A"/>
    <w:rPr>
      <w:lang w:val="en-US" w:eastAsia="en-US" w:bidi="ar-SA"/>
    </w:rPr>
  </w:style>
  <w:style w:type="paragraph" w:customStyle="1" w:styleId="epgrafe8">
    <w:name w:val="epgrafe"/>
    <w:basedOn w:val="Normal"/>
    <w:rsid w:val="0095645A"/>
    <w:pPr>
      <w:suppressAutoHyphens w:val="0"/>
      <w:snapToGrid w:val="0"/>
    </w:pPr>
    <w:rPr>
      <w:lang w:eastAsia="es-ES"/>
    </w:rPr>
  </w:style>
  <w:style w:type="paragraph" w:customStyle="1" w:styleId="msolistparagraph00">
    <w:name w:val="msolistparagraph0"/>
    <w:basedOn w:val="Normal"/>
    <w:rsid w:val="0095645A"/>
    <w:pPr>
      <w:spacing w:before="280" w:after="280"/>
    </w:pPr>
    <w:rPr>
      <w:rFonts w:eastAsia="Calibri"/>
      <w:lang w:val="es-CR"/>
    </w:rPr>
  </w:style>
  <w:style w:type="paragraph" w:customStyle="1" w:styleId="BodyTextArial0">
    <w:name w:val="Body Text_Arial"/>
    <w:rsid w:val="0095645A"/>
    <w:pPr>
      <w:spacing w:before="60" w:after="180" w:line="312" w:lineRule="auto"/>
    </w:pPr>
    <w:rPr>
      <w:rFonts w:ascii="Arial" w:hAnsi="Arial"/>
      <w:szCs w:val="22"/>
      <w:lang w:val="en-US" w:eastAsia="en-US"/>
    </w:rPr>
  </w:style>
  <w:style w:type="character" w:styleId="Ttulodellibro">
    <w:name w:val="Book Title"/>
    <w:aliases w:val="Título del Corte"/>
    <w:uiPriority w:val="99"/>
    <w:qFormat/>
    <w:rsid w:val="0095645A"/>
    <w:rPr>
      <w:b/>
      <w:bCs/>
      <w:smallCaps/>
      <w:spacing w:val="5"/>
    </w:rPr>
  </w:style>
  <w:style w:type="paragraph" w:customStyle="1" w:styleId="PlainText1">
    <w:name w:val="Plain Text1"/>
    <w:basedOn w:val="Normal"/>
    <w:rsid w:val="0095645A"/>
    <w:pPr>
      <w:widowControl w:val="0"/>
      <w:jc w:val="both"/>
    </w:pPr>
    <w:rPr>
      <w:rFonts w:ascii="Courier New" w:hAnsi="Courier New" w:cs="Courier New"/>
      <w:kern w:val="1"/>
      <w:szCs w:val="20"/>
      <w:lang w:val="es-MX"/>
    </w:rPr>
  </w:style>
  <w:style w:type="character" w:customStyle="1" w:styleId="WW8Num21z1">
    <w:name w:val="WW8Num21z1"/>
    <w:qFormat/>
    <w:rsid w:val="0095645A"/>
    <w:rPr>
      <w:rFonts w:ascii="Wingdings" w:hAnsi="Wingdings" w:cs="Wingdings"/>
    </w:rPr>
  </w:style>
  <w:style w:type="character" w:customStyle="1" w:styleId="WW8Num26z0">
    <w:name w:val="WW8Num26z0"/>
    <w:qFormat/>
    <w:rsid w:val="0095645A"/>
    <w:rPr>
      <w:rFonts w:ascii="Wingdings" w:hAnsi="Wingdings" w:cs="Wingdings"/>
    </w:rPr>
  </w:style>
  <w:style w:type="character" w:customStyle="1" w:styleId="WW8Num29z0">
    <w:name w:val="WW8Num29z0"/>
    <w:qFormat/>
    <w:rsid w:val="0095645A"/>
    <w:rPr>
      <w:rFonts w:ascii="Wingdings" w:hAnsi="Wingdings" w:cs="Wingdings"/>
    </w:rPr>
  </w:style>
  <w:style w:type="character" w:customStyle="1" w:styleId="WW8Num30z3">
    <w:name w:val="WW8Num30z3"/>
    <w:qFormat/>
    <w:rsid w:val="0095645A"/>
    <w:rPr>
      <w:rFonts w:ascii="Symbol" w:hAnsi="Symbol" w:cs="Symbol"/>
    </w:rPr>
  </w:style>
  <w:style w:type="character" w:customStyle="1" w:styleId="WW8Num30z4">
    <w:name w:val="WW8Num30z4"/>
    <w:qFormat/>
    <w:rsid w:val="0095645A"/>
    <w:rPr>
      <w:rFonts w:ascii="Courier New" w:hAnsi="Courier New" w:cs="Courier New"/>
    </w:rPr>
  </w:style>
  <w:style w:type="character" w:customStyle="1" w:styleId="WW8Num32z0">
    <w:name w:val="WW8Num32z0"/>
    <w:qFormat/>
    <w:rsid w:val="0095645A"/>
    <w:rPr>
      <w:rFonts w:ascii="Wingdings" w:hAnsi="Wingdings" w:cs="Wingdings"/>
    </w:rPr>
  </w:style>
  <w:style w:type="character" w:customStyle="1" w:styleId="WW8Num33z0">
    <w:name w:val="WW8Num33z0"/>
    <w:qFormat/>
    <w:rsid w:val="0095645A"/>
    <w:rPr>
      <w:rFonts w:ascii="Calibri" w:hAnsi="Calibri" w:cs="Calibri"/>
    </w:rPr>
  </w:style>
  <w:style w:type="character" w:customStyle="1" w:styleId="WW8Num33z1">
    <w:name w:val="WW8Num33z1"/>
    <w:qFormat/>
    <w:rsid w:val="0095645A"/>
    <w:rPr>
      <w:rFonts w:ascii="Courier New" w:hAnsi="Courier New" w:cs="Courier New"/>
    </w:rPr>
  </w:style>
  <w:style w:type="character" w:customStyle="1" w:styleId="WW8Num16z0">
    <w:name w:val="WW8Num16z0"/>
    <w:qFormat/>
    <w:rsid w:val="0095645A"/>
    <w:rPr>
      <w:rFonts w:ascii="Wingdings" w:hAnsi="Wingdings" w:cs="Wingdings"/>
    </w:rPr>
  </w:style>
  <w:style w:type="character" w:customStyle="1" w:styleId="WW8Num19z1">
    <w:name w:val="WW8Num19z1"/>
    <w:qFormat/>
    <w:rsid w:val="0095645A"/>
    <w:rPr>
      <w:rFonts w:ascii="Courier New" w:hAnsi="Courier New" w:cs="Courier New"/>
    </w:rPr>
  </w:style>
  <w:style w:type="character" w:customStyle="1" w:styleId="WW8Num19z3">
    <w:name w:val="WW8Num19z3"/>
    <w:rsid w:val="0095645A"/>
    <w:rPr>
      <w:rFonts w:ascii="Symbol" w:hAnsi="Symbol" w:cs="Symbol"/>
    </w:rPr>
  </w:style>
  <w:style w:type="character" w:customStyle="1" w:styleId="WW8Num20z3">
    <w:name w:val="WW8Num20z3"/>
    <w:qFormat/>
    <w:rsid w:val="0095645A"/>
    <w:rPr>
      <w:rFonts w:ascii="Symbol" w:hAnsi="Symbol" w:cs="Symbol"/>
    </w:rPr>
  </w:style>
  <w:style w:type="character" w:customStyle="1" w:styleId="WW8Num20z4">
    <w:name w:val="WW8Num20z4"/>
    <w:qFormat/>
    <w:rsid w:val="0095645A"/>
    <w:rPr>
      <w:rFonts w:ascii="Courier New" w:hAnsi="Courier New" w:cs="Courier New"/>
    </w:rPr>
  </w:style>
  <w:style w:type="character" w:customStyle="1" w:styleId="WW8Num24z1">
    <w:name w:val="WW8Num24z1"/>
    <w:qFormat/>
    <w:rsid w:val="0095645A"/>
    <w:rPr>
      <w:rFonts w:ascii="Courier New" w:hAnsi="Courier New" w:cs="Courier New"/>
    </w:rPr>
  </w:style>
  <w:style w:type="character" w:customStyle="1" w:styleId="WW8Num24z3">
    <w:name w:val="WW8Num24z3"/>
    <w:qFormat/>
    <w:rsid w:val="0095645A"/>
    <w:rPr>
      <w:rFonts w:ascii="Symbol" w:hAnsi="Symbol" w:cs="Symbol"/>
    </w:rPr>
  </w:style>
  <w:style w:type="character" w:customStyle="1" w:styleId="WW8Num25z3">
    <w:name w:val="WW8Num25z3"/>
    <w:qFormat/>
    <w:rsid w:val="0095645A"/>
    <w:rPr>
      <w:rFonts w:ascii="Symbol" w:hAnsi="Symbol" w:cs="Symbol"/>
    </w:rPr>
  </w:style>
  <w:style w:type="character" w:customStyle="1" w:styleId="WW8Num26z1">
    <w:name w:val="WW8Num26z1"/>
    <w:qFormat/>
    <w:rsid w:val="0095645A"/>
    <w:rPr>
      <w:rFonts w:ascii="Courier New" w:hAnsi="Courier New" w:cs="Courier New"/>
    </w:rPr>
  </w:style>
  <w:style w:type="character" w:customStyle="1" w:styleId="WW8Num26z3">
    <w:name w:val="WW8Num26z3"/>
    <w:qFormat/>
    <w:rsid w:val="0095645A"/>
    <w:rPr>
      <w:rFonts w:ascii="Symbol" w:hAnsi="Symbol" w:cs="Symbol"/>
    </w:rPr>
  </w:style>
  <w:style w:type="character" w:customStyle="1" w:styleId="WW8Num27z1">
    <w:name w:val="WW8Num27z1"/>
    <w:qFormat/>
    <w:rsid w:val="0095645A"/>
    <w:rPr>
      <w:rFonts w:ascii="Courier New" w:hAnsi="Courier New" w:cs="Courier New"/>
    </w:rPr>
  </w:style>
  <w:style w:type="character" w:customStyle="1" w:styleId="WW8Num27z3">
    <w:name w:val="WW8Num27z3"/>
    <w:qFormat/>
    <w:rsid w:val="0095645A"/>
    <w:rPr>
      <w:rFonts w:ascii="Symbol" w:hAnsi="Symbol" w:cs="Symbol"/>
    </w:rPr>
  </w:style>
  <w:style w:type="character" w:customStyle="1" w:styleId="WW8Num29z1">
    <w:name w:val="WW8Num29z1"/>
    <w:qFormat/>
    <w:rsid w:val="0095645A"/>
    <w:rPr>
      <w:rFonts w:ascii="Courier New" w:hAnsi="Courier New" w:cs="Courier New"/>
    </w:rPr>
  </w:style>
  <w:style w:type="character" w:customStyle="1" w:styleId="WW8Num29z3">
    <w:name w:val="WW8Num29z3"/>
    <w:rsid w:val="0095645A"/>
    <w:rPr>
      <w:rFonts w:ascii="Symbol" w:hAnsi="Symbol" w:cs="Symbol"/>
    </w:rPr>
  </w:style>
  <w:style w:type="character" w:customStyle="1" w:styleId="WW8Num32z1">
    <w:name w:val="WW8Num32z1"/>
    <w:qFormat/>
    <w:rsid w:val="0095645A"/>
    <w:rPr>
      <w:rFonts w:ascii="Courier New" w:hAnsi="Courier New" w:cs="Courier New"/>
    </w:rPr>
  </w:style>
  <w:style w:type="character" w:customStyle="1" w:styleId="WW8Num32z3">
    <w:name w:val="WW8Num32z3"/>
    <w:qFormat/>
    <w:rsid w:val="0095645A"/>
    <w:rPr>
      <w:rFonts w:ascii="Symbol" w:hAnsi="Symbol" w:cs="Symbol"/>
    </w:rPr>
  </w:style>
  <w:style w:type="paragraph" w:customStyle="1" w:styleId="NombreInforme">
    <w:name w:val="Nombre Informe"/>
    <w:basedOn w:val="Normal"/>
    <w:rsid w:val="0095645A"/>
    <w:pPr>
      <w:keepNext/>
      <w:keepLines/>
      <w:spacing w:before="360" w:after="240"/>
      <w:jc w:val="center"/>
    </w:pPr>
    <w:rPr>
      <w:rFonts w:ascii="Tahoma" w:hAnsi="Tahoma" w:cs="Tahoma"/>
      <w:b/>
      <w:smallCaps/>
      <w:color w:val="800000"/>
      <w:sz w:val="28"/>
      <w:szCs w:val="20"/>
      <w:lang w:val="es-MX"/>
    </w:rPr>
  </w:style>
  <w:style w:type="paragraph" w:customStyle="1" w:styleId="ndicel10">
    <w:name w:val="Índicel 10"/>
    <w:basedOn w:val="ndice"/>
    <w:rsid w:val="0095645A"/>
    <w:pPr>
      <w:tabs>
        <w:tab w:val="right" w:leader="dot" w:pos="7425"/>
      </w:tabs>
      <w:ind w:left="2547"/>
    </w:pPr>
    <w:rPr>
      <w:rFonts w:cs="Mangal"/>
    </w:rPr>
  </w:style>
  <w:style w:type="character" w:customStyle="1" w:styleId="ttulo1car0">
    <w:name w:val="ttulo1car"/>
    <w:rsid w:val="0095645A"/>
    <w:rPr>
      <w:rFonts w:ascii="Arial" w:hAnsi="Arial" w:cs="Arial" w:hint="default"/>
      <w:b/>
      <w:bCs/>
      <w:u w:val="single"/>
    </w:rPr>
  </w:style>
  <w:style w:type="character" w:customStyle="1" w:styleId="ttulo2car0">
    <w:name w:val="ttulo2car"/>
    <w:rsid w:val="0095645A"/>
    <w:rPr>
      <w:b/>
      <w:bCs/>
      <w:u w:val="single"/>
    </w:rPr>
  </w:style>
  <w:style w:type="character" w:customStyle="1" w:styleId="ttulo3car0">
    <w:name w:val="ttulo3car"/>
    <w:rsid w:val="0095645A"/>
    <w:rPr>
      <w:rFonts w:ascii="Arial" w:hAnsi="Arial" w:cs="Arial" w:hint="default"/>
      <w:b/>
      <w:bCs/>
    </w:rPr>
  </w:style>
  <w:style w:type="character" w:customStyle="1" w:styleId="caracteresdenotaalpie0">
    <w:name w:val="caracteresdenotaalpie"/>
    <w:rsid w:val="0095645A"/>
    <w:rPr>
      <w:vertAlign w:val="superscript"/>
    </w:rPr>
  </w:style>
  <w:style w:type="character" w:customStyle="1" w:styleId="WW8Num19z2">
    <w:name w:val="WW8Num19z2"/>
    <w:qFormat/>
    <w:rsid w:val="0095645A"/>
    <w:rPr>
      <w:rFonts w:ascii="Wingdings" w:hAnsi="Wingdings" w:cs="Wingdings"/>
    </w:rPr>
  </w:style>
  <w:style w:type="character" w:customStyle="1" w:styleId="WW8Num20z1">
    <w:name w:val="WW8Num20z1"/>
    <w:qFormat/>
    <w:rsid w:val="0095645A"/>
    <w:rPr>
      <w:rFonts w:ascii="Courier New" w:hAnsi="Courier New" w:cs="Courier New"/>
    </w:rPr>
  </w:style>
  <w:style w:type="character" w:customStyle="1" w:styleId="WW8Num21z2">
    <w:name w:val="WW8Num21z2"/>
    <w:qFormat/>
    <w:rsid w:val="0095645A"/>
    <w:rPr>
      <w:rFonts w:ascii="Wingdings" w:hAnsi="Wingdings" w:cs="Wingdings"/>
    </w:rPr>
  </w:style>
  <w:style w:type="character" w:customStyle="1" w:styleId="WW8Num26z2">
    <w:name w:val="WW8Num26z2"/>
    <w:qFormat/>
    <w:rsid w:val="0095645A"/>
    <w:rPr>
      <w:rFonts w:ascii="Wingdings" w:hAnsi="Wingdings" w:cs="Wingdings"/>
    </w:rPr>
  </w:style>
  <w:style w:type="character" w:customStyle="1" w:styleId="WW8Num32z2">
    <w:name w:val="WW8Num32z2"/>
    <w:qFormat/>
    <w:rsid w:val="0095645A"/>
    <w:rPr>
      <w:rFonts w:ascii="Wingdings" w:hAnsi="Wingdings" w:cs="Wingdings"/>
    </w:rPr>
  </w:style>
  <w:style w:type="character" w:customStyle="1" w:styleId="WW8Num36z0">
    <w:name w:val="WW8Num36z0"/>
    <w:qFormat/>
    <w:rsid w:val="0095645A"/>
    <w:rPr>
      <w:rFonts w:ascii="Symbol" w:hAnsi="Symbol" w:cs="Symbol"/>
    </w:rPr>
  </w:style>
  <w:style w:type="character" w:customStyle="1" w:styleId="WW8Num36z1">
    <w:name w:val="WW8Num36z1"/>
    <w:qFormat/>
    <w:rsid w:val="0095645A"/>
    <w:rPr>
      <w:rFonts w:ascii="Wingdings" w:hAnsi="Wingdings" w:cs="Wingdings"/>
    </w:rPr>
  </w:style>
  <w:style w:type="character" w:customStyle="1" w:styleId="WW8Num36z4">
    <w:name w:val="WW8Num36z4"/>
    <w:qFormat/>
    <w:rsid w:val="0095645A"/>
    <w:rPr>
      <w:rFonts w:ascii="Courier New" w:hAnsi="Courier New" w:cs="Courier New"/>
    </w:rPr>
  </w:style>
  <w:style w:type="character" w:customStyle="1" w:styleId="WW8Num37z0">
    <w:name w:val="WW8Num37z0"/>
    <w:qFormat/>
    <w:rsid w:val="0095645A"/>
    <w:rPr>
      <w:rFonts w:ascii="Symbol" w:hAnsi="Symbol" w:cs="Symbol"/>
    </w:rPr>
  </w:style>
  <w:style w:type="character" w:customStyle="1" w:styleId="WW8Num37z1">
    <w:name w:val="WW8Num37z1"/>
    <w:qFormat/>
    <w:rsid w:val="0095645A"/>
    <w:rPr>
      <w:rFonts w:ascii="Courier New" w:hAnsi="Courier New" w:cs="Courier New"/>
    </w:rPr>
  </w:style>
  <w:style w:type="character" w:customStyle="1" w:styleId="WW8Num37z2">
    <w:name w:val="WW8Num37z2"/>
    <w:qFormat/>
    <w:rsid w:val="0095645A"/>
    <w:rPr>
      <w:rFonts w:ascii="Wingdings" w:hAnsi="Wingdings" w:cs="Wingdings"/>
    </w:rPr>
  </w:style>
  <w:style w:type="character" w:customStyle="1" w:styleId="WW8Num38z0">
    <w:name w:val="WW8Num38z0"/>
    <w:qFormat/>
    <w:rsid w:val="0095645A"/>
    <w:rPr>
      <w:rFonts w:ascii="Symbol" w:hAnsi="Symbol" w:cs="Symbol"/>
      <w:sz w:val="20"/>
    </w:rPr>
  </w:style>
  <w:style w:type="character" w:customStyle="1" w:styleId="WW8Num38z1">
    <w:name w:val="WW8Num38z1"/>
    <w:qFormat/>
    <w:rsid w:val="0095645A"/>
    <w:rPr>
      <w:rFonts w:ascii="Courier New" w:hAnsi="Courier New" w:cs="Courier New"/>
      <w:sz w:val="20"/>
    </w:rPr>
  </w:style>
  <w:style w:type="character" w:customStyle="1" w:styleId="WW8Num38z2">
    <w:name w:val="WW8Num38z2"/>
    <w:qFormat/>
    <w:rsid w:val="0095645A"/>
    <w:rPr>
      <w:rFonts w:ascii="Wingdings" w:hAnsi="Wingdings" w:cs="Wingdings"/>
      <w:sz w:val="20"/>
    </w:rPr>
  </w:style>
  <w:style w:type="character" w:customStyle="1" w:styleId="WW8Num39z0">
    <w:name w:val="WW8Num39z0"/>
    <w:qFormat/>
    <w:rsid w:val="0095645A"/>
    <w:rPr>
      <w:rFonts w:ascii="Symbol" w:hAnsi="Symbol" w:cs="Symbol"/>
      <w:b/>
    </w:rPr>
  </w:style>
  <w:style w:type="character" w:customStyle="1" w:styleId="WW8Num41z3">
    <w:name w:val="WW8Num41z3"/>
    <w:qFormat/>
    <w:rsid w:val="0095645A"/>
    <w:rPr>
      <w:rFonts w:ascii="Symbol" w:hAnsi="Symbol" w:cs="Symbol"/>
    </w:rPr>
  </w:style>
  <w:style w:type="character" w:customStyle="1" w:styleId="WW8Num43z0">
    <w:name w:val="WW8Num43z0"/>
    <w:qFormat/>
    <w:rsid w:val="0095645A"/>
    <w:rPr>
      <w:rFonts w:ascii="Symbol" w:hAnsi="Symbol" w:cs="Symbol"/>
    </w:rPr>
  </w:style>
  <w:style w:type="character" w:customStyle="1" w:styleId="WW8Num43z1">
    <w:name w:val="WW8Num43z1"/>
    <w:qFormat/>
    <w:rsid w:val="0095645A"/>
    <w:rPr>
      <w:rFonts w:ascii="Courier New" w:hAnsi="Courier New" w:cs="Courier New"/>
    </w:rPr>
  </w:style>
  <w:style w:type="character" w:customStyle="1" w:styleId="WW8Num43z2">
    <w:name w:val="WW8Num43z2"/>
    <w:qFormat/>
    <w:rsid w:val="0095645A"/>
    <w:rPr>
      <w:rFonts w:ascii="Wingdings" w:hAnsi="Wingdings" w:cs="Wingdings"/>
    </w:rPr>
  </w:style>
  <w:style w:type="character" w:customStyle="1" w:styleId="WW-Caracteresdenotaalpie">
    <w:name w:val="WW-Caracteres de nota al pie"/>
    <w:rsid w:val="0095645A"/>
    <w:rPr>
      <w:vertAlign w:val="superscript"/>
    </w:rPr>
  </w:style>
  <w:style w:type="character" w:customStyle="1" w:styleId="WW-Muydestacado">
    <w:name w:val="WW-Muy destacado"/>
    <w:rsid w:val="0095645A"/>
    <w:rPr>
      <w:b/>
      <w:bCs/>
    </w:rPr>
  </w:style>
  <w:style w:type="paragraph" w:customStyle="1" w:styleId="Sangra2detindependiente2">
    <w:name w:val="Sangría 2 de t. independiente2"/>
    <w:basedOn w:val="Normal"/>
    <w:rsid w:val="0095645A"/>
    <w:pPr>
      <w:spacing w:after="120" w:line="480" w:lineRule="auto"/>
      <w:ind w:left="283"/>
    </w:pPr>
    <w:rPr>
      <w:sz w:val="20"/>
      <w:szCs w:val="20"/>
      <w:lang w:val="es-ES_tradnl"/>
    </w:rPr>
  </w:style>
  <w:style w:type="paragraph" w:customStyle="1" w:styleId="Listaconvietas20">
    <w:name w:val="Lista con viñetas2"/>
    <w:basedOn w:val="Normal"/>
    <w:rsid w:val="0095645A"/>
    <w:pPr>
      <w:tabs>
        <w:tab w:val="left" w:pos="1080"/>
      </w:tabs>
      <w:suppressAutoHyphens w:val="0"/>
      <w:ind w:left="1080" w:hanging="360"/>
    </w:pPr>
    <w:rPr>
      <w:rFonts w:ascii="Arial" w:hAnsi="Arial" w:cs="Arial"/>
      <w:lang w:val="es-CR"/>
    </w:rPr>
  </w:style>
  <w:style w:type="paragraph" w:customStyle="1" w:styleId="WW-Predeterminado11">
    <w:name w:val="WW-Predeterminado11"/>
    <w:rsid w:val="0095645A"/>
    <w:pPr>
      <w:widowControl w:val="0"/>
      <w:suppressAutoHyphens/>
      <w:autoSpaceDE w:val="0"/>
    </w:pPr>
    <w:rPr>
      <w:rFonts w:ascii="Arial" w:hAnsi="Arial" w:cs="Arial"/>
      <w:color w:val="000000"/>
      <w:sz w:val="24"/>
      <w:szCs w:val="24"/>
      <w:lang w:eastAsia="ar-SA"/>
    </w:rPr>
  </w:style>
  <w:style w:type="paragraph" w:customStyle="1" w:styleId="Textoindependienteprimerasangra1">
    <w:name w:val="Texto independiente primera sangría1"/>
    <w:basedOn w:val="Textoindependiente"/>
    <w:rsid w:val="0095645A"/>
    <w:pPr>
      <w:ind w:firstLine="210"/>
    </w:pPr>
    <w:rPr>
      <w:sz w:val="20"/>
      <w:szCs w:val="20"/>
      <w:lang w:val="es-ES_tradnl"/>
    </w:rPr>
  </w:style>
  <w:style w:type="paragraph" w:customStyle="1" w:styleId="Lista31">
    <w:name w:val="Lista 31"/>
    <w:basedOn w:val="Normal"/>
    <w:rsid w:val="0095645A"/>
    <w:pPr>
      <w:ind w:left="849" w:hanging="283"/>
    </w:pPr>
    <w:rPr>
      <w:sz w:val="20"/>
      <w:szCs w:val="20"/>
      <w:lang w:val="es-ES_tradnl"/>
    </w:rPr>
  </w:style>
  <w:style w:type="paragraph" w:customStyle="1" w:styleId="WW-Encabezado1">
    <w:name w:val="WW-Encabezado 1"/>
    <w:next w:val="Normal"/>
    <w:rsid w:val="0095645A"/>
    <w:pPr>
      <w:keepNext/>
      <w:widowControl w:val="0"/>
      <w:suppressAutoHyphens/>
      <w:autoSpaceDE w:val="0"/>
      <w:jc w:val="both"/>
    </w:pPr>
    <w:rPr>
      <w:rFonts w:ascii="Comic Sans MS" w:hAnsi="Comic Sans MS" w:cs="Comic Sans MS"/>
      <w:b/>
      <w:bCs/>
      <w:sz w:val="28"/>
      <w:szCs w:val="28"/>
      <w:lang w:eastAsia="ar-SA"/>
    </w:rPr>
  </w:style>
  <w:style w:type="paragraph" w:customStyle="1" w:styleId="WW-Encabezado3">
    <w:name w:val="WW-Encabezado 3"/>
    <w:basedOn w:val="WW-Predeterminado"/>
    <w:next w:val="WW-Predeterminado"/>
    <w:rsid w:val="0095645A"/>
  </w:style>
  <w:style w:type="paragraph" w:customStyle="1" w:styleId="Listaconnmeros1">
    <w:name w:val="Lista con números1"/>
    <w:basedOn w:val="Normal"/>
    <w:rsid w:val="0095645A"/>
    <w:pPr>
      <w:tabs>
        <w:tab w:val="num" w:pos="643"/>
      </w:tabs>
      <w:ind w:left="643" w:hanging="360"/>
    </w:pPr>
    <w:rPr>
      <w:sz w:val="20"/>
      <w:szCs w:val="20"/>
      <w:lang w:val="es-ES_tradnl"/>
    </w:rPr>
  </w:style>
  <w:style w:type="paragraph" w:customStyle="1" w:styleId="Continuarlista21">
    <w:name w:val="Continuar lista 21"/>
    <w:basedOn w:val="Normal"/>
    <w:rsid w:val="0095645A"/>
    <w:pPr>
      <w:suppressAutoHyphens w:val="0"/>
      <w:spacing w:after="120"/>
      <w:ind w:left="566"/>
    </w:pPr>
    <w:rPr>
      <w:lang w:val="es-CR"/>
    </w:rPr>
  </w:style>
  <w:style w:type="paragraph" w:customStyle="1" w:styleId="Textocomentario3">
    <w:name w:val="Texto comentario3"/>
    <w:basedOn w:val="Normal"/>
    <w:rsid w:val="0095645A"/>
    <w:pPr>
      <w:widowControl w:val="0"/>
    </w:pPr>
    <w:rPr>
      <w:rFonts w:eastAsia="Arial" w:cs="Mangal"/>
      <w:kern w:val="1"/>
      <w:sz w:val="20"/>
      <w:szCs w:val="20"/>
      <w:lang w:val="es-CR" w:eastAsia="hi-IN" w:bidi="hi-IN"/>
    </w:rPr>
  </w:style>
  <w:style w:type="character" w:customStyle="1" w:styleId="EstiloCorreo9791">
    <w:name w:val="EstiloCorreo9791"/>
    <w:rsid w:val="0095645A"/>
    <w:rPr>
      <w:rFonts w:ascii="Arial" w:hAnsi="Arial" w:cs="Arial"/>
      <w:color w:val="auto"/>
      <w:sz w:val="20"/>
      <w:szCs w:val="20"/>
    </w:rPr>
  </w:style>
  <w:style w:type="character" w:customStyle="1" w:styleId="EquationCaption">
    <w:name w:val="_Equation Caption"/>
    <w:rsid w:val="0095645A"/>
  </w:style>
  <w:style w:type="character" w:customStyle="1" w:styleId="EstiloCorreo9831">
    <w:name w:val="EstiloCorreo9831"/>
    <w:rsid w:val="0095645A"/>
    <w:rPr>
      <w:rFonts w:ascii="Arial" w:hAnsi="Arial" w:cs="Arial"/>
      <w:color w:val="000080"/>
      <w:sz w:val="20"/>
      <w:szCs w:val="20"/>
    </w:rPr>
  </w:style>
  <w:style w:type="character" w:customStyle="1" w:styleId="EstiloCorreo9841">
    <w:name w:val="EstiloCorreo9841"/>
    <w:rsid w:val="0095645A"/>
    <w:rPr>
      <w:rFonts w:ascii="Arial" w:hAnsi="Arial" w:cs="Arial"/>
      <w:color w:val="auto"/>
      <w:sz w:val="20"/>
      <w:szCs w:val="20"/>
    </w:rPr>
  </w:style>
  <w:style w:type="character" w:customStyle="1" w:styleId="EstiloCorreo9851">
    <w:name w:val="EstiloCorreo9851"/>
    <w:rsid w:val="0095645A"/>
    <w:rPr>
      <w:rFonts w:ascii="Arial" w:hAnsi="Arial" w:cs="Arial"/>
      <w:color w:val="000080"/>
      <w:sz w:val="20"/>
      <w:szCs w:val="20"/>
    </w:rPr>
  </w:style>
  <w:style w:type="character" w:customStyle="1" w:styleId="EstiloCorreo9861">
    <w:name w:val="EstiloCorreo9861"/>
    <w:rsid w:val="0095645A"/>
    <w:rPr>
      <w:rFonts w:ascii="Arial" w:hAnsi="Arial" w:cs="Arial"/>
      <w:color w:val="auto"/>
      <w:sz w:val="20"/>
      <w:szCs w:val="20"/>
    </w:rPr>
  </w:style>
  <w:style w:type="character" w:customStyle="1" w:styleId="EstiloCorreo987">
    <w:name w:val="EstiloCorreo987"/>
    <w:rsid w:val="0095645A"/>
    <w:rPr>
      <w:rFonts w:ascii="Arial" w:hAnsi="Arial" w:cs="Arial"/>
      <w:color w:val="auto"/>
      <w:sz w:val="20"/>
      <w:szCs w:val="20"/>
    </w:rPr>
  </w:style>
  <w:style w:type="character" w:customStyle="1" w:styleId="EstiloCorreo989">
    <w:name w:val="EstiloCorreo989"/>
    <w:rsid w:val="0095645A"/>
    <w:rPr>
      <w:rFonts w:ascii="Palatino Linotype" w:hAnsi="Palatino Linotype" w:cs="Palatino Linotype"/>
      <w:b/>
      <w:bCs/>
      <w:color w:val="auto"/>
      <w:sz w:val="26"/>
      <w:szCs w:val="26"/>
    </w:rPr>
  </w:style>
  <w:style w:type="character" w:customStyle="1" w:styleId="EstiloCorreo990">
    <w:name w:val="EstiloCorreo990"/>
    <w:rsid w:val="0095645A"/>
    <w:rPr>
      <w:color w:val="000000"/>
    </w:rPr>
  </w:style>
  <w:style w:type="character" w:customStyle="1" w:styleId="EstiloCorreo991">
    <w:name w:val="EstiloCorreo991"/>
    <w:rsid w:val="0095645A"/>
    <w:rPr>
      <w:rFonts w:ascii="Arial" w:hAnsi="Arial" w:cs="Arial"/>
      <w:color w:val="000080"/>
    </w:rPr>
  </w:style>
  <w:style w:type="character" w:customStyle="1" w:styleId="EstiloCorreo9921">
    <w:name w:val="EstiloCorreo9921"/>
    <w:rsid w:val="0095645A"/>
    <w:rPr>
      <w:rFonts w:ascii="Arial" w:hAnsi="Arial" w:cs="Arial"/>
      <w:color w:val="auto"/>
      <w:sz w:val="20"/>
      <w:szCs w:val="20"/>
    </w:rPr>
  </w:style>
  <w:style w:type="character" w:customStyle="1" w:styleId="EstiloCorreo993">
    <w:name w:val="EstiloCorreo993"/>
    <w:rsid w:val="0095645A"/>
    <w:rPr>
      <w:rFonts w:ascii="Arial" w:hAnsi="Arial" w:cs="Arial"/>
      <w:color w:val="000080"/>
    </w:rPr>
  </w:style>
  <w:style w:type="character" w:customStyle="1" w:styleId="EstiloCorreo994">
    <w:name w:val="EstiloCorreo994"/>
    <w:rsid w:val="0095645A"/>
    <w:rPr>
      <w:rFonts w:ascii="Tahoma" w:hAnsi="Tahoma" w:cs="Tahoma"/>
      <w:color w:val="auto"/>
    </w:rPr>
  </w:style>
  <w:style w:type="character" w:customStyle="1" w:styleId="EstiloCorreo995">
    <w:name w:val="EstiloCorreo995"/>
    <w:rsid w:val="0095645A"/>
    <w:rPr>
      <w:rFonts w:ascii="Tahoma" w:hAnsi="Tahoma" w:cs="Tahoma"/>
      <w:color w:val="auto"/>
    </w:rPr>
  </w:style>
  <w:style w:type="paragraph" w:customStyle="1" w:styleId="PROGRAMA0">
    <w:name w:val="PROGRAMA"/>
    <w:basedOn w:val="Normal"/>
    <w:next w:val="Normal"/>
    <w:rsid w:val="0095645A"/>
    <w:pPr>
      <w:keepNext/>
      <w:ind w:firstLine="709"/>
      <w:jc w:val="both"/>
    </w:pPr>
    <w:rPr>
      <w:rFonts w:ascii="Bookman Old Style" w:hAnsi="Bookman Old Style" w:cs="Bookman Old Style"/>
      <w:b/>
      <w:bCs/>
      <w:sz w:val="22"/>
      <w:szCs w:val="22"/>
      <w:lang w:eastAsia="zh-CN"/>
    </w:rPr>
  </w:style>
  <w:style w:type="paragraph" w:customStyle="1" w:styleId="TITULO10">
    <w:name w:val="TITULO1"/>
    <w:basedOn w:val="Normal"/>
    <w:next w:val="Normal"/>
    <w:rsid w:val="0095645A"/>
    <w:pPr>
      <w:keepNext/>
      <w:ind w:firstLine="709"/>
      <w:jc w:val="both"/>
    </w:pPr>
    <w:rPr>
      <w:rFonts w:ascii="Bookman Old Style" w:hAnsi="Bookman Old Style" w:cs="Bookman Old Style"/>
      <w:b/>
      <w:bCs/>
      <w:sz w:val="22"/>
      <w:szCs w:val="22"/>
      <w:lang w:eastAsia="zh-CN"/>
    </w:rPr>
  </w:style>
  <w:style w:type="paragraph" w:customStyle="1" w:styleId="PRESENTACIONYJUSTIFICACION">
    <w:name w:val="PRESENTACION Y JUSTIFICACION"/>
    <w:basedOn w:val="Normal"/>
    <w:next w:val="Normal"/>
    <w:rsid w:val="0095645A"/>
    <w:pPr>
      <w:tabs>
        <w:tab w:val="left" w:pos="16560"/>
      </w:tabs>
      <w:ind w:left="720" w:hanging="360"/>
      <w:jc w:val="both"/>
    </w:pPr>
    <w:rPr>
      <w:rFonts w:ascii="Cooper Md BT" w:hAnsi="Cooper Md BT" w:cs="Cooper Md BT"/>
      <w:b/>
      <w:bCs/>
      <w:lang w:val="es-CR" w:eastAsia="zh-CN"/>
    </w:rPr>
  </w:style>
  <w:style w:type="paragraph" w:customStyle="1" w:styleId="CURSO">
    <w:name w:val="CURSO"/>
    <w:basedOn w:val="Normal"/>
    <w:next w:val="Normal"/>
    <w:rsid w:val="0095645A"/>
    <w:pPr>
      <w:tabs>
        <w:tab w:val="left" w:pos="-29403"/>
      </w:tabs>
      <w:ind w:left="1571" w:hanging="360"/>
      <w:jc w:val="both"/>
    </w:pPr>
    <w:rPr>
      <w:b/>
      <w:bCs/>
      <w:i/>
      <w:iCs/>
      <w:sz w:val="28"/>
      <w:szCs w:val="28"/>
      <w:lang w:val="es-CR" w:eastAsia="zh-CN"/>
    </w:rPr>
  </w:style>
  <w:style w:type="paragraph" w:customStyle="1" w:styleId="CM10">
    <w:name w:val="CM10"/>
    <w:basedOn w:val="Default"/>
    <w:next w:val="Default"/>
    <w:rsid w:val="0095645A"/>
  </w:style>
  <w:style w:type="character" w:customStyle="1" w:styleId="xl43Car">
    <w:name w:val="xl43 Car"/>
    <w:link w:val="xl43"/>
    <w:rsid w:val="0095645A"/>
    <w:rPr>
      <w:rFonts w:ascii="Book Antiqua" w:eastAsia="Arial Unicode MS" w:hAnsi="Book Antiqua"/>
      <w:b/>
      <w:bCs/>
      <w:sz w:val="22"/>
      <w:szCs w:val="22"/>
    </w:rPr>
  </w:style>
  <w:style w:type="table" w:styleId="Tablamoderna">
    <w:name w:val="Table Contemporary"/>
    <w:basedOn w:val="Tablanormal"/>
    <w:uiPriority w:val="99"/>
    <w:qFormat/>
    <w:rsid w:val="0095645A"/>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customStyle="1" w:styleId="xmsonormal0">
    <w:name w:val="xmsonormal"/>
    <w:basedOn w:val="Normal"/>
    <w:rsid w:val="0095645A"/>
    <w:pPr>
      <w:suppressAutoHyphens w:val="0"/>
    </w:pPr>
    <w:rPr>
      <w:lang w:eastAsia="es-ES"/>
    </w:rPr>
  </w:style>
  <w:style w:type="character" w:customStyle="1" w:styleId="hasnegrita1">
    <w:name w:val="has_negrita1"/>
    <w:rsid w:val="0095645A"/>
    <w:rPr>
      <w:rFonts w:cs="Times New Roman"/>
      <w:b/>
      <w:bCs/>
    </w:rPr>
  </w:style>
  <w:style w:type="character" w:customStyle="1" w:styleId="WW8Num35z1">
    <w:name w:val="WW8Num35z1"/>
    <w:qFormat/>
    <w:rsid w:val="0095645A"/>
    <w:rPr>
      <w:rFonts w:ascii="Book Antiqua" w:eastAsia="Times New Roman" w:hAnsi="Book Antiqua"/>
    </w:rPr>
  </w:style>
  <w:style w:type="character" w:customStyle="1" w:styleId="WW8Num35z2">
    <w:name w:val="WW8Num35z2"/>
    <w:qFormat/>
    <w:rsid w:val="0095645A"/>
    <w:rPr>
      <w:rFonts w:ascii="Wingdings" w:hAnsi="Wingdings"/>
    </w:rPr>
  </w:style>
  <w:style w:type="character" w:customStyle="1" w:styleId="WW8Num35z3">
    <w:name w:val="WW8Num35z3"/>
    <w:qFormat/>
    <w:rsid w:val="0095645A"/>
    <w:rPr>
      <w:rFonts w:ascii="Symbol" w:hAnsi="Symbol"/>
    </w:rPr>
  </w:style>
  <w:style w:type="character" w:customStyle="1" w:styleId="WW8Num35z4">
    <w:name w:val="WW8Num35z4"/>
    <w:qFormat/>
    <w:rsid w:val="0095645A"/>
    <w:rPr>
      <w:rFonts w:ascii="Courier New" w:hAnsi="Courier New"/>
    </w:rPr>
  </w:style>
  <w:style w:type="character" w:customStyle="1" w:styleId="WW8Num39z2">
    <w:name w:val="WW8Num39z2"/>
    <w:qFormat/>
    <w:rsid w:val="0095645A"/>
    <w:rPr>
      <w:lang w:val="es-ES"/>
    </w:rPr>
  </w:style>
  <w:style w:type="character" w:customStyle="1" w:styleId="WW8Num42z0">
    <w:name w:val="WW8Num42z0"/>
    <w:qFormat/>
    <w:rsid w:val="0095645A"/>
    <w:rPr>
      <w:b/>
      <w:color w:val="000000"/>
    </w:rPr>
  </w:style>
  <w:style w:type="character" w:customStyle="1" w:styleId="WW8Num42z1">
    <w:name w:val="WW8Num42z1"/>
    <w:qFormat/>
    <w:rsid w:val="0095645A"/>
    <w:rPr>
      <w:rFonts w:ascii="Wingdings" w:hAnsi="Wingdings"/>
      <w:b/>
      <w:color w:val="000000"/>
    </w:rPr>
  </w:style>
  <w:style w:type="character" w:customStyle="1" w:styleId="WW8Num48z0">
    <w:name w:val="WW8Num48z0"/>
    <w:qFormat/>
    <w:rsid w:val="0095645A"/>
    <w:rPr>
      <w:rFonts w:ascii="Wingdings" w:hAnsi="Wingdings"/>
    </w:rPr>
  </w:style>
  <w:style w:type="character" w:customStyle="1" w:styleId="WW8Num48z1">
    <w:name w:val="WW8Num48z1"/>
    <w:qFormat/>
    <w:rsid w:val="0095645A"/>
    <w:rPr>
      <w:rFonts w:ascii="Courier New" w:hAnsi="Courier New"/>
    </w:rPr>
  </w:style>
  <w:style w:type="character" w:customStyle="1" w:styleId="WW8Num48z3">
    <w:name w:val="WW8Num48z3"/>
    <w:qFormat/>
    <w:rsid w:val="0095645A"/>
    <w:rPr>
      <w:rFonts w:ascii="Symbol" w:hAnsi="Symbol"/>
    </w:rPr>
  </w:style>
  <w:style w:type="character" w:customStyle="1" w:styleId="WW8Num52z0">
    <w:name w:val="WW8Num52z0"/>
    <w:rsid w:val="0095645A"/>
    <w:rPr>
      <w:rFonts w:ascii="Calibri" w:eastAsia="Times New Roman" w:hAnsi="Calibri"/>
    </w:rPr>
  </w:style>
  <w:style w:type="character" w:customStyle="1" w:styleId="WW8Num52z1">
    <w:name w:val="WW8Num52z1"/>
    <w:rsid w:val="0095645A"/>
    <w:rPr>
      <w:rFonts w:ascii="Courier New" w:hAnsi="Courier New"/>
    </w:rPr>
  </w:style>
  <w:style w:type="character" w:customStyle="1" w:styleId="WW8Num52z2">
    <w:name w:val="WW8Num52z2"/>
    <w:rsid w:val="0095645A"/>
    <w:rPr>
      <w:rFonts w:ascii="Wingdings" w:hAnsi="Wingdings"/>
    </w:rPr>
  </w:style>
  <w:style w:type="character" w:customStyle="1" w:styleId="WW8Num52z3">
    <w:name w:val="WW8Num52z3"/>
    <w:rsid w:val="0095645A"/>
    <w:rPr>
      <w:rFonts w:ascii="Symbol" w:hAnsi="Symbol"/>
    </w:rPr>
  </w:style>
  <w:style w:type="character" w:customStyle="1" w:styleId="CarCar61">
    <w:name w:val="Car Car61"/>
    <w:rsid w:val="0095645A"/>
    <w:rPr>
      <w:sz w:val="24"/>
      <w:lang w:val="es-CR"/>
    </w:rPr>
  </w:style>
  <w:style w:type="character" w:customStyle="1" w:styleId="CarCar31">
    <w:name w:val="Car Car31"/>
    <w:rsid w:val="0095645A"/>
    <w:rPr>
      <w:lang w:val="es-CR"/>
    </w:rPr>
  </w:style>
  <w:style w:type="paragraph" w:customStyle="1" w:styleId="Ttulo1Procedimientos">
    <w:name w:val="Título 1 Procedimientos"/>
    <w:basedOn w:val="Ttulo1"/>
    <w:rsid w:val="0095645A"/>
    <w:pPr>
      <w:spacing w:after="240"/>
      <w:jc w:val="both"/>
    </w:pPr>
    <w:rPr>
      <w:rFonts w:cs="Times New Roman"/>
      <w:caps/>
      <w:smallCaps/>
      <w:kern w:val="0"/>
      <w:sz w:val="26"/>
      <w:szCs w:val="26"/>
      <w:u w:color="000000"/>
      <w:lang w:eastAsia="zh-CN"/>
    </w:rPr>
  </w:style>
  <w:style w:type="paragraph" w:customStyle="1" w:styleId="Ttulo2Procedimiento">
    <w:name w:val="Título 2 Procedimiento"/>
    <w:basedOn w:val="Normal"/>
    <w:rsid w:val="0095645A"/>
    <w:pPr>
      <w:tabs>
        <w:tab w:val="num" w:pos="360"/>
      </w:tabs>
      <w:spacing w:before="240" w:after="360"/>
      <w:ind w:left="360" w:hanging="360"/>
      <w:jc w:val="both"/>
    </w:pPr>
    <w:rPr>
      <w:rFonts w:ascii="Arial" w:hAnsi="Arial" w:cs="Arial"/>
      <w:i/>
      <w:iCs/>
      <w:lang w:eastAsia="zh-CN"/>
    </w:rPr>
  </w:style>
  <w:style w:type="paragraph" w:customStyle="1" w:styleId="Ttulo3Procedimiento">
    <w:name w:val="Título 3 Procedimiento"/>
    <w:basedOn w:val="Normal"/>
    <w:rsid w:val="0095645A"/>
    <w:pPr>
      <w:tabs>
        <w:tab w:val="num" w:pos="360"/>
      </w:tabs>
      <w:spacing w:before="240" w:after="360"/>
      <w:ind w:left="360" w:hanging="360"/>
      <w:jc w:val="both"/>
    </w:pPr>
    <w:rPr>
      <w:rFonts w:ascii="Arial" w:hAnsi="Arial" w:cs="Arial"/>
      <w:i/>
      <w:iCs/>
      <w:sz w:val="22"/>
      <w:szCs w:val="22"/>
      <w:lang w:eastAsia="zh-CN"/>
    </w:rPr>
  </w:style>
  <w:style w:type="paragraph" w:customStyle="1" w:styleId="CarCar10CarCar">
    <w:name w:val="Car Car10 Car Car"/>
    <w:basedOn w:val="Normal"/>
    <w:rsid w:val="0095645A"/>
    <w:pPr>
      <w:spacing w:after="160" w:line="240" w:lineRule="exact"/>
    </w:pPr>
    <w:rPr>
      <w:rFonts w:ascii="Verdana" w:hAnsi="Verdana" w:cs="Verdana"/>
      <w:sz w:val="20"/>
      <w:szCs w:val="20"/>
      <w:lang w:val="en-AU" w:eastAsia="zh-CN"/>
    </w:rPr>
  </w:style>
  <w:style w:type="paragraph" w:customStyle="1" w:styleId="CM6">
    <w:name w:val="CM6"/>
    <w:basedOn w:val="Default"/>
    <w:next w:val="Default"/>
    <w:rsid w:val="0095645A"/>
  </w:style>
  <w:style w:type="paragraph" w:customStyle="1" w:styleId="CM2">
    <w:name w:val="CM2"/>
    <w:basedOn w:val="Default"/>
    <w:next w:val="Default"/>
    <w:rsid w:val="0095645A"/>
  </w:style>
  <w:style w:type="character" w:customStyle="1" w:styleId="EstiloCorreo149">
    <w:name w:val="EstiloCorreo149"/>
    <w:rsid w:val="0095645A"/>
    <w:rPr>
      <w:rFonts w:ascii="Arial" w:hAnsi="Arial" w:cs="Arial"/>
      <w:color w:val="auto"/>
      <w:sz w:val="20"/>
      <w:szCs w:val="20"/>
    </w:rPr>
  </w:style>
  <w:style w:type="paragraph" w:customStyle="1" w:styleId="Textoindependiente33">
    <w:name w:val="Texto independiente 33"/>
    <w:basedOn w:val="Normal"/>
    <w:rsid w:val="0095645A"/>
    <w:pPr>
      <w:tabs>
        <w:tab w:val="left" w:pos="-720"/>
      </w:tabs>
      <w:jc w:val="both"/>
    </w:pPr>
    <w:rPr>
      <w:b/>
      <w:spacing w:val="-3"/>
      <w:szCs w:val="20"/>
      <w:lang w:val="es-ES_tradnl" w:eastAsia="es-ES"/>
    </w:rPr>
  </w:style>
  <w:style w:type="character" w:styleId="Referenciaintensa">
    <w:name w:val="Intense Reference"/>
    <w:uiPriority w:val="32"/>
    <w:qFormat/>
    <w:rsid w:val="0095645A"/>
    <w:rPr>
      <w:rFonts w:ascii="Calibri" w:hAnsi="Calibri"/>
      <w:sz w:val="18"/>
      <w:szCs w:val="22"/>
      <w:lang w:val="es-CR" w:eastAsia="es-CR"/>
    </w:rPr>
  </w:style>
  <w:style w:type="paragraph" w:customStyle="1" w:styleId="ListParagraph2">
    <w:name w:val="List Paragraph2"/>
    <w:basedOn w:val="Normal"/>
    <w:uiPriority w:val="99"/>
    <w:qFormat/>
    <w:rsid w:val="0095645A"/>
    <w:pPr>
      <w:suppressAutoHyphens w:val="0"/>
      <w:spacing w:after="200" w:line="276" w:lineRule="auto"/>
      <w:ind w:left="720"/>
      <w:contextualSpacing/>
    </w:pPr>
    <w:rPr>
      <w:rFonts w:ascii="Calibri" w:hAnsi="Calibri"/>
      <w:sz w:val="22"/>
      <w:szCs w:val="22"/>
      <w:lang w:eastAsia="en-US"/>
    </w:rPr>
  </w:style>
  <w:style w:type="character" w:customStyle="1" w:styleId="EstiloCorreo38">
    <w:name w:val="EstiloCorreo38"/>
    <w:rsid w:val="0095645A"/>
    <w:rPr>
      <w:rFonts w:ascii="Arial" w:hAnsi="Arial" w:cs="Arial"/>
      <w:color w:val="000080"/>
      <w:sz w:val="20"/>
      <w:szCs w:val="20"/>
    </w:rPr>
  </w:style>
  <w:style w:type="numbering" w:customStyle="1" w:styleId="Sinlista2">
    <w:name w:val="Sin lista2"/>
    <w:next w:val="Sinlista"/>
    <w:uiPriority w:val="99"/>
    <w:semiHidden/>
    <w:unhideWhenUsed/>
    <w:rsid w:val="0095645A"/>
  </w:style>
  <w:style w:type="numbering" w:customStyle="1" w:styleId="Sinlista3">
    <w:name w:val="Sin lista3"/>
    <w:next w:val="Sinlista"/>
    <w:uiPriority w:val="99"/>
    <w:semiHidden/>
    <w:unhideWhenUsed/>
    <w:rsid w:val="0095645A"/>
  </w:style>
  <w:style w:type="numbering" w:customStyle="1" w:styleId="1111111111">
    <w:name w:val="1.1 / 1.1.1 / 1.1.1.11"/>
    <w:basedOn w:val="Sinlista"/>
    <w:next w:val="111111"/>
    <w:unhideWhenUsed/>
    <w:rsid w:val="0095645A"/>
  </w:style>
  <w:style w:type="paragraph" w:customStyle="1" w:styleId="AATITULITO">
    <w:name w:val="AA TITULITO"/>
    <w:basedOn w:val="Normal"/>
    <w:link w:val="AATITULITOCar"/>
    <w:rsid w:val="0095645A"/>
    <w:pPr>
      <w:ind w:left="851" w:right="851"/>
      <w:jc w:val="center"/>
    </w:pPr>
    <w:rPr>
      <w:b/>
      <w:color w:val="000099"/>
      <w:sz w:val="26"/>
      <w:szCs w:val="26"/>
      <w:lang w:val="es-ES_tradnl"/>
    </w:rPr>
  </w:style>
  <w:style w:type="character" w:customStyle="1" w:styleId="AATITULITOCar">
    <w:name w:val="AA TITULITO Car"/>
    <w:link w:val="AATITULITO"/>
    <w:rsid w:val="0095645A"/>
    <w:rPr>
      <w:b/>
      <w:color w:val="000099"/>
      <w:sz w:val="26"/>
      <w:szCs w:val="26"/>
      <w:lang w:val="es-ES_tradnl" w:eastAsia="ar-SA"/>
    </w:rPr>
  </w:style>
  <w:style w:type="numbering" w:customStyle="1" w:styleId="WWNum21">
    <w:name w:val="WWNum21"/>
    <w:basedOn w:val="Sinlista"/>
    <w:rsid w:val="0095645A"/>
    <w:pPr>
      <w:numPr>
        <w:numId w:val="29"/>
      </w:numPr>
    </w:pPr>
  </w:style>
  <w:style w:type="paragraph" w:customStyle="1" w:styleId="xl76">
    <w:name w:val="xl76"/>
    <w:basedOn w:val="Normal"/>
    <w:rsid w:val="009564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lang w:val="es-CR" w:eastAsia="es-CR"/>
    </w:rPr>
  </w:style>
  <w:style w:type="paragraph" w:customStyle="1" w:styleId="xl77">
    <w:name w:val="xl77"/>
    <w:basedOn w:val="Normal"/>
    <w:rsid w:val="009564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color w:val="000000"/>
      <w:sz w:val="16"/>
      <w:szCs w:val="16"/>
      <w:lang w:val="es-CR" w:eastAsia="es-CR"/>
    </w:rPr>
  </w:style>
  <w:style w:type="paragraph" w:customStyle="1" w:styleId="xl78">
    <w:name w:val="xl78"/>
    <w:basedOn w:val="Normal"/>
    <w:rsid w:val="0095645A"/>
    <w:pPr>
      <w:pBdr>
        <w:top w:val="single" w:sz="4" w:space="0" w:color="auto"/>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16"/>
      <w:szCs w:val="16"/>
      <w:lang w:val="es-CR" w:eastAsia="es-CR"/>
    </w:rPr>
  </w:style>
  <w:style w:type="paragraph" w:customStyle="1" w:styleId="xl83">
    <w:name w:val="xl83"/>
    <w:basedOn w:val="Normal"/>
    <w:rsid w:val="0095645A"/>
    <w:pPr>
      <w:pBdr>
        <w:left w:val="single" w:sz="4" w:space="0" w:color="auto"/>
        <w:bottom w:val="single" w:sz="4" w:space="0" w:color="auto"/>
        <w:right w:val="single" w:sz="4" w:space="0" w:color="auto"/>
      </w:pBdr>
      <w:suppressAutoHyphens w:val="0"/>
      <w:spacing w:before="100" w:beforeAutospacing="1" w:after="100" w:afterAutospacing="1"/>
      <w:jc w:val="right"/>
      <w:textAlignment w:val="top"/>
    </w:pPr>
    <w:rPr>
      <w:rFonts w:ascii="Arial" w:hAnsi="Arial" w:cs="Arial"/>
      <w:color w:val="000000"/>
      <w:sz w:val="16"/>
      <w:szCs w:val="16"/>
      <w:lang w:val="es-CR" w:eastAsia="es-CR"/>
    </w:rPr>
  </w:style>
  <w:style w:type="paragraph" w:customStyle="1" w:styleId="xl84">
    <w:name w:val="xl84"/>
    <w:basedOn w:val="Normal"/>
    <w:rsid w:val="0095645A"/>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16"/>
      <w:szCs w:val="16"/>
      <w:lang w:val="es-CR" w:eastAsia="es-CR"/>
    </w:rPr>
  </w:style>
  <w:style w:type="paragraph" w:customStyle="1" w:styleId="xl85">
    <w:name w:val="xl85"/>
    <w:basedOn w:val="Normal"/>
    <w:rsid w:val="0095645A"/>
    <w:pPr>
      <w:pBdr>
        <w:left w:val="single" w:sz="4" w:space="0" w:color="auto"/>
        <w:bottom w:val="single" w:sz="4" w:space="0" w:color="auto"/>
        <w:right w:val="single" w:sz="4" w:space="0" w:color="auto"/>
      </w:pBdr>
      <w:suppressAutoHyphens w:val="0"/>
      <w:spacing w:before="100" w:beforeAutospacing="1" w:after="100" w:afterAutospacing="1"/>
      <w:textAlignment w:val="top"/>
    </w:pPr>
    <w:rPr>
      <w:rFonts w:ascii="Arial" w:hAnsi="Arial" w:cs="Arial"/>
      <w:sz w:val="16"/>
      <w:szCs w:val="16"/>
      <w:lang w:val="es-CR" w:eastAsia="es-CR"/>
    </w:rPr>
  </w:style>
  <w:style w:type="paragraph" w:customStyle="1" w:styleId="xl86">
    <w:name w:val="xl86"/>
    <w:basedOn w:val="Normal"/>
    <w:rsid w:val="0095645A"/>
    <w:pPr>
      <w:pBdr>
        <w:top w:val="single" w:sz="8" w:space="0" w:color="auto"/>
        <w:left w:val="single" w:sz="8"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CR" w:eastAsia="es-CR"/>
    </w:rPr>
  </w:style>
  <w:style w:type="paragraph" w:customStyle="1" w:styleId="xl87">
    <w:name w:val="xl87"/>
    <w:basedOn w:val="Normal"/>
    <w:rsid w:val="0095645A"/>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CR" w:eastAsia="es-CR"/>
    </w:rPr>
  </w:style>
  <w:style w:type="paragraph" w:customStyle="1" w:styleId="xl88">
    <w:name w:val="xl88"/>
    <w:basedOn w:val="Normal"/>
    <w:rsid w:val="0095645A"/>
    <w:pPr>
      <w:pBdr>
        <w:top w:val="single" w:sz="8" w:space="0" w:color="auto"/>
        <w:left w:val="single" w:sz="4" w:space="0" w:color="auto"/>
        <w:bottom w:val="single" w:sz="8" w:space="0" w:color="auto"/>
        <w:right w:val="single" w:sz="4"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CR" w:eastAsia="es-CR"/>
    </w:rPr>
  </w:style>
  <w:style w:type="paragraph" w:customStyle="1" w:styleId="xl89">
    <w:name w:val="xl89"/>
    <w:basedOn w:val="Normal"/>
    <w:rsid w:val="0095645A"/>
    <w:pPr>
      <w:pBdr>
        <w:top w:val="single" w:sz="8" w:space="0" w:color="auto"/>
        <w:left w:val="single" w:sz="4" w:space="0" w:color="auto"/>
        <w:bottom w:val="single" w:sz="8" w:space="0" w:color="auto"/>
        <w:right w:val="single" w:sz="8" w:space="0" w:color="auto"/>
      </w:pBdr>
      <w:shd w:val="clear" w:color="000000" w:fill="C0C0C0"/>
      <w:suppressAutoHyphens w:val="0"/>
      <w:spacing w:before="100" w:beforeAutospacing="1" w:after="100" w:afterAutospacing="1"/>
      <w:jc w:val="center"/>
      <w:textAlignment w:val="top"/>
    </w:pPr>
    <w:rPr>
      <w:rFonts w:ascii="Arial" w:hAnsi="Arial" w:cs="Arial"/>
      <w:b/>
      <w:bCs/>
      <w:sz w:val="16"/>
      <w:szCs w:val="16"/>
      <w:lang w:val="es-CR" w:eastAsia="es-CR"/>
    </w:rPr>
  </w:style>
  <w:style w:type="paragraph" w:customStyle="1" w:styleId="Prrafodelista130">
    <w:name w:val="Párrafo de lista13"/>
    <w:basedOn w:val="Normal"/>
    <w:uiPriority w:val="99"/>
    <w:qFormat/>
    <w:rsid w:val="0095645A"/>
    <w:pPr>
      <w:spacing w:after="160"/>
      <w:ind w:left="720"/>
      <w:contextualSpacing/>
    </w:pPr>
    <w:rPr>
      <w:rFonts w:ascii="Calibri" w:eastAsia="Calibri" w:hAnsi="Calibri" w:cs="Liberation Serif"/>
      <w:color w:val="000000"/>
      <w:kern w:val="2"/>
      <w:sz w:val="22"/>
      <w:lang w:val="es-CR" w:eastAsia="zh-CN" w:bidi="hi-IN"/>
    </w:rPr>
  </w:style>
  <w:style w:type="numbering" w:customStyle="1" w:styleId="Sinlista13">
    <w:name w:val="Sin lista13"/>
    <w:next w:val="Sinlista"/>
    <w:uiPriority w:val="99"/>
    <w:semiHidden/>
    <w:unhideWhenUsed/>
    <w:rsid w:val="0095645A"/>
  </w:style>
  <w:style w:type="numbering" w:customStyle="1" w:styleId="1111111112">
    <w:name w:val="1.1 / 1.1.1 / 1.1.1.12"/>
    <w:basedOn w:val="Sinlista"/>
    <w:next w:val="111111"/>
    <w:unhideWhenUsed/>
    <w:rsid w:val="0095645A"/>
    <w:pPr>
      <w:numPr>
        <w:numId w:val="47"/>
      </w:numPr>
    </w:pPr>
  </w:style>
  <w:style w:type="paragraph" w:customStyle="1" w:styleId="Trabajo2">
    <w:name w:val="Trabajo2"/>
    <w:qFormat/>
    <w:rsid w:val="0095645A"/>
    <w:pPr>
      <w:suppressAutoHyphens/>
      <w:spacing w:line="360" w:lineRule="auto"/>
      <w:jc w:val="both"/>
    </w:pPr>
    <w:rPr>
      <w:rFonts w:ascii="Arial" w:hAnsi="Arial" w:cs="Arial"/>
      <w:lang w:eastAsia="ar-SA"/>
    </w:rPr>
  </w:style>
  <w:style w:type="paragraph" w:customStyle="1" w:styleId="Fuente">
    <w:name w:val="Fuente"/>
    <w:basedOn w:val="Normal"/>
    <w:link w:val="FuenteCar"/>
    <w:qFormat/>
    <w:rsid w:val="0095645A"/>
    <w:pPr>
      <w:suppressAutoHyphens w:val="0"/>
      <w:spacing w:after="120" w:line="360" w:lineRule="auto"/>
      <w:jc w:val="both"/>
    </w:pPr>
    <w:rPr>
      <w:rFonts w:ascii="Arial" w:hAnsi="Arial"/>
      <w:b/>
      <w:i/>
      <w:sz w:val="18"/>
      <w:lang w:eastAsia="es-ES"/>
    </w:rPr>
  </w:style>
  <w:style w:type="character" w:customStyle="1" w:styleId="FuenteCar">
    <w:name w:val="Fuente Car"/>
    <w:link w:val="Fuente"/>
    <w:rsid w:val="0095645A"/>
    <w:rPr>
      <w:rFonts w:ascii="Arial" w:hAnsi="Arial"/>
      <w:b/>
      <w:i/>
      <w:sz w:val="18"/>
      <w:szCs w:val="24"/>
    </w:rPr>
  </w:style>
  <w:style w:type="character" w:customStyle="1" w:styleId="ElacuerdoCar">
    <w:name w:val="El acuerdo Car"/>
    <w:link w:val="Elacuerdo"/>
    <w:qFormat/>
    <w:locked/>
    <w:rsid w:val="0095645A"/>
  </w:style>
  <w:style w:type="paragraph" w:customStyle="1" w:styleId="Elacuerdo">
    <w:name w:val="El acuerdo"/>
    <w:basedOn w:val="Normal"/>
    <w:link w:val="ElacuerdoCar"/>
    <w:qFormat/>
    <w:rsid w:val="0095645A"/>
    <w:pPr>
      <w:suppressAutoHyphens w:val="0"/>
      <w:autoSpaceDE w:val="0"/>
      <w:autoSpaceDN w:val="0"/>
      <w:spacing w:before="120" w:after="120" w:line="480" w:lineRule="auto"/>
      <w:ind w:firstLine="708"/>
      <w:jc w:val="both"/>
    </w:pPr>
    <w:rPr>
      <w:sz w:val="20"/>
      <w:szCs w:val="20"/>
      <w:lang w:eastAsia="es-ES"/>
    </w:rPr>
  </w:style>
  <w:style w:type="character" w:customStyle="1" w:styleId="AcueryAnteCar">
    <w:name w:val="Acuer y Ante Car"/>
    <w:link w:val="AcueryAnte"/>
    <w:qFormat/>
    <w:locked/>
    <w:rsid w:val="0095645A"/>
    <w:rPr>
      <w:rFonts w:ascii="Batang" w:eastAsia="Batang"/>
      <w:color w:val="000099"/>
    </w:rPr>
  </w:style>
  <w:style w:type="paragraph" w:customStyle="1" w:styleId="AcueryAnte">
    <w:name w:val="Acuer y Ante"/>
    <w:basedOn w:val="Normal"/>
    <w:link w:val="AcueryAnteCar"/>
    <w:qFormat/>
    <w:rsid w:val="0095645A"/>
    <w:pPr>
      <w:suppressAutoHyphens w:val="0"/>
      <w:spacing w:line="480" w:lineRule="auto"/>
      <w:ind w:firstLine="708"/>
      <w:jc w:val="both"/>
    </w:pPr>
    <w:rPr>
      <w:rFonts w:ascii="Batang" w:eastAsia="Batang"/>
      <w:color w:val="000099"/>
      <w:sz w:val="20"/>
      <w:szCs w:val="20"/>
      <w:lang w:eastAsia="es-ES"/>
    </w:rPr>
  </w:style>
  <w:style w:type="paragraph" w:customStyle="1" w:styleId="SingleTxtG">
    <w:name w:val="_ Single Txt_G"/>
    <w:basedOn w:val="Normal"/>
    <w:link w:val="SingleTxtGChar"/>
    <w:uiPriority w:val="99"/>
    <w:qFormat/>
    <w:rsid w:val="0095645A"/>
    <w:pPr>
      <w:suppressAutoHyphens w:val="0"/>
      <w:spacing w:after="120" w:line="240" w:lineRule="atLeast"/>
      <w:ind w:left="1134" w:right="1134"/>
      <w:jc w:val="both"/>
    </w:pPr>
    <w:rPr>
      <w:rFonts w:eastAsia="Calibri"/>
      <w:sz w:val="20"/>
      <w:szCs w:val="20"/>
      <w:lang w:val="es-CR" w:eastAsia="es-CR"/>
    </w:rPr>
  </w:style>
  <w:style w:type="paragraph" w:customStyle="1" w:styleId="xxmsonormal">
    <w:name w:val="x_x_msonormal"/>
    <w:basedOn w:val="Normal"/>
    <w:qFormat/>
    <w:rsid w:val="0095645A"/>
    <w:pPr>
      <w:suppressAutoHyphens w:val="0"/>
    </w:pPr>
    <w:rPr>
      <w:rFonts w:eastAsia="Calibri"/>
      <w:lang w:val="es-CR" w:eastAsia="es-CR"/>
    </w:rPr>
  </w:style>
  <w:style w:type="paragraph" w:customStyle="1" w:styleId="aaa0">
    <w:name w:val="aaa"/>
    <w:basedOn w:val="Normal"/>
    <w:link w:val="aaaCar0"/>
    <w:rsid w:val="0095645A"/>
    <w:pPr>
      <w:ind w:left="851" w:right="851"/>
      <w:jc w:val="center"/>
    </w:pPr>
    <w:rPr>
      <w:b/>
      <w:i/>
      <w:color w:val="000099"/>
      <w:sz w:val="26"/>
      <w:szCs w:val="26"/>
      <w:lang w:val="es-ES_tradnl"/>
    </w:rPr>
  </w:style>
  <w:style w:type="paragraph" w:customStyle="1" w:styleId="aatituloazul">
    <w:name w:val="aa titulo azul"/>
    <w:basedOn w:val="Ttulo1"/>
    <w:link w:val="aatituloazulCar"/>
    <w:rsid w:val="0095645A"/>
    <w:pPr>
      <w:pBdr>
        <w:top w:val="single" w:sz="4" w:space="1" w:color="365F91"/>
        <w:left w:val="single" w:sz="4" w:space="4" w:color="365F91"/>
        <w:bottom w:val="single" w:sz="4" w:space="1" w:color="365F91"/>
        <w:right w:val="single" w:sz="4" w:space="4" w:color="365F91"/>
      </w:pBdr>
      <w:shd w:val="clear" w:color="auto" w:fill="548DD4"/>
      <w:tabs>
        <w:tab w:val="num" w:pos="0"/>
      </w:tabs>
      <w:spacing w:before="120" w:after="120"/>
      <w:ind w:left="851" w:right="851"/>
      <w:jc w:val="both"/>
    </w:pPr>
    <w:rPr>
      <w:rFonts w:ascii="Times New Roman" w:hAnsi="Times New Roman" w:cs="Times New Roman"/>
      <w:sz w:val="28"/>
      <w:szCs w:val="28"/>
    </w:rPr>
  </w:style>
  <w:style w:type="character" w:customStyle="1" w:styleId="aaaCar0">
    <w:name w:val="aaa Car"/>
    <w:link w:val="aaa0"/>
    <w:rsid w:val="0095645A"/>
    <w:rPr>
      <w:b/>
      <w:i/>
      <w:color w:val="000099"/>
      <w:sz w:val="26"/>
      <w:szCs w:val="26"/>
      <w:lang w:val="es-ES_tradnl" w:eastAsia="ar-SA"/>
    </w:rPr>
  </w:style>
  <w:style w:type="character" w:customStyle="1" w:styleId="aatituloazulCar">
    <w:name w:val="aa titulo azul Car"/>
    <w:link w:val="aatituloazul"/>
    <w:rsid w:val="0095645A"/>
    <w:rPr>
      <w:b/>
      <w:bCs/>
      <w:color w:val="000080"/>
      <w:kern w:val="1"/>
      <w:sz w:val="28"/>
      <w:szCs w:val="28"/>
      <w:u w:val="single"/>
      <w:shd w:val="clear" w:color="auto" w:fill="548DD4"/>
      <w:lang w:eastAsia="ar-SA"/>
    </w:rPr>
  </w:style>
  <w:style w:type="character" w:customStyle="1" w:styleId="Mencinsinresolver2">
    <w:name w:val="Mención sin resolver2"/>
    <w:uiPriority w:val="99"/>
    <w:unhideWhenUsed/>
    <w:rsid w:val="0095645A"/>
    <w:rPr>
      <w:color w:val="605E5C"/>
      <w:shd w:val="clear" w:color="auto" w:fill="E1DFDD"/>
    </w:rPr>
  </w:style>
  <w:style w:type="paragraph" w:customStyle="1" w:styleId="Autocorrecci3f1">
    <w:name w:val="Autocorrecci?3f"/>
    <w:rsid w:val="0095645A"/>
    <w:pPr>
      <w:autoSpaceDE w:val="0"/>
      <w:autoSpaceDN w:val="0"/>
      <w:adjustRightInd w:val="0"/>
    </w:pPr>
    <w:rPr>
      <w:rFonts w:ascii="Arial" w:hAnsi="Arial" w:cs="Arial"/>
      <w:color w:val="000000"/>
      <w:u w:val="single"/>
    </w:rPr>
  </w:style>
  <w:style w:type="table" w:customStyle="1" w:styleId="Tablaconcuadrcula11">
    <w:name w:val="Tabla con cuadrícula11"/>
    <w:basedOn w:val="Tablanormal"/>
    <w:next w:val="Tablaconcuadrcula"/>
    <w:uiPriority w:val="39"/>
    <w:rsid w:val="0095645A"/>
    <w:rPr>
      <w:rFonts w:ascii="Calibri" w:eastAsia="Calibri" w:hAnsi="Calibri"/>
      <w:sz w:val="22"/>
      <w:szCs w:val="22"/>
      <w:lang w:val="es-MX"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uestoCar">
    <w:name w:val="Puesto Car"/>
    <w:uiPriority w:val="99"/>
    <w:rsid w:val="0095645A"/>
    <w:rPr>
      <w:rFonts w:ascii="Calibri Light" w:eastAsia="Times New Roman" w:hAnsi="Calibri Light" w:cs="Times New Roman"/>
      <w:b/>
      <w:bCs/>
      <w:kern w:val="1"/>
      <w:sz w:val="32"/>
      <w:szCs w:val="32"/>
      <w:lang w:val="es-ES"/>
    </w:rPr>
  </w:style>
  <w:style w:type="character" w:customStyle="1" w:styleId="CriteriosCar">
    <w:name w:val="Criterios Car"/>
    <w:link w:val="Criterios"/>
    <w:locked/>
    <w:rsid w:val="0095645A"/>
    <w:rPr>
      <w:rFonts w:ascii="Calibri Light" w:hAnsi="Calibri Light"/>
    </w:rPr>
  </w:style>
  <w:style w:type="paragraph" w:customStyle="1" w:styleId="Criterios">
    <w:name w:val="Criterios"/>
    <w:basedOn w:val="Normal"/>
    <w:link w:val="CriteriosCar"/>
    <w:rsid w:val="0095645A"/>
    <w:pPr>
      <w:suppressAutoHyphens w:val="0"/>
      <w:spacing w:line="360" w:lineRule="auto"/>
      <w:ind w:firstLine="708"/>
      <w:jc w:val="both"/>
    </w:pPr>
    <w:rPr>
      <w:rFonts w:ascii="Calibri Light" w:hAnsi="Calibri Light"/>
      <w:sz w:val="20"/>
      <w:szCs w:val="20"/>
      <w:lang w:eastAsia="es-ES"/>
    </w:rPr>
  </w:style>
  <w:style w:type="character" w:customStyle="1" w:styleId="CitacriterioCar">
    <w:name w:val="Cita criterio Car"/>
    <w:link w:val="Citacriterio"/>
    <w:locked/>
    <w:rsid w:val="0095645A"/>
    <w:rPr>
      <w:rFonts w:ascii="Calibri Light" w:hAnsi="Calibri Light"/>
      <w:i/>
      <w:iCs/>
    </w:rPr>
  </w:style>
  <w:style w:type="paragraph" w:customStyle="1" w:styleId="Citacriterio">
    <w:name w:val="Cita criterio"/>
    <w:basedOn w:val="Normal"/>
    <w:link w:val="CitacriterioCar"/>
    <w:rsid w:val="0095645A"/>
    <w:pPr>
      <w:suppressAutoHyphens w:val="0"/>
      <w:ind w:left="851" w:right="851" w:firstLine="708"/>
      <w:jc w:val="both"/>
    </w:pPr>
    <w:rPr>
      <w:rFonts w:ascii="Calibri Light" w:hAnsi="Calibri Light"/>
      <w:i/>
      <w:iCs/>
      <w:sz w:val="20"/>
      <w:szCs w:val="20"/>
      <w:lang w:eastAsia="es-ES"/>
    </w:rPr>
  </w:style>
  <w:style w:type="paragraph" w:customStyle="1" w:styleId="encabezadodela">
    <w:name w:val="encabezado de la"/>
    <w:basedOn w:val="Normal"/>
    <w:link w:val="encabezadodelaCar"/>
    <w:qFormat/>
    <w:rsid w:val="0095645A"/>
    <w:pPr>
      <w:spacing w:line="480" w:lineRule="auto"/>
      <w:ind w:firstLine="708"/>
      <w:jc w:val="both"/>
    </w:pPr>
    <w:rPr>
      <w:color w:val="000099"/>
      <w:sz w:val="28"/>
      <w:szCs w:val="28"/>
      <w:lang w:val="es-ES_tradnl"/>
    </w:rPr>
  </w:style>
  <w:style w:type="character" w:customStyle="1" w:styleId="encabezadodelaCar">
    <w:name w:val="encabezado de la Car"/>
    <w:link w:val="encabezadodela"/>
    <w:qFormat/>
    <w:rsid w:val="0095645A"/>
    <w:rPr>
      <w:color w:val="000099"/>
      <w:sz w:val="28"/>
      <w:szCs w:val="28"/>
      <w:lang w:val="es-ES_tradnl" w:eastAsia="ar-SA"/>
    </w:rPr>
  </w:style>
  <w:style w:type="paragraph" w:customStyle="1" w:styleId="aab">
    <w:name w:val="aab"/>
    <w:basedOn w:val="Prrafodelista"/>
    <w:link w:val="aabCar"/>
    <w:rsid w:val="0095645A"/>
    <w:pPr>
      <w:numPr>
        <w:numId w:val="30"/>
      </w:numPr>
      <w:ind w:left="708" w:firstLine="0"/>
    </w:pPr>
  </w:style>
  <w:style w:type="character" w:customStyle="1" w:styleId="aabCar">
    <w:name w:val="aab Car"/>
    <w:link w:val="aab"/>
    <w:rsid w:val="0095645A"/>
    <w:rPr>
      <w:sz w:val="24"/>
      <w:szCs w:val="24"/>
      <w:lang w:eastAsia="ar-SA"/>
    </w:rPr>
  </w:style>
  <w:style w:type="paragraph" w:customStyle="1" w:styleId="Esa">
    <w:name w:val="Es a"/>
    <w:basedOn w:val="AAgestin"/>
    <w:link w:val="EsaCar"/>
    <w:qFormat/>
    <w:rsid w:val="0095645A"/>
    <w:pPr>
      <w:numPr>
        <w:numId w:val="31"/>
      </w:numPr>
      <w:suppressAutoHyphens w:val="0"/>
      <w:ind w:left="851" w:firstLine="0"/>
    </w:pPr>
    <w:rPr>
      <w:b/>
      <w:lang w:val="es-CR"/>
    </w:rPr>
  </w:style>
  <w:style w:type="paragraph" w:customStyle="1" w:styleId="celeste">
    <w:name w:val="celeste"/>
    <w:basedOn w:val="Normal"/>
    <w:link w:val="celesteCar"/>
    <w:rsid w:val="0095645A"/>
    <w:pPr>
      <w:ind w:left="851" w:right="851"/>
    </w:pPr>
    <w:rPr>
      <w:rFonts w:ascii="Calibri" w:hAnsi="Calibri"/>
      <w:color w:val="FFFFFF"/>
      <w:sz w:val="20"/>
      <w:szCs w:val="20"/>
      <w:lang w:val="es-ES_tradnl"/>
    </w:rPr>
  </w:style>
  <w:style w:type="character" w:customStyle="1" w:styleId="EsaCar">
    <w:name w:val="Es a Car"/>
    <w:link w:val="Esa"/>
    <w:rsid w:val="0095645A"/>
    <w:rPr>
      <w:b/>
      <w:color w:val="000099"/>
      <w:sz w:val="26"/>
      <w:szCs w:val="26"/>
      <w:lang w:val="es-CR" w:eastAsia="ar-SA"/>
    </w:rPr>
  </w:style>
  <w:style w:type="character" w:customStyle="1" w:styleId="celesteCar">
    <w:name w:val="celeste Car"/>
    <w:link w:val="celeste"/>
    <w:rsid w:val="0095645A"/>
    <w:rPr>
      <w:rFonts w:ascii="Calibri" w:hAnsi="Calibri"/>
      <w:color w:val="FFFFFF"/>
      <w:lang w:val="es-ES_tradnl" w:eastAsia="ar-SA"/>
    </w:rPr>
  </w:style>
  <w:style w:type="character" w:customStyle="1" w:styleId="Mencinsinresolver3">
    <w:name w:val="Mención sin resolver3"/>
    <w:uiPriority w:val="99"/>
    <w:unhideWhenUsed/>
    <w:rsid w:val="0095645A"/>
    <w:rPr>
      <w:color w:val="605E5C"/>
      <w:shd w:val="clear" w:color="auto" w:fill="E1DFDD"/>
    </w:rPr>
  </w:style>
  <w:style w:type="paragraph" w:customStyle="1" w:styleId="yiv33492148msolistparagraph">
    <w:name w:val="yiv33492148msolistparagraph"/>
    <w:basedOn w:val="Normal"/>
    <w:uiPriority w:val="99"/>
    <w:qFormat/>
    <w:rsid w:val="0095645A"/>
    <w:pPr>
      <w:spacing w:before="280" w:after="280"/>
    </w:pPr>
    <w:rPr>
      <w:lang w:val="es-CR" w:eastAsia="zh-CN"/>
    </w:rPr>
  </w:style>
  <w:style w:type="paragraph" w:customStyle="1" w:styleId="Jonathan6">
    <w:name w:val="Jonathan 6"/>
    <w:basedOn w:val="Normal"/>
    <w:link w:val="Jonathan6Car"/>
    <w:autoRedefine/>
    <w:qFormat/>
    <w:rsid w:val="0095645A"/>
    <w:pPr>
      <w:spacing w:before="120" w:after="120" w:line="480" w:lineRule="auto"/>
      <w:jc w:val="center"/>
    </w:pPr>
    <w:rPr>
      <w:sz w:val="28"/>
      <w:szCs w:val="28"/>
      <w:lang w:val="es-ES_tradnl"/>
    </w:rPr>
  </w:style>
  <w:style w:type="character" w:customStyle="1" w:styleId="Jonathan6Car">
    <w:name w:val="Jonathan 6 Car"/>
    <w:link w:val="Jonathan6"/>
    <w:rsid w:val="0095645A"/>
    <w:rPr>
      <w:sz w:val="28"/>
      <w:szCs w:val="28"/>
      <w:lang w:val="es-ES_tradnl" w:eastAsia="ar-SA"/>
    </w:rPr>
  </w:style>
  <w:style w:type="paragraph" w:customStyle="1" w:styleId="Poromisin">
    <w:name w:val="Por omisión"/>
    <w:uiPriority w:val="99"/>
    <w:rsid w:val="0095645A"/>
    <w:pPr>
      <w:widowControl w:val="0"/>
      <w:pBdr>
        <w:top w:val="single" w:sz="12" w:space="0" w:color="000000"/>
        <w:left w:val="single" w:sz="12" w:space="0" w:color="000000"/>
        <w:bottom w:val="single" w:sz="12" w:space="0" w:color="000000"/>
        <w:right w:val="single" w:sz="12" w:space="0" w:color="000000"/>
      </w:pBdr>
      <w:autoSpaceDE w:val="0"/>
      <w:autoSpaceDN w:val="0"/>
      <w:adjustRightInd w:val="0"/>
    </w:pPr>
    <w:rPr>
      <w:rFonts w:ascii="Helvetica" w:hAnsi="Helvetica" w:cs="Helvetica"/>
      <w:color w:val="000000"/>
      <w:sz w:val="22"/>
      <w:szCs w:val="22"/>
      <w:lang w:val="es-CR" w:eastAsia="es-CR"/>
    </w:rPr>
  </w:style>
  <w:style w:type="character" w:customStyle="1" w:styleId="Ninguno">
    <w:name w:val="Ninguno"/>
    <w:rsid w:val="0095645A"/>
  </w:style>
  <w:style w:type="paragraph" w:customStyle="1" w:styleId="Estilodetabla1">
    <w:name w:val="Estilo de tabla 1"/>
    <w:uiPriority w:val="99"/>
    <w:rsid w:val="0095645A"/>
    <w:pPr>
      <w:widowControl w:val="0"/>
      <w:pBdr>
        <w:top w:val="single" w:sz="12" w:space="0" w:color="000000"/>
        <w:left w:val="single" w:sz="12" w:space="0" w:color="000000"/>
        <w:bottom w:val="single" w:sz="12" w:space="0" w:color="000000"/>
        <w:right w:val="single" w:sz="12" w:space="0" w:color="000000"/>
      </w:pBdr>
      <w:autoSpaceDE w:val="0"/>
      <w:autoSpaceDN w:val="0"/>
      <w:adjustRightInd w:val="0"/>
    </w:pPr>
    <w:rPr>
      <w:rFonts w:ascii="Helvetica" w:hAnsi="Helvetica" w:cs="Helvetica"/>
      <w:b/>
      <w:bCs/>
      <w:color w:val="000000"/>
      <w:lang w:val="es-CR" w:eastAsia="es-CR"/>
    </w:rPr>
  </w:style>
  <w:style w:type="paragraph" w:customStyle="1" w:styleId="Estilodetabla2">
    <w:name w:val="Estilo de tabla 2"/>
    <w:uiPriority w:val="99"/>
    <w:rsid w:val="0095645A"/>
    <w:pPr>
      <w:widowControl w:val="0"/>
      <w:pBdr>
        <w:top w:val="single" w:sz="12" w:space="0" w:color="000000"/>
        <w:left w:val="single" w:sz="12" w:space="0" w:color="000000"/>
        <w:bottom w:val="single" w:sz="12" w:space="0" w:color="000000"/>
        <w:right w:val="single" w:sz="12" w:space="0" w:color="000000"/>
      </w:pBdr>
      <w:autoSpaceDE w:val="0"/>
      <w:autoSpaceDN w:val="0"/>
      <w:adjustRightInd w:val="0"/>
    </w:pPr>
    <w:rPr>
      <w:rFonts w:ascii="Helvetica" w:hAnsi="Helvetica" w:cs="Helvetica"/>
      <w:color w:val="000000"/>
      <w:lang w:val="es-CR" w:eastAsia="es-CR"/>
    </w:rPr>
  </w:style>
  <w:style w:type="paragraph" w:customStyle="1" w:styleId="Agestion">
    <w:name w:val="A gestion"/>
    <w:basedOn w:val="Normal"/>
    <w:link w:val="AgestionCar"/>
    <w:qFormat/>
    <w:rsid w:val="0095645A"/>
    <w:pPr>
      <w:spacing w:before="120" w:after="120"/>
      <w:ind w:left="851" w:right="851" w:firstLine="709"/>
      <w:jc w:val="both"/>
    </w:pPr>
    <w:rPr>
      <w:color w:val="000099"/>
      <w:sz w:val="26"/>
      <w:szCs w:val="26"/>
      <w:lang w:val="es-ES_tradnl"/>
    </w:rPr>
  </w:style>
  <w:style w:type="character" w:customStyle="1" w:styleId="AgestionCar">
    <w:name w:val="A gestion Car"/>
    <w:link w:val="Agestion"/>
    <w:qFormat/>
    <w:rsid w:val="0095645A"/>
    <w:rPr>
      <w:color w:val="000099"/>
      <w:sz w:val="26"/>
      <w:szCs w:val="26"/>
      <w:lang w:val="es-ES_tradnl" w:eastAsia="ar-SA"/>
    </w:rPr>
  </w:style>
  <w:style w:type="paragraph" w:customStyle="1" w:styleId="western1">
    <w:name w:val="western1"/>
    <w:basedOn w:val="Normal"/>
    <w:uiPriority w:val="99"/>
    <w:rsid w:val="0095645A"/>
    <w:pPr>
      <w:suppressAutoHyphens w:val="0"/>
      <w:spacing w:before="100" w:beforeAutospacing="1"/>
    </w:pPr>
    <w:rPr>
      <w:color w:val="000000"/>
      <w:lang w:val="es-CR" w:eastAsia="es-CR"/>
    </w:rPr>
  </w:style>
  <w:style w:type="character" w:customStyle="1" w:styleId="EstiloCorreo771">
    <w:name w:val="EstiloCorreo771"/>
    <w:rsid w:val="0095645A"/>
    <w:rPr>
      <w:rFonts w:ascii="Arial" w:hAnsi="Arial" w:cs="Arial"/>
      <w:color w:val="000080"/>
      <w:sz w:val="20"/>
      <w:szCs w:val="20"/>
    </w:rPr>
  </w:style>
  <w:style w:type="paragraph" w:customStyle="1" w:styleId="resumen">
    <w:name w:val="resumen"/>
    <w:basedOn w:val="Ttulo3"/>
    <w:link w:val="resumenCar"/>
    <w:qFormat/>
    <w:rsid w:val="0095645A"/>
  </w:style>
  <w:style w:type="character" w:customStyle="1" w:styleId="resumenCar">
    <w:name w:val="resumen Car"/>
    <w:link w:val="resumen"/>
    <w:rsid w:val="0095645A"/>
    <w:rPr>
      <w:rFonts w:cs="Arial"/>
      <w:b/>
      <w:bCs/>
      <w:sz w:val="28"/>
      <w:szCs w:val="26"/>
      <w:lang w:val="es-ES_tradnl" w:eastAsia="ar-SA"/>
    </w:rPr>
  </w:style>
  <w:style w:type="paragraph" w:customStyle="1" w:styleId="articulo">
    <w:name w:val="articulo"/>
    <w:basedOn w:val="Ttulo2"/>
    <w:link w:val="articuloCar"/>
    <w:qFormat/>
    <w:rsid w:val="0095645A"/>
    <w:pPr>
      <w:tabs>
        <w:tab w:val="num" w:pos="0"/>
      </w:tabs>
      <w:spacing w:before="120" w:after="120" w:line="480" w:lineRule="auto"/>
      <w:jc w:val="center"/>
    </w:pPr>
    <w:rPr>
      <w:rFonts w:ascii="Times New Roman" w:hAnsi="Times New Roman" w:cs="Times New Roman"/>
      <w:i w:val="0"/>
      <w:iCs w:val="0"/>
      <w:u w:val="single"/>
    </w:rPr>
  </w:style>
  <w:style w:type="character" w:customStyle="1" w:styleId="articuloCar">
    <w:name w:val="articulo Car"/>
    <w:link w:val="articulo"/>
    <w:rsid w:val="0095645A"/>
    <w:rPr>
      <w:b/>
      <w:bCs/>
      <w:sz w:val="28"/>
      <w:szCs w:val="28"/>
      <w:u w:val="single"/>
      <w:lang w:eastAsia="ar-SA"/>
    </w:rPr>
  </w:style>
  <w:style w:type="character" w:customStyle="1" w:styleId="EstiloCorreo29">
    <w:name w:val="EstiloCorreo29"/>
    <w:rsid w:val="0095645A"/>
    <w:rPr>
      <w:rFonts w:ascii="Arial" w:hAnsi="Arial" w:cs="Arial" w:hint="default"/>
      <w:color w:val="000080"/>
      <w:sz w:val="20"/>
      <w:szCs w:val="20"/>
    </w:rPr>
  </w:style>
  <w:style w:type="character" w:customStyle="1" w:styleId="EstiloCorreo30">
    <w:name w:val="EstiloCorreo30"/>
    <w:rsid w:val="0095645A"/>
    <w:rPr>
      <w:rFonts w:ascii="Arial" w:hAnsi="Arial" w:cs="Arial" w:hint="default"/>
      <w:color w:val="000080"/>
      <w:sz w:val="20"/>
      <w:szCs w:val="20"/>
    </w:rPr>
  </w:style>
  <w:style w:type="table" w:customStyle="1" w:styleId="Cuadrculaclara-nfasis11">
    <w:name w:val="Cuadrícula clara - Énfasis 11"/>
    <w:basedOn w:val="Tablanormal"/>
    <w:uiPriority w:val="62"/>
    <w:rsid w:val="0095645A"/>
    <w:rPr>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Emoji" w:eastAsia="Times New Roman" w:hAnsi="Segoe UI Emoj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Emoji" w:eastAsia="Times New Roman" w:hAnsi="Segoe UI Emoj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Emoji" w:eastAsia="Times New Roman" w:hAnsi="Segoe UI Emoji" w:cs="Times New Roman"/>
        <w:b/>
        <w:bCs/>
      </w:rPr>
    </w:tblStylePr>
    <w:tblStylePr w:type="lastCol">
      <w:rPr>
        <w:rFonts w:ascii="Segoe UI Emoji" w:eastAsia="Times New Roman" w:hAnsi="Segoe UI Emoj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Centradotitulo">
    <w:name w:val="Centrado titulo"/>
    <w:basedOn w:val="Agestion"/>
    <w:link w:val="CentradotituloCar"/>
    <w:qFormat/>
    <w:rsid w:val="0095645A"/>
    <w:pPr>
      <w:spacing w:before="0" w:after="0"/>
      <w:ind w:firstLine="0"/>
      <w:jc w:val="center"/>
    </w:pPr>
    <w:rPr>
      <w:b/>
    </w:rPr>
  </w:style>
  <w:style w:type="paragraph" w:customStyle="1" w:styleId="azultitulo">
    <w:name w:val="azul titulo"/>
    <w:basedOn w:val="Ttulo1"/>
    <w:link w:val="azultituloCar"/>
    <w:qFormat/>
    <w:rsid w:val="0095645A"/>
    <w:pPr>
      <w:widowControl w:val="0"/>
      <w:pBdr>
        <w:top w:val="single" w:sz="4" w:space="1" w:color="365F91"/>
        <w:left w:val="single" w:sz="4" w:space="4" w:color="365F91"/>
        <w:bottom w:val="single" w:sz="4" w:space="1" w:color="365F91"/>
        <w:right w:val="single" w:sz="4" w:space="0" w:color="365F91"/>
      </w:pBdr>
      <w:shd w:val="clear" w:color="auto" w:fill="548DD4"/>
      <w:suppressAutoHyphens w:val="0"/>
      <w:autoSpaceDN w:val="0"/>
      <w:adjustRightInd w:val="0"/>
      <w:spacing w:before="0" w:after="120"/>
      <w:ind w:left="851" w:right="851"/>
      <w:jc w:val="both"/>
    </w:pPr>
    <w:rPr>
      <w:rFonts w:ascii="Book Antiqua" w:hAnsi="Book Antiqua"/>
      <w:color w:val="000099"/>
      <w:sz w:val="26"/>
      <w:szCs w:val="26"/>
    </w:rPr>
  </w:style>
  <w:style w:type="character" w:customStyle="1" w:styleId="CentradotituloCar">
    <w:name w:val="Centrado titulo Car"/>
    <w:link w:val="Centradotitulo"/>
    <w:rsid w:val="0095645A"/>
    <w:rPr>
      <w:b/>
      <w:color w:val="000099"/>
      <w:sz w:val="26"/>
      <w:szCs w:val="26"/>
      <w:lang w:val="es-ES_tradnl" w:eastAsia="ar-SA"/>
    </w:rPr>
  </w:style>
  <w:style w:type="character" w:customStyle="1" w:styleId="kriverav">
    <w:name w:val="kriverav"/>
    <w:semiHidden/>
    <w:rsid w:val="0095645A"/>
    <w:rPr>
      <w:rFonts w:ascii="Arial" w:hAnsi="Arial" w:cs="Arial"/>
      <w:color w:val="auto"/>
      <w:sz w:val="20"/>
      <w:szCs w:val="20"/>
    </w:rPr>
  </w:style>
  <w:style w:type="character" w:customStyle="1" w:styleId="azultituloCar">
    <w:name w:val="azul titulo Car"/>
    <w:link w:val="azultitulo"/>
    <w:rsid w:val="0095645A"/>
    <w:rPr>
      <w:rFonts w:ascii="Book Antiqua" w:hAnsi="Book Antiqua" w:cs="Arial"/>
      <w:b/>
      <w:bCs/>
      <w:color w:val="000099"/>
      <w:kern w:val="1"/>
      <w:sz w:val="26"/>
      <w:szCs w:val="26"/>
      <w:u w:val="single"/>
      <w:shd w:val="clear" w:color="auto" w:fill="548DD4"/>
      <w:lang w:eastAsia="ar-SA"/>
    </w:rPr>
  </w:style>
  <w:style w:type="character" w:customStyle="1" w:styleId="WW8Num34z6">
    <w:name w:val="WW8Num34z6"/>
    <w:qFormat/>
    <w:rsid w:val="0095645A"/>
  </w:style>
  <w:style w:type="paragraph" w:customStyle="1" w:styleId="xmsolistparagraph">
    <w:name w:val="x_msolistparagraph"/>
    <w:basedOn w:val="Normal"/>
    <w:qFormat/>
    <w:rsid w:val="0095645A"/>
    <w:pPr>
      <w:suppressAutoHyphens w:val="0"/>
      <w:spacing w:before="100" w:beforeAutospacing="1" w:after="100" w:afterAutospacing="1"/>
    </w:pPr>
    <w:rPr>
      <w:rFonts w:ascii="Calibri" w:eastAsia="Calibri" w:hAnsi="Calibri" w:cs="Calibri"/>
      <w:sz w:val="22"/>
      <w:szCs w:val="22"/>
      <w:lang w:eastAsia="es-ES"/>
    </w:rPr>
  </w:style>
  <w:style w:type="character" w:customStyle="1" w:styleId="ng-binding">
    <w:name w:val="ng-binding"/>
    <w:rsid w:val="0095645A"/>
  </w:style>
  <w:style w:type="character" w:customStyle="1" w:styleId="EstiloCorreo78">
    <w:name w:val="EstiloCorreo78"/>
    <w:semiHidden/>
    <w:rsid w:val="0095645A"/>
    <w:rPr>
      <w:rFonts w:ascii="Arial" w:hAnsi="Arial" w:cs="Arial"/>
      <w:color w:val="000080"/>
      <w:sz w:val="20"/>
      <w:szCs w:val="20"/>
    </w:rPr>
  </w:style>
  <w:style w:type="paragraph" w:customStyle="1" w:styleId="tittextos">
    <w:name w:val="tittextos"/>
    <w:basedOn w:val="Normal"/>
    <w:uiPriority w:val="99"/>
    <w:rsid w:val="0095645A"/>
    <w:pPr>
      <w:suppressAutoHyphens w:val="0"/>
      <w:spacing w:before="100" w:beforeAutospacing="1" w:after="100" w:afterAutospacing="1"/>
      <w:jc w:val="center"/>
    </w:pPr>
    <w:rPr>
      <w:rFonts w:ascii="Arial" w:eastAsia="SimSun" w:hAnsi="Arial" w:cs="Arial"/>
      <w:b/>
      <w:bCs/>
      <w:color w:val="4C2E24"/>
      <w:sz w:val="18"/>
      <w:szCs w:val="18"/>
      <w:lang w:eastAsia="es-ES"/>
    </w:rPr>
  </w:style>
  <w:style w:type="paragraph" w:styleId="DireccinHTML">
    <w:name w:val="HTML Address"/>
    <w:basedOn w:val="Normal"/>
    <w:link w:val="DireccinHTMLCar"/>
    <w:unhideWhenUsed/>
    <w:rsid w:val="0095645A"/>
    <w:pPr>
      <w:suppressAutoHyphens w:val="0"/>
    </w:pPr>
    <w:rPr>
      <w:rFonts w:eastAsia="Calibri"/>
      <w:i/>
      <w:iCs/>
      <w:color w:val="000000"/>
      <w:lang w:val="es-CR" w:eastAsia="es-CR"/>
    </w:rPr>
  </w:style>
  <w:style w:type="character" w:customStyle="1" w:styleId="DireccinHTMLCar">
    <w:name w:val="Dirección HTML Car"/>
    <w:basedOn w:val="Fuentedeprrafopredeter"/>
    <w:link w:val="DireccinHTML"/>
    <w:uiPriority w:val="99"/>
    <w:rsid w:val="0095645A"/>
    <w:rPr>
      <w:rFonts w:eastAsia="Calibri"/>
      <w:i/>
      <w:iCs/>
      <w:color w:val="000000"/>
      <w:sz w:val="24"/>
      <w:szCs w:val="24"/>
      <w:lang w:val="es-CR" w:eastAsia="es-CR"/>
    </w:rPr>
  </w:style>
  <w:style w:type="paragraph" w:customStyle="1" w:styleId="standard00">
    <w:name w:val="standard0"/>
    <w:basedOn w:val="Normal"/>
    <w:rsid w:val="0095645A"/>
    <w:pPr>
      <w:suppressAutoHyphens w:val="0"/>
      <w:autoSpaceDE w:val="0"/>
    </w:pPr>
    <w:rPr>
      <w:rFonts w:ascii="Book Antiqua" w:eastAsia="Calibri" w:hAnsi="Book Antiqua"/>
      <w:sz w:val="22"/>
      <w:szCs w:val="22"/>
      <w:lang w:val="es-CR" w:eastAsia="es-CR"/>
    </w:rPr>
  </w:style>
  <w:style w:type="paragraph" w:customStyle="1" w:styleId="xxmsonormal0">
    <w:name w:val="x_xmsonormal"/>
    <w:basedOn w:val="Normal"/>
    <w:uiPriority w:val="99"/>
    <w:qFormat/>
    <w:rsid w:val="0095645A"/>
    <w:pPr>
      <w:suppressAutoHyphens w:val="0"/>
      <w:spacing w:before="100" w:beforeAutospacing="1" w:after="100" w:afterAutospacing="1"/>
    </w:pPr>
    <w:rPr>
      <w:lang w:val="es-CR" w:eastAsia="es-CR"/>
    </w:rPr>
  </w:style>
  <w:style w:type="paragraph" w:customStyle="1" w:styleId="gestin">
    <w:name w:val="gestión"/>
    <w:basedOn w:val="Normal"/>
    <w:link w:val="gestinCar"/>
    <w:qFormat/>
    <w:rsid w:val="0095645A"/>
    <w:pPr>
      <w:suppressAutoHyphens w:val="0"/>
      <w:spacing w:before="120" w:after="120"/>
      <w:ind w:left="851" w:right="851" w:firstLine="709"/>
      <w:jc w:val="both"/>
    </w:pPr>
    <w:rPr>
      <w:rFonts w:eastAsia="Batang"/>
      <w:color w:val="000099"/>
      <w:sz w:val="26"/>
      <w:szCs w:val="26"/>
      <w:lang w:val="es-CR" w:eastAsia="en-US"/>
    </w:rPr>
  </w:style>
  <w:style w:type="character" w:customStyle="1" w:styleId="gestinCar">
    <w:name w:val="gestión Car"/>
    <w:link w:val="gestin"/>
    <w:rsid w:val="0095645A"/>
    <w:rPr>
      <w:rFonts w:eastAsia="Batang"/>
      <w:color w:val="000099"/>
      <w:sz w:val="26"/>
      <w:szCs w:val="26"/>
      <w:lang w:val="es-CR" w:eastAsia="en-US"/>
    </w:rPr>
  </w:style>
  <w:style w:type="paragraph" w:customStyle="1" w:styleId="xxxxxmsonormal">
    <w:name w:val="x_xxxxmsonormal"/>
    <w:basedOn w:val="Normal"/>
    <w:uiPriority w:val="99"/>
    <w:qFormat/>
    <w:rsid w:val="0095645A"/>
    <w:pPr>
      <w:suppressAutoHyphens w:val="0"/>
    </w:pPr>
    <w:rPr>
      <w:rFonts w:eastAsia="Calibri"/>
      <w:lang w:eastAsia="es-ES"/>
    </w:rPr>
  </w:style>
  <w:style w:type="table" w:customStyle="1" w:styleId="Tablaconcuadrcula111">
    <w:name w:val="Tabla con cuadrícula111"/>
    <w:basedOn w:val="Tablanormal"/>
    <w:next w:val="Tablaconcuadrcula"/>
    <w:uiPriority w:val="59"/>
    <w:rsid w:val="0095645A"/>
    <w:rPr>
      <w:lang w:val="es-MX" w:eastAsia="es-MX"/>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nfasissutil">
    <w:name w:val="Subtle Emphasis"/>
    <w:uiPriority w:val="99"/>
    <w:qFormat/>
    <w:rsid w:val="0095645A"/>
    <w:rPr>
      <w:i/>
      <w:iCs/>
      <w:color w:val="404040"/>
    </w:rPr>
  </w:style>
  <w:style w:type="paragraph" w:customStyle="1" w:styleId="Bencabezado">
    <w:name w:val="B encabezado"/>
    <w:basedOn w:val="Normal"/>
    <w:link w:val="BencabezadoCar"/>
    <w:qFormat/>
    <w:rsid w:val="0095645A"/>
    <w:pPr>
      <w:spacing w:line="480" w:lineRule="auto"/>
      <w:ind w:firstLine="708"/>
      <w:jc w:val="both"/>
    </w:pPr>
    <w:rPr>
      <w:color w:val="000099"/>
      <w:sz w:val="28"/>
      <w:szCs w:val="28"/>
      <w:lang w:val="es-ES_tradnl"/>
    </w:rPr>
  </w:style>
  <w:style w:type="character" w:customStyle="1" w:styleId="BencabezadoCar">
    <w:name w:val="B encabezado Car"/>
    <w:link w:val="Bencabezado"/>
    <w:rsid w:val="0095645A"/>
    <w:rPr>
      <w:color w:val="000099"/>
      <w:sz w:val="28"/>
      <w:szCs w:val="28"/>
      <w:lang w:val="es-ES_tradnl" w:eastAsia="ar-SA"/>
    </w:rPr>
  </w:style>
  <w:style w:type="paragraph" w:customStyle="1" w:styleId="centrado">
    <w:name w:val="centrado"/>
    <w:basedOn w:val="Agestion"/>
    <w:link w:val="centradoCar"/>
    <w:qFormat/>
    <w:rsid w:val="0095645A"/>
    <w:pPr>
      <w:ind w:firstLine="0"/>
      <w:jc w:val="center"/>
    </w:pPr>
    <w:rPr>
      <w:b/>
      <w:bCs/>
    </w:rPr>
  </w:style>
  <w:style w:type="character" w:customStyle="1" w:styleId="centradoCar">
    <w:name w:val="centrado Car"/>
    <w:link w:val="centrado"/>
    <w:rsid w:val="0095645A"/>
    <w:rPr>
      <w:b/>
      <w:bCs/>
      <w:color w:val="000099"/>
      <w:sz w:val="26"/>
      <w:szCs w:val="26"/>
      <w:lang w:val="es-ES_tradnl" w:eastAsia="ar-SA"/>
    </w:rPr>
  </w:style>
  <w:style w:type="paragraph" w:customStyle="1" w:styleId="yiv9435161592msonormal">
    <w:name w:val="yiv9435161592msonormal"/>
    <w:basedOn w:val="Normal"/>
    <w:rsid w:val="0095645A"/>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Ctitulo">
    <w:name w:val="C titulo"/>
    <w:basedOn w:val="Agestion"/>
    <w:link w:val="CtituloCar"/>
    <w:qFormat/>
    <w:rsid w:val="0095645A"/>
    <w:pPr>
      <w:ind w:firstLine="0"/>
      <w:jc w:val="center"/>
    </w:pPr>
    <w:rPr>
      <w:b/>
    </w:rPr>
  </w:style>
  <w:style w:type="character" w:customStyle="1" w:styleId="CtituloCar">
    <w:name w:val="C titulo Car"/>
    <w:link w:val="Ctitulo"/>
    <w:rsid w:val="0095645A"/>
    <w:rPr>
      <w:b/>
      <w:color w:val="000099"/>
      <w:sz w:val="26"/>
      <w:szCs w:val="26"/>
      <w:lang w:val="es-ES_tradnl" w:eastAsia="ar-SA"/>
    </w:rPr>
  </w:style>
  <w:style w:type="character" w:customStyle="1" w:styleId="SingleTxtGChar">
    <w:name w:val="_ Single Txt_G Char"/>
    <w:link w:val="SingleTxtG"/>
    <w:uiPriority w:val="99"/>
    <w:locked/>
    <w:rsid w:val="0095645A"/>
    <w:rPr>
      <w:rFonts w:eastAsia="Calibri"/>
      <w:lang w:val="es-CR" w:eastAsia="es-CR"/>
    </w:rPr>
  </w:style>
  <w:style w:type="paragraph" w:customStyle="1" w:styleId="Car01">
    <w:name w:val="Car0"/>
    <w:basedOn w:val="Normal"/>
    <w:qFormat/>
    <w:rsid w:val="0095645A"/>
    <w:pPr>
      <w:spacing w:after="160" w:line="240" w:lineRule="exact"/>
    </w:pPr>
    <w:rPr>
      <w:rFonts w:ascii="Verdana" w:hAnsi="Verdana"/>
      <w:sz w:val="20"/>
      <w:szCs w:val="21"/>
      <w:lang w:val="en-AU"/>
    </w:rPr>
  </w:style>
  <w:style w:type="paragraph" w:customStyle="1" w:styleId="CharChar01">
    <w:name w:val="Char Char0"/>
    <w:basedOn w:val="Normal"/>
    <w:qFormat/>
    <w:rsid w:val="0095645A"/>
    <w:pPr>
      <w:suppressAutoHyphens w:val="0"/>
      <w:spacing w:after="160" w:line="240" w:lineRule="exact"/>
    </w:pPr>
    <w:rPr>
      <w:rFonts w:ascii="Verdana" w:hAnsi="Verdana"/>
      <w:sz w:val="20"/>
      <w:szCs w:val="21"/>
      <w:lang w:val="en-AU" w:eastAsia="en-US"/>
    </w:rPr>
  </w:style>
  <w:style w:type="paragraph" w:customStyle="1" w:styleId="CarCarCarCarCarCar00">
    <w:name w:val="Car Car Car Car Car Car0"/>
    <w:basedOn w:val="Normal"/>
    <w:semiHidden/>
    <w:rsid w:val="0095645A"/>
    <w:pPr>
      <w:suppressAutoHyphens w:val="0"/>
      <w:spacing w:after="160" w:line="240" w:lineRule="exact"/>
    </w:pPr>
    <w:rPr>
      <w:rFonts w:ascii="Verdana" w:hAnsi="Verdana" w:cs="Verdana"/>
      <w:sz w:val="20"/>
      <w:szCs w:val="20"/>
      <w:lang w:val="en-AU" w:eastAsia="en-US"/>
    </w:rPr>
  </w:style>
  <w:style w:type="paragraph" w:customStyle="1" w:styleId="Textodebloque100">
    <w:name w:val="Texto de bloque10"/>
    <w:basedOn w:val="Normal"/>
    <w:rsid w:val="0095645A"/>
    <w:pPr>
      <w:widowControl w:val="0"/>
      <w:autoSpaceDE w:val="0"/>
      <w:ind w:left="-540" w:right="-415" w:firstLine="1248"/>
      <w:jc w:val="both"/>
    </w:pPr>
    <w:rPr>
      <w:rFonts w:ascii="Arial" w:hAnsi="Arial" w:cs="Arial"/>
      <w:lang w:eastAsia="zh-CN"/>
    </w:rPr>
  </w:style>
  <w:style w:type="paragraph" w:customStyle="1" w:styleId="Textoindependiente2200">
    <w:name w:val="Texto independiente 220"/>
    <w:basedOn w:val="Normal"/>
    <w:rsid w:val="0095645A"/>
    <w:pPr>
      <w:spacing w:line="360" w:lineRule="auto"/>
      <w:jc w:val="both"/>
    </w:pPr>
    <w:rPr>
      <w:rFonts w:ascii="Arial" w:hAnsi="Arial" w:cs="Arial"/>
      <w:kern w:val="1"/>
      <w:szCs w:val="20"/>
      <w:lang w:val="es-CR"/>
    </w:rPr>
  </w:style>
  <w:style w:type="paragraph" w:customStyle="1" w:styleId="Sangra2detindependiente101">
    <w:name w:val="Sangría 2 de t. independiente10"/>
    <w:basedOn w:val="Normal"/>
    <w:rsid w:val="0095645A"/>
    <w:pPr>
      <w:tabs>
        <w:tab w:val="left" w:pos="2835"/>
      </w:tabs>
      <w:overflowPunct w:val="0"/>
      <w:autoSpaceDE w:val="0"/>
      <w:ind w:left="2835" w:hanging="2835"/>
      <w:jc w:val="both"/>
      <w:textAlignment w:val="baseline"/>
    </w:pPr>
    <w:rPr>
      <w:rFonts w:ascii="Georgia" w:hAnsi="Georgia" w:cs="Georgia"/>
      <w:sz w:val="28"/>
      <w:szCs w:val="20"/>
      <w:lang w:val="es-CR" w:eastAsia="zh-CN"/>
    </w:rPr>
  </w:style>
  <w:style w:type="character" w:styleId="nfasisintenso">
    <w:name w:val="Intense Emphasis"/>
    <w:uiPriority w:val="21"/>
    <w:qFormat/>
    <w:rsid w:val="0095645A"/>
    <w:rPr>
      <w:b/>
      <w:bCs/>
      <w:i/>
      <w:iCs/>
      <w:caps/>
    </w:rPr>
  </w:style>
  <w:style w:type="paragraph" w:styleId="Citadestacada0">
    <w:name w:val="Intense Quote"/>
    <w:basedOn w:val="Normal"/>
    <w:next w:val="Normal"/>
    <w:link w:val="CitadestacadaCar"/>
    <w:uiPriority w:val="30"/>
    <w:qFormat/>
    <w:rsid w:val="0095645A"/>
    <w:pPr>
      <w:pBdr>
        <w:top w:val="single" w:sz="24" w:space="1" w:color="F2F2F2"/>
        <w:bottom w:val="single" w:sz="24" w:space="1" w:color="F2F2F2"/>
      </w:pBdr>
      <w:shd w:val="clear" w:color="auto" w:fill="F2F2F2"/>
      <w:suppressAutoHyphens w:val="0"/>
      <w:spacing w:before="240" w:after="240" w:line="259" w:lineRule="auto"/>
      <w:ind w:left="936" w:right="936"/>
      <w:jc w:val="center"/>
    </w:pPr>
    <w:rPr>
      <w:rFonts w:ascii="Calibri" w:hAnsi="Calibri"/>
      <w:color w:val="000000"/>
      <w:sz w:val="22"/>
      <w:szCs w:val="22"/>
      <w:lang w:val="en-US" w:eastAsia="ja-JP"/>
    </w:rPr>
  </w:style>
  <w:style w:type="character" w:customStyle="1" w:styleId="CitadestacadaCar">
    <w:name w:val="Cita destacada Car"/>
    <w:basedOn w:val="Fuentedeprrafopredeter"/>
    <w:link w:val="Citadestacada0"/>
    <w:uiPriority w:val="30"/>
    <w:rsid w:val="0095645A"/>
    <w:rPr>
      <w:rFonts w:ascii="Calibri" w:hAnsi="Calibri"/>
      <w:color w:val="000000"/>
      <w:sz w:val="22"/>
      <w:szCs w:val="22"/>
      <w:shd w:val="clear" w:color="auto" w:fill="F2F2F2"/>
      <w:lang w:val="en-US" w:eastAsia="ja-JP"/>
    </w:rPr>
  </w:style>
  <w:style w:type="character" w:styleId="Referenciasutil">
    <w:name w:val="Subtle Reference"/>
    <w:uiPriority w:val="31"/>
    <w:qFormat/>
    <w:rsid w:val="0095645A"/>
    <w:rPr>
      <w:smallCaps/>
      <w:color w:val="404040"/>
      <w:u w:val="single" w:color="7F7F7F"/>
    </w:rPr>
  </w:style>
  <w:style w:type="character" w:customStyle="1" w:styleId="example1">
    <w:name w:val="example1"/>
    <w:rsid w:val="0095645A"/>
  </w:style>
  <w:style w:type="paragraph" w:customStyle="1" w:styleId="AGessinespacio">
    <w:name w:val="A Ges sin espacio"/>
    <w:basedOn w:val="Normal"/>
    <w:link w:val="AGessinespacioCar"/>
    <w:qFormat/>
    <w:rsid w:val="0095645A"/>
    <w:pPr>
      <w:spacing w:before="120" w:after="120"/>
      <w:ind w:left="851" w:right="851"/>
      <w:jc w:val="both"/>
    </w:pPr>
    <w:rPr>
      <w:color w:val="000099"/>
      <w:sz w:val="26"/>
      <w:szCs w:val="26"/>
    </w:rPr>
  </w:style>
  <w:style w:type="character" w:customStyle="1" w:styleId="AGessinespacioCar">
    <w:name w:val="A Ges sin espacio Car"/>
    <w:link w:val="AGessinespacio"/>
    <w:rsid w:val="0095645A"/>
    <w:rPr>
      <w:color w:val="000099"/>
      <w:sz w:val="26"/>
      <w:szCs w:val="26"/>
      <w:lang w:eastAsia="ar-SA"/>
    </w:rPr>
  </w:style>
  <w:style w:type="numbering" w:customStyle="1" w:styleId="Sinlista4">
    <w:name w:val="Sin lista4"/>
    <w:next w:val="Sinlista"/>
    <w:uiPriority w:val="99"/>
    <w:semiHidden/>
    <w:unhideWhenUsed/>
    <w:rsid w:val="0095645A"/>
  </w:style>
  <w:style w:type="table" w:customStyle="1" w:styleId="Tablaconcuadrcula2">
    <w:name w:val="Tabla con cuadrícula2"/>
    <w:basedOn w:val="Tablanormal"/>
    <w:next w:val="Tablaconcuadrcula"/>
    <w:uiPriority w:val="39"/>
    <w:rsid w:val="0095645A"/>
    <w:pPr>
      <w:suppressAutoHyphens/>
    </w:pPr>
    <w:rPr>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
    <w:name w:val="Tabla profesional1"/>
    <w:basedOn w:val="Tablanormal"/>
    <w:next w:val="Tablaprofesional"/>
    <w:rsid w:val="0095645A"/>
    <w:pPr>
      <w:suppressAutoHyphens/>
    </w:pPr>
    <w:rPr>
      <w:lang w:val="es-MX" w:eastAsia="es-MX"/>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1">
    <w:name w:val="Tabla Web 111"/>
    <w:basedOn w:val="Tablanormal"/>
    <w:rsid w:val="0095645A"/>
    <w:rPr>
      <w:lang w:val="es-MX" w:eastAsia="es-MX"/>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PuestoCar1">
    <w:name w:val="Puesto Car1"/>
    <w:rsid w:val="0095645A"/>
    <w:rPr>
      <w:rFonts w:ascii="Calibri Light" w:eastAsia="Times New Roman" w:hAnsi="Calibri Light" w:cs="Times New Roman"/>
      <w:spacing w:val="-10"/>
      <w:kern w:val="28"/>
      <w:sz w:val="56"/>
      <w:szCs w:val="56"/>
      <w:lang w:val="es-ES_tradnl" w:eastAsia="ar-SA"/>
    </w:rPr>
  </w:style>
  <w:style w:type="numbering" w:customStyle="1" w:styleId="Sinlista14">
    <w:name w:val="Sin lista14"/>
    <w:basedOn w:val="Sinlista"/>
    <w:uiPriority w:val="99"/>
    <w:rsid w:val="0095645A"/>
    <w:pPr>
      <w:numPr>
        <w:numId w:val="16"/>
      </w:numPr>
    </w:pPr>
  </w:style>
  <w:style w:type="numbering" w:customStyle="1" w:styleId="WW8Num33">
    <w:name w:val="WW8Num33"/>
    <w:basedOn w:val="Sinlista"/>
    <w:qFormat/>
    <w:rsid w:val="0095645A"/>
    <w:pPr>
      <w:numPr>
        <w:numId w:val="17"/>
      </w:numPr>
    </w:pPr>
  </w:style>
  <w:style w:type="numbering" w:customStyle="1" w:styleId="WW8Num23">
    <w:name w:val="WW8Num23"/>
    <w:basedOn w:val="Sinlista"/>
    <w:qFormat/>
    <w:rsid w:val="0095645A"/>
    <w:pPr>
      <w:numPr>
        <w:numId w:val="18"/>
      </w:numPr>
    </w:pPr>
  </w:style>
  <w:style w:type="numbering" w:customStyle="1" w:styleId="WW8Num13">
    <w:name w:val="WW8Num13"/>
    <w:basedOn w:val="Sinlista"/>
    <w:qFormat/>
    <w:rsid w:val="0095645A"/>
    <w:pPr>
      <w:numPr>
        <w:numId w:val="19"/>
      </w:numPr>
    </w:pPr>
  </w:style>
  <w:style w:type="paragraph" w:customStyle="1" w:styleId="Sinespaciado15">
    <w:name w:val="Sin espaciado15"/>
    <w:rsid w:val="0095645A"/>
    <w:pPr>
      <w:suppressAutoHyphens/>
    </w:pPr>
    <w:rPr>
      <w:rFonts w:ascii="Calibri" w:hAnsi="Calibri" w:cs="Calibri"/>
      <w:color w:val="00000A"/>
      <w:sz w:val="22"/>
      <w:szCs w:val="22"/>
      <w:lang w:val="es-MX" w:eastAsia="zh-CN"/>
    </w:rPr>
  </w:style>
  <w:style w:type="character" w:customStyle="1" w:styleId="Fuentedeprrafopredeter15">
    <w:name w:val="Fuente de párrafo predeter.15"/>
    <w:rsid w:val="0095645A"/>
  </w:style>
  <w:style w:type="paragraph" w:customStyle="1" w:styleId="Sinespaciado16">
    <w:name w:val="Sin espaciado16"/>
    <w:rsid w:val="0095645A"/>
    <w:pPr>
      <w:widowControl w:val="0"/>
      <w:suppressAutoHyphens/>
      <w:spacing w:line="100" w:lineRule="atLeast"/>
    </w:pPr>
    <w:rPr>
      <w:rFonts w:ascii="Calibri" w:eastAsia="SimSun" w:hAnsi="Calibri" w:cs="Calibri"/>
      <w:kern w:val="1"/>
      <w:sz w:val="22"/>
      <w:szCs w:val="22"/>
      <w:lang w:eastAsia="zh-CN"/>
    </w:rPr>
  </w:style>
  <w:style w:type="paragraph" w:customStyle="1" w:styleId="Sinespaciado17">
    <w:name w:val="Sin espaciado17"/>
    <w:rsid w:val="0095645A"/>
    <w:pPr>
      <w:widowControl w:val="0"/>
      <w:suppressAutoHyphens/>
      <w:spacing w:line="100" w:lineRule="atLeast"/>
    </w:pPr>
    <w:rPr>
      <w:rFonts w:ascii="Calibri" w:eastAsia="SimSun" w:hAnsi="Calibri" w:cs="Calibri"/>
      <w:kern w:val="2"/>
      <w:sz w:val="22"/>
      <w:szCs w:val="22"/>
      <w:lang w:eastAsia="zh-CN"/>
    </w:rPr>
  </w:style>
  <w:style w:type="character" w:customStyle="1" w:styleId="Fuentedeprrafopredeter16">
    <w:name w:val="Fuente de párrafo predeter.16"/>
    <w:rsid w:val="0095645A"/>
  </w:style>
  <w:style w:type="paragraph" w:customStyle="1" w:styleId="Tedtulo2">
    <w:name w:val="Tíedtulo 2"/>
    <w:basedOn w:val="Normal"/>
    <w:rsid w:val="0095645A"/>
    <w:pPr>
      <w:keepNext/>
      <w:widowControl w:val="0"/>
      <w:autoSpaceDE w:val="0"/>
      <w:autoSpaceDN w:val="0"/>
      <w:adjustRightInd w:val="0"/>
      <w:spacing w:before="240" w:after="60" w:line="100" w:lineRule="atLeast"/>
      <w:jc w:val="center"/>
      <w:textAlignment w:val="baseline"/>
    </w:pPr>
    <w:rPr>
      <w:rFonts w:ascii="Book Antiqua" w:hAnsi="Liberation Serif" w:cs="Book Antiqua"/>
      <w:b/>
      <w:bCs/>
      <w:i/>
      <w:iCs/>
      <w:color w:val="00000A"/>
      <w:kern w:val="1"/>
      <w:sz w:val="28"/>
      <w:szCs w:val="28"/>
      <w:u w:val="double"/>
      <w:lang w:val="es-CR" w:eastAsia="es-CR"/>
    </w:rPr>
  </w:style>
  <w:style w:type="character" w:customStyle="1" w:styleId="Sedmbolosdenumeracif3n">
    <w:name w:val="Síedmbolos de numeracióf3n"/>
    <w:uiPriority w:val="99"/>
    <w:rsid w:val="0095645A"/>
  </w:style>
  <w:style w:type="character" w:customStyle="1" w:styleId="c9nfasis1">
    <w:name w:val="Éc9nfasis1"/>
    <w:uiPriority w:val="99"/>
    <w:rsid w:val="0095645A"/>
    <w:rPr>
      <w:rFonts w:eastAsia="Times New Roman"/>
      <w:i/>
      <w:iCs/>
    </w:rPr>
  </w:style>
  <w:style w:type="paragraph" w:customStyle="1" w:styleId="Tedtulo3">
    <w:name w:val="Tíedtulo3"/>
    <w:basedOn w:val="Normal"/>
    <w:uiPriority w:val="99"/>
    <w:rsid w:val="0095645A"/>
    <w:pPr>
      <w:keepNext/>
      <w:widowControl w:val="0"/>
      <w:autoSpaceDE w:val="0"/>
      <w:autoSpaceDN w:val="0"/>
      <w:adjustRightInd w:val="0"/>
      <w:spacing w:before="240" w:after="120" w:line="252" w:lineRule="auto"/>
      <w:textAlignment w:val="baseline"/>
    </w:pPr>
    <w:rPr>
      <w:rFonts w:ascii="Liberation Sans" w:hAnsi="Liberation Serif" w:cs="Liberation Sans"/>
      <w:color w:val="00000A"/>
      <w:kern w:val="1"/>
      <w:sz w:val="28"/>
      <w:szCs w:val="28"/>
      <w:lang w:val="es-CR" w:eastAsia="es-CR"/>
    </w:rPr>
  </w:style>
  <w:style w:type="paragraph" w:customStyle="1" w:styleId="Descripcif3n">
    <w:name w:val="Descripcióf3n"/>
    <w:basedOn w:val="Normal"/>
    <w:uiPriority w:val="99"/>
    <w:rsid w:val="0095645A"/>
    <w:pPr>
      <w:widowControl w:val="0"/>
      <w:autoSpaceDE w:val="0"/>
      <w:autoSpaceDN w:val="0"/>
      <w:adjustRightInd w:val="0"/>
      <w:spacing w:before="120" w:after="120" w:line="252" w:lineRule="auto"/>
      <w:textAlignment w:val="baseline"/>
    </w:pPr>
    <w:rPr>
      <w:rFonts w:ascii="Book Antiqua" w:hAnsi="Liberation Serif" w:cs="Book Antiqua"/>
      <w:i/>
      <w:iCs/>
      <w:color w:val="00000A"/>
      <w:kern w:val="1"/>
      <w:lang w:val="es-CR" w:eastAsia="es-CR"/>
    </w:rPr>
  </w:style>
  <w:style w:type="paragraph" w:customStyle="1" w:styleId="Tedtulo20">
    <w:name w:val="Tíedtulo2"/>
    <w:basedOn w:val="Normal"/>
    <w:uiPriority w:val="99"/>
    <w:rsid w:val="0095645A"/>
    <w:pPr>
      <w:keepNext/>
      <w:widowControl w:val="0"/>
      <w:autoSpaceDE w:val="0"/>
      <w:autoSpaceDN w:val="0"/>
      <w:adjustRightInd w:val="0"/>
      <w:spacing w:before="240" w:after="120" w:line="252" w:lineRule="auto"/>
      <w:textAlignment w:val="baseline"/>
    </w:pPr>
    <w:rPr>
      <w:rFonts w:ascii="Liberation Sans" w:hAnsi="Liberation Serif" w:cs="Liberation Sans"/>
      <w:color w:val="00000A"/>
      <w:kern w:val="1"/>
      <w:sz w:val="28"/>
      <w:szCs w:val="28"/>
      <w:lang w:val="es-CR" w:eastAsia="es-CR"/>
    </w:rPr>
  </w:style>
  <w:style w:type="paragraph" w:customStyle="1" w:styleId="Tedtulo10">
    <w:name w:val="Tíedtulo1"/>
    <w:basedOn w:val="Normal"/>
    <w:uiPriority w:val="99"/>
    <w:rsid w:val="0095645A"/>
    <w:pPr>
      <w:keepNext/>
      <w:widowControl w:val="0"/>
      <w:autoSpaceDE w:val="0"/>
      <w:autoSpaceDN w:val="0"/>
      <w:adjustRightInd w:val="0"/>
      <w:spacing w:before="240" w:after="120" w:line="252" w:lineRule="auto"/>
      <w:textAlignment w:val="baseline"/>
    </w:pPr>
    <w:rPr>
      <w:rFonts w:ascii="Liberation Sans" w:hAnsi="Liberation Serif" w:cs="Liberation Sans"/>
      <w:color w:val="00000A"/>
      <w:kern w:val="1"/>
      <w:sz w:val="28"/>
      <w:szCs w:val="28"/>
      <w:lang w:val="es-CR" w:eastAsia="es-CR"/>
    </w:rPr>
  </w:style>
  <w:style w:type="paragraph" w:customStyle="1" w:styleId="Descripcif3n1">
    <w:name w:val="Descripcióf3n1"/>
    <w:basedOn w:val="Normal"/>
    <w:uiPriority w:val="99"/>
    <w:rsid w:val="0095645A"/>
    <w:pPr>
      <w:widowControl w:val="0"/>
      <w:autoSpaceDE w:val="0"/>
      <w:autoSpaceDN w:val="0"/>
      <w:adjustRightInd w:val="0"/>
      <w:spacing w:before="120" w:after="120" w:line="252" w:lineRule="auto"/>
      <w:textAlignment w:val="baseline"/>
    </w:pPr>
    <w:rPr>
      <w:rFonts w:ascii="Book Antiqua" w:hAnsi="Liberation Serif" w:cs="Book Antiqua"/>
      <w:i/>
      <w:iCs/>
      <w:color w:val="00000A"/>
      <w:kern w:val="1"/>
      <w:lang w:val="es-CR" w:eastAsia="es-CR"/>
    </w:rPr>
  </w:style>
  <w:style w:type="character" w:customStyle="1" w:styleId="Fuentedeprrafopredeter17">
    <w:name w:val="Fuente de párrafo predeter.17"/>
    <w:rsid w:val="0095645A"/>
  </w:style>
  <w:style w:type="character" w:customStyle="1" w:styleId="ListLabel31">
    <w:name w:val="ListLabel 31"/>
    <w:qFormat/>
    <w:rsid w:val="0095645A"/>
    <w:rPr>
      <w:rFonts w:ascii="Calibri" w:hAnsi="Calibri" w:cs="Calibri"/>
      <w:b w:val="0"/>
      <w:sz w:val="22"/>
    </w:rPr>
  </w:style>
  <w:style w:type="character" w:customStyle="1" w:styleId="ListLabel32">
    <w:name w:val="ListLabel 32"/>
    <w:qFormat/>
    <w:rsid w:val="0095645A"/>
    <w:rPr>
      <w:b w:val="0"/>
      <w:sz w:val="22"/>
    </w:rPr>
  </w:style>
  <w:style w:type="character" w:customStyle="1" w:styleId="ListLabel33">
    <w:name w:val="ListLabel 33"/>
    <w:qFormat/>
    <w:rsid w:val="0095645A"/>
    <w:rPr>
      <w:b w:val="0"/>
      <w:sz w:val="22"/>
    </w:rPr>
  </w:style>
  <w:style w:type="character" w:customStyle="1" w:styleId="ListLabel34">
    <w:name w:val="ListLabel 34"/>
    <w:qFormat/>
    <w:rsid w:val="0095645A"/>
    <w:rPr>
      <w:b w:val="0"/>
      <w:sz w:val="22"/>
    </w:rPr>
  </w:style>
  <w:style w:type="character" w:customStyle="1" w:styleId="ListLabel35">
    <w:name w:val="ListLabel 35"/>
    <w:qFormat/>
    <w:rsid w:val="0095645A"/>
    <w:rPr>
      <w:b w:val="0"/>
      <w:sz w:val="22"/>
    </w:rPr>
  </w:style>
  <w:style w:type="character" w:customStyle="1" w:styleId="ListLabel36">
    <w:name w:val="ListLabel 36"/>
    <w:qFormat/>
    <w:rsid w:val="0095645A"/>
    <w:rPr>
      <w:b w:val="0"/>
      <w:sz w:val="22"/>
    </w:rPr>
  </w:style>
  <w:style w:type="character" w:customStyle="1" w:styleId="ListLabel37">
    <w:name w:val="ListLabel 37"/>
    <w:qFormat/>
    <w:rsid w:val="0095645A"/>
    <w:rPr>
      <w:b w:val="0"/>
      <w:sz w:val="22"/>
    </w:rPr>
  </w:style>
  <w:style w:type="character" w:customStyle="1" w:styleId="ListLabel38">
    <w:name w:val="ListLabel 38"/>
    <w:qFormat/>
    <w:rsid w:val="0095645A"/>
    <w:rPr>
      <w:b w:val="0"/>
      <w:sz w:val="22"/>
    </w:rPr>
  </w:style>
  <w:style w:type="character" w:customStyle="1" w:styleId="ListLabel39">
    <w:name w:val="ListLabel 39"/>
    <w:qFormat/>
    <w:rsid w:val="0095645A"/>
    <w:rPr>
      <w:b w:val="0"/>
      <w:sz w:val="22"/>
    </w:rPr>
  </w:style>
  <w:style w:type="character" w:customStyle="1" w:styleId="ListLabel40">
    <w:name w:val="ListLabel 40"/>
    <w:qFormat/>
    <w:rsid w:val="0095645A"/>
    <w:rPr>
      <w:rFonts w:ascii="Calibri" w:eastAsia="Arial Unicode MS" w:hAnsi="Calibri" w:cs="Calibri"/>
      <w:b/>
      <w:iCs/>
      <w:sz w:val="24"/>
      <w:lang w:val="es-ES"/>
    </w:rPr>
  </w:style>
  <w:style w:type="character" w:customStyle="1" w:styleId="ListLabel41">
    <w:name w:val="ListLabel 41"/>
    <w:qFormat/>
    <w:rsid w:val="0095645A"/>
    <w:rPr>
      <w:rFonts w:ascii="Calibri" w:hAnsi="Calibri" w:cs="Calibri"/>
      <w:b w:val="0"/>
      <w:sz w:val="22"/>
    </w:rPr>
  </w:style>
  <w:style w:type="character" w:customStyle="1" w:styleId="ListLabel42">
    <w:name w:val="ListLabel 42"/>
    <w:qFormat/>
    <w:rsid w:val="0095645A"/>
    <w:rPr>
      <w:b w:val="0"/>
      <w:sz w:val="22"/>
    </w:rPr>
  </w:style>
  <w:style w:type="character" w:customStyle="1" w:styleId="ListLabel43">
    <w:name w:val="ListLabel 43"/>
    <w:qFormat/>
    <w:rsid w:val="0095645A"/>
    <w:rPr>
      <w:b w:val="0"/>
      <w:sz w:val="22"/>
    </w:rPr>
  </w:style>
  <w:style w:type="character" w:customStyle="1" w:styleId="ListLabel44">
    <w:name w:val="ListLabel 44"/>
    <w:qFormat/>
    <w:rsid w:val="0095645A"/>
    <w:rPr>
      <w:b w:val="0"/>
      <w:sz w:val="22"/>
    </w:rPr>
  </w:style>
  <w:style w:type="character" w:customStyle="1" w:styleId="ListLabel45">
    <w:name w:val="ListLabel 45"/>
    <w:qFormat/>
    <w:rsid w:val="0095645A"/>
    <w:rPr>
      <w:b w:val="0"/>
      <w:sz w:val="22"/>
    </w:rPr>
  </w:style>
  <w:style w:type="character" w:customStyle="1" w:styleId="ListLabel46">
    <w:name w:val="ListLabel 46"/>
    <w:qFormat/>
    <w:rsid w:val="0095645A"/>
    <w:rPr>
      <w:b w:val="0"/>
      <w:sz w:val="22"/>
    </w:rPr>
  </w:style>
  <w:style w:type="character" w:customStyle="1" w:styleId="ListLabel47">
    <w:name w:val="ListLabel 47"/>
    <w:qFormat/>
    <w:rsid w:val="0095645A"/>
    <w:rPr>
      <w:b w:val="0"/>
      <w:sz w:val="22"/>
    </w:rPr>
  </w:style>
  <w:style w:type="character" w:customStyle="1" w:styleId="ListLabel48">
    <w:name w:val="ListLabel 48"/>
    <w:qFormat/>
    <w:rsid w:val="0095645A"/>
    <w:rPr>
      <w:b w:val="0"/>
      <w:sz w:val="22"/>
    </w:rPr>
  </w:style>
  <w:style w:type="character" w:customStyle="1" w:styleId="ListLabel49">
    <w:name w:val="ListLabel 49"/>
    <w:qFormat/>
    <w:rsid w:val="0095645A"/>
    <w:rPr>
      <w:b w:val="0"/>
      <w:sz w:val="22"/>
    </w:rPr>
  </w:style>
  <w:style w:type="character" w:customStyle="1" w:styleId="ListLabel50">
    <w:name w:val="ListLabel 50"/>
    <w:qFormat/>
    <w:rsid w:val="0095645A"/>
    <w:rPr>
      <w:rFonts w:ascii="Calibri" w:eastAsia="Arial Unicode MS" w:hAnsi="Calibri" w:cs="Calibri"/>
      <w:b/>
      <w:iCs/>
      <w:sz w:val="24"/>
      <w:lang w:val="es-ES"/>
    </w:rPr>
  </w:style>
  <w:style w:type="character" w:customStyle="1" w:styleId="ListLabel51">
    <w:name w:val="ListLabel 51"/>
    <w:qFormat/>
    <w:rsid w:val="0095645A"/>
    <w:rPr>
      <w:rFonts w:ascii="Calibri" w:hAnsi="Calibri" w:cs="Calibri"/>
      <w:b w:val="0"/>
      <w:sz w:val="22"/>
    </w:rPr>
  </w:style>
  <w:style w:type="character" w:customStyle="1" w:styleId="ListLabel52">
    <w:name w:val="ListLabel 52"/>
    <w:qFormat/>
    <w:rsid w:val="0095645A"/>
    <w:rPr>
      <w:b w:val="0"/>
      <w:sz w:val="22"/>
    </w:rPr>
  </w:style>
  <w:style w:type="character" w:customStyle="1" w:styleId="ListLabel53">
    <w:name w:val="ListLabel 53"/>
    <w:qFormat/>
    <w:rsid w:val="0095645A"/>
    <w:rPr>
      <w:b w:val="0"/>
      <w:sz w:val="22"/>
    </w:rPr>
  </w:style>
  <w:style w:type="character" w:customStyle="1" w:styleId="ListLabel54">
    <w:name w:val="ListLabel 54"/>
    <w:qFormat/>
    <w:rsid w:val="0095645A"/>
    <w:rPr>
      <w:b w:val="0"/>
      <w:sz w:val="22"/>
    </w:rPr>
  </w:style>
  <w:style w:type="character" w:customStyle="1" w:styleId="ListLabel55">
    <w:name w:val="ListLabel 55"/>
    <w:qFormat/>
    <w:rsid w:val="0095645A"/>
    <w:rPr>
      <w:b w:val="0"/>
      <w:sz w:val="22"/>
    </w:rPr>
  </w:style>
  <w:style w:type="character" w:customStyle="1" w:styleId="ListLabel56">
    <w:name w:val="ListLabel 56"/>
    <w:qFormat/>
    <w:rsid w:val="0095645A"/>
    <w:rPr>
      <w:b w:val="0"/>
      <w:sz w:val="22"/>
    </w:rPr>
  </w:style>
  <w:style w:type="character" w:customStyle="1" w:styleId="ListLabel57">
    <w:name w:val="ListLabel 57"/>
    <w:qFormat/>
    <w:rsid w:val="0095645A"/>
    <w:rPr>
      <w:b w:val="0"/>
      <w:sz w:val="22"/>
    </w:rPr>
  </w:style>
  <w:style w:type="character" w:customStyle="1" w:styleId="ListLabel58">
    <w:name w:val="ListLabel 58"/>
    <w:qFormat/>
    <w:rsid w:val="0095645A"/>
    <w:rPr>
      <w:b w:val="0"/>
      <w:sz w:val="22"/>
    </w:rPr>
  </w:style>
  <w:style w:type="character" w:customStyle="1" w:styleId="ListLabel59">
    <w:name w:val="ListLabel 59"/>
    <w:qFormat/>
    <w:rsid w:val="0095645A"/>
    <w:rPr>
      <w:b w:val="0"/>
      <w:sz w:val="22"/>
    </w:rPr>
  </w:style>
  <w:style w:type="character" w:customStyle="1" w:styleId="ListLabel60">
    <w:name w:val="ListLabel 60"/>
    <w:qFormat/>
    <w:rsid w:val="0095645A"/>
    <w:rPr>
      <w:rFonts w:ascii="Calibri" w:eastAsia="Arial Unicode MS" w:hAnsi="Calibri" w:cs="Calibri"/>
      <w:b/>
      <w:iCs/>
      <w:sz w:val="24"/>
      <w:lang w:val="es-ES"/>
    </w:rPr>
  </w:style>
  <w:style w:type="character" w:customStyle="1" w:styleId="ListLabel61">
    <w:name w:val="ListLabel 61"/>
    <w:qFormat/>
    <w:rsid w:val="0095645A"/>
    <w:rPr>
      <w:rFonts w:ascii="Calibri" w:hAnsi="Calibri" w:cs="Calibri"/>
      <w:b w:val="0"/>
      <w:sz w:val="24"/>
    </w:rPr>
  </w:style>
  <w:style w:type="character" w:customStyle="1" w:styleId="ListLabel62">
    <w:name w:val="ListLabel 62"/>
    <w:qFormat/>
    <w:rsid w:val="0095645A"/>
    <w:rPr>
      <w:b w:val="0"/>
      <w:sz w:val="22"/>
    </w:rPr>
  </w:style>
  <w:style w:type="character" w:customStyle="1" w:styleId="ListLabel63">
    <w:name w:val="ListLabel 63"/>
    <w:qFormat/>
    <w:rsid w:val="0095645A"/>
    <w:rPr>
      <w:b w:val="0"/>
      <w:sz w:val="22"/>
    </w:rPr>
  </w:style>
  <w:style w:type="character" w:customStyle="1" w:styleId="ListLabel64">
    <w:name w:val="ListLabel 64"/>
    <w:qFormat/>
    <w:rsid w:val="0095645A"/>
    <w:rPr>
      <w:b w:val="0"/>
      <w:sz w:val="22"/>
    </w:rPr>
  </w:style>
  <w:style w:type="character" w:customStyle="1" w:styleId="ListLabel65">
    <w:name w:val="ListLabel 65"/>
    <w:qFormat/>
    <w:rsid w:val="0095645A"/>
    <w:rPr>
      <w:b w:val="0"/>
      <w:sz w:val="22"/>
    </w:rPr>
  </w:style>
  <w:style w:type="character" w:customStyle="1" w:styleId="ListLabel66">
    <w:name w:val="ListLabel 66"/>
    <w:qFormat/>
    <w:rsid w:val="0095645A"/>
    <w:rPr>
      <w:b w:val="0"/>
      <w:sz w:val="22"/>
    </w:rPr>
  </w:style>
  <w:style w:type="character" w:customStyle="1" w:styleId="ListLabel67">
    <w:name w:val="ListLabel 67"/>
    <w:qFormat/>
    <w:rsid w:val="0095645A"/>
    <w:rPr>
      <w:b w:val="0"/>
      <w:sz w:val="22"/>
    </w:rPr>
  </w:style>
  <w:style w:type="character" w:customStyle="1" w:styleId="ListLabel68">
    <w:name w:val="ListLabel 68"/>
    <w:qFormat/>
    <w:rsid w:val="0095645A"/>
    <w:rPr>
      <w:b w:val="0"/>
      <w:sz w:val="22"/>
    </w:rPr>
  </w:style>
  <w:style w:type="character" w:customStyle="1" w:styleId="ListLabel69">
    <w:name w:val="ListLabel 69"/>
    <w:qFormat/>
    <w:rsid w:val="0095645A"/>
    <w:rPr>
      <w:b w:val="0"/>
      <w:sz w:val="22"/>
    </w:rPr>
  </w:style>
  <w:style w:type="character" w:customStyle="1" w:styleId="ListLabel70">
    <w:name w:val="ListLabel 70"/>
    <w:qFormat/>
    <w:rsid w:val="0095645A"/>
    <w:rPr>
      <w:rFonts w:ascii="Calibri" w:eastAsia="Arial Unicode MS" w:hAnsi="Calibri" w:cs="Calibri"/>
      <w:b/>
      <w:iCs/>
      <w:sz w:val="24"/>
      <w:lang w:val="es-ES"/>
    </w:rPr>
  </w:style>
  <w:style w:type="character" w:customStyle="1" w:styleId="ListLabel71">
    <w:name w:val="ListLabel 71"/>
    <w:qFormat/>
    <w:rsid w:val="0095645A"/>
    <w:rPr>
      <w:rFonts w:ascii="Calibri" w:hAnsi="Calibri" w:cs="Calibri"/>
      <w:b w:val="0"/>
      <w:sz w:val="24"/>
    </w:rPr>
  </w:style>
  <w:style w:type="character" w:customStyle="1" w:styleId="ListLabel72">
    <w:name w:val="ListLabel 72"/>
    <w:qFormat/>
    <w:rsid w:val="0095645A"/>
    <w:rPr>
      <w:b w:val="0"/>
      <w:sz w:val="22"/>
    </w:rPr>
  </w:style>
  <w:style w:type="character" w:customStyle="1" w:styleId="ListLabel73">
    <w:name w:val="ListLabel 73"/>
    <w:qFormat/>
    <w:rsid w:val="0095645A"/>
    <w:rPr>
      <w:b w:val="0"/>
      <w:sz w:val="22"/>
    </w:rPr>
  </w:style>
  <w:style w:type="character" w:customStyle="1" w:styleId="ListLabel74">
    <w:name w:val="ListLabel 74"/>
    <w:qFormat/>
    <w:rsid w:val="0095645A"/>
    <w:rPr>
      <w:b w:val="0"/>
      <w:sz w:val="22"/>
    </w:rPr>
  </w:style>
  <w:style w:type="character" w:customStyle="1" w:styleId="ListLabel75">
    <w:name w:val="ListLabel 75"/>
    <w:qFormat/>
    <w:rsid w:val="0095645A"/>
    <w:rPr>
      <w:b w:val="0"/>
      <w:sz w:val="22"/>
    </w:rPr>
  </w:style>
  <w:style w:type="character" w:customStyle="1" w:styleId="ListLabel76">
    <w:name w:val="ListLabel 76"/>
    <w:qFormat/>
    <w:rsid w:val="0095645A"/>
    <w:rPr>
      <w:b w:val="0"/>
      <w:sz w:val="22"/>
    </w:rPr>
  </w:style>
  <w:style w:type="character" w:customStyle="1" w:styleId="ListLabel77">
    <w:name w:val="ListLabel 77"/>
    <w:qFormat/>
    <w:rsid w:val="0095645A"/>
    <w:rPr>
      <w:b w:val="0"/>
      <w:sz w:val="22"/>
    </w:rPr>
  </w:style>
  <w:style w:type="character" w:customStyle="1" w:styleId="ListLabel78">
    <w:name w:val="ListLabel 78"/>
    <w:qFormat/>
    <w:rsid w:val="0095645A"/>
    <w:rPr>
      <w:b w:val="0"/>
      <w:sz w:val="22"/>
    </w:rPr>
  </w:style>
  <w:style w:type="character" w:customStyle="1" w:styleId="ListLabel79">
    <w:name w:val="ListLabel 79"/>
    <w:qFormat/>
    <w:rsid w:val="0095645A"/>
    <w:rPr>
      <w:b w:val="0"/>
      <w:sz w:val="22"/>
    </w:rPr>
  </w:style>
  <w:style w:type="character" w:customStyle="1" w:styleId="ListLabel80">
    <w:name w:val="ListLabel 80"/>
    <w:qFormat/>
    <w:rsid w:val="0095645A"/>
    <w:rPr>
      <w:rFonts w:ascii="Calibri" w:eastAsia="Arial Unicode MS" w:hAnsi="Calibri" w:cs="Calibri"/>
      <w:b/>
      <w:iCs/>
      <w:sz w:val="24"/>
      <w:lang w:val="es-ES"/>
    </w:rPr>
  </w:style>
  <w:style w:type="paragraph" w:customStyle="1" w:styleId="Descripcin2">
    <w:name w:val="Descripción2"/>
    <w:basedOn w:val="Normal"/>
    <w:uiPriority w:val="99"/>
    <w:rsid w:val="0095645A"/>
    <w:pPr>
      <w:widowControl w:val="0"/>
      <w:suppressLineNumbers/>
      <w:spacing w:before="120" w:after="120" w:line="252" w:lineRule="auto"/>
      <w:textAlignment w:val="baseline"/>
    </w:pPr>
    <w:rPr>
      <w:rFonts w:ascii="Book Antiqua" w:eastAsia="Book Antiqua" w:hAnsi="Book Antiqua" w:cs="Mangal"/>
      <w:i/>
      <w:iCs/>
      <w:color w:val="00000A"/>
      <w:kern w:val="2"/>
      <w:lang w:val="es-CR" w:eastAsia="zh-CN" w:bidi="es-CR"/>
    </w:rPr>
  </w:style>
  <w:style w:type="paragraph" w:customStyle="1" w:styleId="Sinespaciado18">
    <w:name w:val="Sin espaciado18"/>
    <w:rsid w:val="0095645A"/>
    <w:pPr>
      <w:widowControl w:val="0"/>
      <w:suppressAutoHyphens/>
      <w:spacing w:line="100" w:lineRule="atLeast"/>
    </w:pPr>
    <w:rPr>
      <w:rFonts w:ascii="Calibri" w:eastAsia="SimSun" w:hAnsi="Calibri" w:cs="Calibri"/>
      <w:kern w:val="2"/>
      <w:sz w:val="22"/>
      <w:szCs w:val="22"/>
      <w:lang w:eastAsia="zh-CN"/>
    </w:rPr>
  </w:style>
  <w:style w:type="paragraph" w:customStyle="1" w:styleId="Descripcin3">
    <w:name w:val="Descripción3"/>
    <w:basedOn w:val="Predeterminado0"/>
    <w:uiPriority w:val="99"/>
    <w:rsid w:val="0095645A"/>
  </w:style>
  <w:style w:type="character" w:customStyle="1" w:styleId="Fuentedeprrafopredeter18">
    <w:name w:val="Fuente de párrafo predeter.18"/>
    <w:rsid w:val="0095645A"/>
  </w:style>
  <w:style w:type="paragraph" w:customStyle="1" w:styleId="Prrafodelista14">
    <w:name w:val="Párrafo de lista14"/>
    <w:uiPriority w:val="99"/>
    <w:rsid w:val="0095645A"/>
    <w:pPr>
      <w:suppressAutoHyphens/>
      <w:spacing w:after="160"/>
      <w:ind w:left="720"/>
    </w:pPr>
    <w:rPr>
      <w:rFonts w:cs="Arial"/>
      <w:color w:val="00000A"/>
      <w:kern w:val="2"/>
      <w:sz w:val="24"/>
      <w:szCs w:val="24"/>
      <w:lang w:val="es-CR" w:eastAsia="zh-CN" w:bidi="hi-IN"/>
    </w:rPr>
  </w:style>
  <w:style w:type="paragraph" w:customStyle="1" w:styleId="Sinespaciado19">
    <w:name w:val="Sin espaciado19"/>
    <w:rsid w:val="0095645A"/>
    <w:pPr>
      <w:widowControl w:val="0"/>
      <w:suppressAutoHyphens/>
      <w:spacing w:line="100" w:lineRule="atLeast"/>
    </w:pPr>
    <w:rPr>
      <w:rFonts w:ascii="Calibri" w:eastAsia="SimSun" w:hAnsi="Calibri" w:cs="Calibri"/>
      <w:kern w:val="2"/>
      <w:sz w:val="22"/>
      <w:szCs w:val="22"/>
      <w:lang w:eastAsia="zh-CN"/>
    </w:rPr>
  </w:style>
  <w:style w:type="paragraph" w:customStyle="1" w:styleId="Descripcin4">
    <w:name w:val="Descripción4"/>
    <w:basedOn w:val="Predeterminado0"/>
    <w:rsid w:val="0095645A"/>
  </w:style>
  <w:style w:type="paragraph" w:customStyle="1" w:styleId="Ttulo36">
    <w:name w:val="Título3"/>
    <w:uiPriority w:val="99"/>
    <w:rsid w:val="0095645A"/>
    <w:pPr>
      <w:keepNext/>
      <w:widowControl w:val="0"/>
      <w:autoSpaceDE w:val="0"/>
      <w:autoSpaceDN w:val="0"/>
      <w:adjustRightInd w:val="0"/>
      <w:spacing w:before="240" w:after="120" w:line="252" w:lineRule="auto"/>
    </w:pPr>
    <w:rPr>
      <w:rFonts w:ascii="Liberation Sans" w:hAnsi="Liberation Sans" w:cs="Liberation Sans"/>
      <w:color w:val="00000A"/>
      <w:sz w:val="28"/>
      <w:szCs w:val="28"/>
      <w:lang w:val="es-CR" w:eastAsia="es-CR"/>
    </w:rPr>
  </w:style>
  <w:style w:type="character" w:customStyle="1" w:styleId="Fuentedepe1e1rrafopredeter">
    <w:name w:val="Fuente de páe1e1rrafo predeter."/>
    <w:uiPriority w:val="99"/>
    <w:rsid w:val="0095645A"/>
  </w:style>
  <w:style w:type="character" w:customStyle="1" w:styleId="Fuentedepe1e1rrafopredeter3">
    <w:name w:val="Fuente de páe1e1rrafo predeter.3"/>
    <w:uiPriority w:val="99"/>
    <w:rsid w:val="0095645A"/>
  </w:style>
  <w:style w:type="character" w:customStyle="1" w:styleId="Fuentedepe1e1rrafopredeter2">
    <w:name w:val="Fuente de páe1e1rrafo predeter.2"/>
    <w:uiPriority w:val="99"/>
    <w:rsid w:val="0095645A"/>
  </w:style>
  <w:style w:type="character" w:customStyle="1" w:styleId="Fuentedepe1e1rrafopredeter1">
    <w:name w:val="Fuente de páe1e1rrafo predeter.1"/>
    <w:uiPriority w:val="99"/>
    <w:rsid w:val="0095645A"/>
  </w:style>
  <w:style w:type="character" w:customStyle="1" w:styleId="Sededmbolosdenumeracif3f3n">
    <w:name w:val="Síededmbolos de numeracióf3f3n"/>
    <w:uiPriority w:val="99"/>
    <w:rsid w:val="0095645A"/>
  </w:style>
  <w:style w:type="character" w:customStyle="1" w:styleId="c9c9nfasis1">
    <w:name w:val="Éc9c9nfasis1"/>
    <w:rsid w:val="0095645A"/>
    <w:rPr>
      <w:rFonts w:eastAsia="Times New Roman"/>
      <w:i/>
      <w:iCs/>
    </w:rPr>
  </w:style>
  <w:style w:type="paragraph" w:customStyle="1" w:styleId="Tededtulo1">
    <w:name w:val="Tíededtulo 1"/>
    <w:uiPriority w:val="99"/>
    <w:rsid w:val="0095645A"/>
    <w:pPr>
      <w:keepNext/>
      <w:widowControl w:val="0"/>
      <w:suppressAutoHyphens/>
      <w:autoSpaceDE w:val="0"/>
      <w:autoSpaceDN w:val="0"/>
      <w:adjustRightInd w:val="0"/>
      <w:spacing w:before="240" w:after="120" w:line="252" w:lineRule="auto"/>
      <w:textAlignment w:val="baseline"/>
    </w:pPr>
    <w:rPr>
      <w:rFonts w:ascii="Arial" w:hAnsi="Liberation Serif" w:cs="Arial"/>
      <w:color w:val="00000A"/>
      <w:kern w:val="1"/>
      <w:sz w:val="28"/>
      <w:szCs w:val="28"/>
      <w:lang w:val="es-CR" w:eastAsia="es-CR" w:bidi="hi-IN"/>
    </w:rPr>
  </w:style>
  <w:style w:type="paragraph" w:customStyle="1" w:styleId="Tededtulo2">
    <w:name w:val="Tíededtulo 2"/>
    <w:basedOn w:val="Normal"/>
    <w:uiPriority w:val="99"/>
    <w:rsid w:val="0095645A"/>
    <w:pPr>
      <w:keepNext/>
      <w:widowControl w:val="0"/>
      <w:autoSpaceDE w:val="0"/>
      <w:autoSpaceDN w:val="0"/>
      <w:adjustRightInd w:val="0"/>
      <w:spacing w:before="240" w:after="60" w:line="100" w:lineRule="atLeast"/>
      <w:jc w:val="center"/>
      <w:textAlignment w:val="baseline"/>
    </w:pPr>
    <w:rPr>
      <w:rFonts w:ascii="Book Antiqua" w:hAnsi="Liberation Serif" w:cs="Book Antiqua"/>
      <w:b/>
      <w:bCs/>
      <w:i/>
      <w:iCs/>
      <w:color w:val="00000A"/>
      <w:kern w:val="1"/>
      <w:sz w:val="28"/>
      <w:szCs w:val="28"/>
      <w:u w:val="double"/>
      <w:lang w:val="es-CR"/>
    </w:rPr>
  </w:style>
  <w:style w:type="paragraph" w:customStyle="1" w:styleId="Tededtulo5">
    <w:name w:val="Tíededtulo 5"/>
    <w:uiPriority w:val="99"/>
    <w:rsid w:val="0095645A"/>
    <w:pPr>
      <w:keepNext/>
      <w:widowControl w:val="0"/>
      <w:suppressAutoHyphens/>
      <w:autoSpaceDE w:val="0"/>
      <w:autoSpaceDN w:val="0"/>
      <w:adjustRightInd w:val="0"/>
      <w:spacing w:before="240" w:after="120" w:line="252" w:lineRule="auto"/>
      <w:textAlignment w:val="baseline"/>
    </w:pPr>
    <w:rPr>
      <w:rFonts w:ascii="Arial" w:hAnsi="Liberation Serif" w:cs="Arial"/>
      <w:color w:val="00000A"/>
      <w:kern w:val="1"/>
      <w:sz w:val="28"/>
      <w:szCs w:val="28"/>
      <w:lang w:val="es-CR" w:eastAsia="es-CR" w:bidi="hi-IN"/>
    </w:rPr>
  </w:style>
  <w:style w:type="paragraph" w:customStyle="1" w:styleId="Tededtulo">
    <w:name w:val="Tíededtulo"/>
    <w:basedOn w:val="Normal"/>
    <w:uiPriority w:val="99"/>
    <w:rsid w:val="0095645A"/>
    <w:pPr>
      <w:keepNext/>
      <w:widowControl w:val="0"/>
      <w:autoSpaceDE w:val="0"/>
      <w:autoSpaceDN w:val="0"/>
      <w:adjustRightInd w:val="0"/>
      <w:spacing w:before="240" w:after="120" w:line="252" w:lineRule="auto"/>
      <w:textAlignment w:val="baseline"/>
    </w:pPr>
    <w:rPr>
      <w:rFonts w:ascii="Liberation Sans" w:hAnsi="Liberation Serif" w:cs="Liberation Sans"/>
      <w:color w:val="00000A"/>
      <w:kern w:val="1"/>
      <w:sz w:val="28"/>
      <w:szCs w:val="28"/>
      <w:lang w:val="es-CR"/>
    </w:rPr>
  </w:style>
  <w:style w:type="paragraph" w:customStyle="1" w:styleId="cdcdndice">
    <w:name w:val="Ícdcdndice"/>
    <w:basedOn w:val="Normal"/>
    <w:uiPriority w:val="99"/>
    <w:rsid w:val="0095645A"/>
    <w:pPr>
      <w:widowControl w:val="0"/>
      <w:autoSpaceDE w:val="0"/>
      <w:autoSpaceDN w:val="0"/>
      <w:adjustRightInd w:val="0"/>
      <w:spacing w:after="160" w:line="252" w:lineRule="auto"/>
      <w:textAlignment w:val="baseline"/>
    </w:pPr>
    <w:rPr>
      <w:rFonts w:ascii="Book Antiqua" w:hAnsi="Liberation Serif" w:cs="Book Antiqua"/>
      <w:color w:val="00000A"/>
      <w:kern w:val="1"/>
      <w:sz w:val="22"/>
      <w:szCs w:val="22"/>
      <w:lang w:val="es-CR"/>
    </w:rPr>
  </w:style>
  <w:style w:type="paragraph" w:customStyle="1" w:styleId="Tededtulo3">
    <w:name w:val="Tíededtulo3"/>
    <w:basedOn w:val="Normal"/>
    <w:uiPriority w:val="99"/>
    <w:rsid w:val="0095645A"/>
    <w:pPr>
      <w:keepNext/>
      <w:widowControl w:val="0"/>
      <w:autoSpaceDE w:val="0"/>
      <w:autoSpaceDN w:val="0"/>
      <w:adjustRightInd w:val="0"/>
      <w:spacing w:before="240" w:after="120" w:line="252" w:lineRule="auto"/>
      <w:textAlignment w:val="baseline"/>
    </w:pPr>
    <w:rPr>
      <w:rFonts w:ascii="Liberation Sans" w:hAnsi="Liberation Serif" w:cs="Liberation Sans"/>
      <w:color w:val="00000A"/>
      <w:kern w:val="1"/>
      <w:sz w:val="28"/>
      <w:szCs w:val="28"/>
      <w:lang w:val="es-CR"/>
    </w:rPr>
  </w:style>
  <w:style w:type="paragraph" w:customStyle="1" w:styleId="Descripcif3f3n">
    <w:name w:val="Descripcióf3f3n"/>
    <w:basedOn w:val="Normal"/>
    <w:uiPriority w:val="99"/>
    <w:rsid w:val="0095645A"/>
    <w:pPr>
      <w:widowControl w:val="0"/>
      <w:autoSpaceDE w:val="0"/>
      <w:autoSpaceDN w:val="0"/>
      <w:adjustRightInd w:val="0"/>
      <w:spacing w:before="120" w:after="120" w:line="252" w:lineRule="auto"/>
      <w:textAlignment w:val="baseline"/>
    </w:pPr>
    <w:rPr>
      <w:rFonts w:ascii="Book Antiqua" w:hAnsi="Liberation Serif" w:cs="Book Antiqua"/>
      <w:i/>
      <w:iCs/>
      <w:color w:val="00000A"/>
      <w:kern w:val="1"/>
      <w:lang w:val="es-CR"/>
    </w:rPr>
  </w:style>
  <w:style w:type="paragraph" w:customStyle="1" w:styleId="Tededtulo20">
    <w:name w:val="Tíededtulo2"/>
    <w:basedOn w:val="Normal"/>
    <w:uiPriority w:val="99"/>
    <w:rsid w:val="0095645A"/>
    <w:pPr>
      <w:keepNext/>
      <w:widowControl w:val="0"/>
      <w:autoSpaceDE w:val="0"/>
      <w:autoSpaceDN w:val="0"/>
      <w:adjustRightInd w:val="0"/>
      <w:spacing w:before="240" w:after="120" w:line="252" w:lineRule="auto"/>
      <w:textAlignment w:val="baseline"/>
    </w:pPr>
    <w:rPr>
      <w:rFonts w:ascii="Liberation Sans" w:hAnsi="Liberation Serif" w:cs="Liberation Sans"/>
      <w:color w:val="00000A"/>
      <w:kern w:val="1"/>
      <w:sz w:val="28"/>
      <w:szCs w:val="28"/>
      <w:lang w:val="es-CR"/>
    </w:rPr>
  </w:style>
  <w:style w:type="paragraph" w:customStyle="1" w:styleId="Epededgrafe">
    <w:name w:val="Epíededgrafe"/>
    <w:basedOn w:val="Normal"/>
    <w:uiPriority w:val="99"/>
    <w:rsid w:val="0095645A"/>
    <w:pPr>
      <w:widowControl w:val="0"/>
      <w:autoSpaceDE w:val="0"/>
      <w:autoSpaceDN w:val="0"/>
      <w:adjustRightInd w:val="0"/>
      <w:spacing w:before="120" w:after="120" w:line="252" w:lineRule="auto"/>
      <w:textAlignment w:val="baseline"/>
    </w:pPr>
    <w:rPr>
      <w:rFonts w:ascii="Book Antiqua" w:hAnsi="Liberation Serif" w:cs="Book Antiqua"/>
      <w:i/>
      <w:iCs/>
      <w:color w:val="00000A"/>
      <w:kern w:val="1"/>
      <w:lang w:val="es-CR"/>
    </w:rPr>
  </w:style>
  <w:style w:type="paragraph" w:customStyle="1" w:styleId="Subtededtulo">
    <w:name w:val="Subtíededtulo"/>
    <w:basedOn w:val="Encabezado2"/>
    <w:uiPriority w:val="99"/>
    <w:rsid w:val="0095645A"/>
    <w:pPr>
      <w:widowControl w:val="0"/>
      <w:autoSpaceDE w:val="0"/>
      <w:autoSpaceDN w:val="0"/>
      <w:adjustRightInd w:val="0"/>
      <w:spacing w:line="252" w:lineRule="auto"/>
      <w:jc w:val="center"/>
      <w:textAlignment w:val="baseline"/>
    </w:pPr>
    <w:rPr>
      <w:rFonts w:eastAsia="Times New Roman" w:hAnsi="Liberation Serif" w:cs="Arial"/>
      <w:i/>
      <w:iCs/>
      <w:color w:val="00000A"/>
      <w:kern w:val="1"/>
      <w:lang w:val="es-CR"/>
    </w:rPr>
  </w:style>
  <w:style w:type="paragraph" w:customStyle="1" w:styleId="Tededtulo10">
    <w:name w:val="Tíededtulo1"/>
    <w:basedOn w:val="Normal"/>
    <w:uiPriority w:val="99"/>
    <w:rsid w:val="0095645A"/>
    <w:pPr>
      <w:keepNext/>
      <w:widowControl w:val="0"/>
      <w:autoSpaceDE w:val="0"/>
      <w:autoSpaceDN w:val="0"/>
      <w:adjustRightInd w:val="0"/>
      <w:spacing w:before="240" w:after="120" w:line="252" w:lineRule="auto"/>
      <w:textAlignment w:val="baseline"/>
    </w:pPr>
    <w:rPr>
      <w:rFonts w:ascii="Liberation Sans" w:hAnsi="Liberation Serif" w:cs="Liberation Sans"/>
      <w:color w:val="00000A"/>
      <w:kern w:val="1"/>
      <w:sz w:val="28"/>
      <w:szCs w:val="28"/>
      <w:lang w:val="es-CR"/>
    </w:rPr>
  </w:style>
  <w:style w:type="paragraph" w:customStyle="1" w:styleId="Descripcif3f3n1">
    <w:name w:val="Descripcióf3f3n1"/>
    <w:basedOn w:val="Normal"/>
    <w:uiPriority w:val="99"/>
    <w:rsid w:val="0095645A"/>
    <w:pPr>
      <w:widowControl w:val="0"/>
      <w:autoSpaceDE w:val="0"/>
      <w:autoSpaceDN w:val="0"/>
      <w:adjustRightInd w:val="0"/>
      <w:spacing w:before="120" w:after="120" w:line="252" w:lineRule="auto"/>
      <w:textAlignment w:val="baseline"/>
    </w:pPr>
    <w:rPr>
      <w:rFonts w:ascii="Book Antiqua" w:hAnsi="Liberation Serif" w:cs="Book Antiqua"/>
      <w:i/>
      <w:iCs/>
      <w:color w:val="00000A"/>
      <w:kern w:val="1"/>
      <w:lang w:val="es-CR"/>
    </w:rPr>
  </w:style>
  <w:style w:type="paragraph" w:customStyle="1" w:styleId="Epededgrafe2">
    <w:name w:val="Epíededgrafe2"/>
    <w:basedOn w:val="Normal"/>
    <w:uiPriority w:val="99"/>
    <w:rsid w:val="0095645A"/>
    <w:pPr>
      <w:widowControl w:val="0"/>
      <w:autoSpaceDE w:val="0"/>
      <w:autoSpaceDN w:val="0"/>
      <w:adjustRightInd w:val="0"/>
      <w:spacing w:before="120" w:after="120" w:line="252" w:lineRule="auto"/>
      <w:textAlignment w:val="baseline"/>
    </w:pPr>
    <w:rPr>
      <w:rFonts w:ascii="Book Antiqua" w:hAnsi="Liberation Serif" w:cs="Book Antiqua"/>
      <w:i/>
      <w:iCs/>
      <w:color w:val="00000A"/>
      <w:kern w:val="1"/>
      <w:lang w:val="es-CR"/>
    </w:rPr>
  </w:style>
  <w:style w:type="paragraph" w:customStyle="1" w:styleId="Epededgrafe1">
    <w:name w:val="Epíededgrafe1"/>
    <w:uiPriority w:val="99"/>
    <w:rsid w:val="0095645A"/>
    <w:pPr>
      <w:suppressAutoHyphens/>
      <w:autoSpaceDE w:val="0"/>
      <w:autoSpaceDN w:val="0"/>
      <w:adjustRightInd w:val="0"/>
      <w:jc w:val="center"/>
    </w:pPr>
    <w:rPr>
      <w:rFonts w:ascii="Arial" w:hAnsi="Liberation Serif" w:cs="Arial"/>
      <w:b/>
      <w:bCs/>
      <w:color w:val="00000A"/>
      <w:kern w:val="1"/>
      <w:sz w:val="22"/>
      <w:szCs w:val="22"/>
      <w:lang w:val="es-CR" w:eastAsia="es-CR" w:bidi="hi-IN"/>
    </w:rPr>
  </w:style>
  <w:style w:type="paragraph" w:customStyle="1" w:styleId="Tededtulo21">
    <w:name w:val="Tíededtulo 21"/>
    <w:uiPriority w:val="99"/>
    <w:rsid w:val="0095645A"/>
    <w:pPr>
      <w:keepNext/>
      <w:suppressAutoHyphens/>
      <w:autoSpaceDE w:val="0"/>
      <w:autoSpaceDN w:val="0"/>
      <w:adjustRightInd w:val="0"/>
      <w:spacing w:before="240" w:after="60"/>
      <w:jc w:val="center"/>
    </w:pPr>
    <w:rPr>
      <w:rFonts w:ascii="Arial" w:hAnsi="Liberation Serif" w:cs="Arial"/>
      <w:b/>
      <w:bCs/>
      <w:i/>
      <w:iCs/>
      <w:color w:val="00000A"/>
      <w:kern w:val="1"/>
      <w:sz w:val="28"/>
      <w:szCs w:val="28"/>
      <w:u w:val="double"/>
      <w:lang w:val="es-CR" w:eastAsia="es-CR" w:bidi="hi-IN"/>
    </w:rPr>
  </w:style>
  <w:style w:type="paragraph" w:customStyle="1" w:styleId="Tededtulodelatabla">
    <w:name w:val="Tíededtulo de la tabla"/>
    <w:basedOn w:val="Contenidodelatabla"/>
    <w:uiPriority w:val="99"/>
    <w:rsid w:val="0095645A"/>
  </w:style>
  <w:style w:type="character" w:customStyle="1" w:styleId="Fuentedeprrafopredeter19">
    <w:name w:val="Fuente de párrafo predeter.19"/>
    <w:rsid w:val="0095645A"/>
  </w:style>
  <w:style w:type="paragraph" w:customStyle="1" w:styleId="Prrafodelista15">
    <w:name w:val="Párrafo de lista15"/>
    <w:uiPriority w:val="99"/>
    <w:rsid w:val="0095645A"/>
    <w:pPr>
      <w:suppressAutoHyphens/>
      <w:spacing w:after="160"/>
      <w:ind w:left="720"/>
    </w:pPr>
    <w:rPr>
      <w:rFonts w:cs="Arial"/>
      <w:color w:val="00000A"/>
      <w:kern w:val="1"/>
      <w:sz w:val="24"/>
      <w:szCs w:val="24"/>
      <w:lang w:val="es-CR" w:eastAsia="zh-CN" w:bidi="hi-IN"/>
    </w:rPr>
  </w:style>
  <w:style w:type="paragraph" w:customStyle="1" w:styleId="Sinespaciado20">
    <w:name w:val="Sin espaciado20"/>
    <w:rsid w:val="0095645A"/>
    <w:pPr>
      <w:widowControl w:val="0"/>
      <w:suppressAutoHyphens/>
      <w:spacing w:line="100" w:lineRule="atLeast"/>
    </w:pPr>
    <w:rPr>
      <w:rFonts w:ascii="Calibri" w:eastAsia="SimSun" w:hAnsi="Calibri" w:cs="Calibri"/>
      <w:kern w:val="1"/>
      <w:sz w:val="22"/>
      <w:szCs w:val="22"/>
      <w:lang w:eastAsia="zh-CN"/>
    </w:rPr>
  </w:style>
  <w:style w:type="paragraph" w:customStyle="1" w:styleId="Descripcin5">
    <w:name w:val="Descripción5"/>
    <w:basedOn w:val="Predeterminado0"/>
    <w:rsid w:val="0095645A"/>
  </w:style>
  <w:style w:type="character" w:customStyle="1" w:styleId="Fuentedeprrafopredeter20">
    <w:name w:val="Fuente de párrafo predeter.20"/>
    <w:rsid w:val="0095645A"/>
  </w:style>
  <w:style w:type="paragraph" w:customStyle="1" w:styleId="Prrafodelista16">
    <w:name w:val="Párrafo de lista16"/>
    <w:uiPriority w:val="99"/>
    <w:rsid w:val="0095645A"/>
    <w:pPr>
      <w:suppressAutoHyphens/>
      <w:spacing w:after="160"/>
      <w:ind w:left="720"/>
    </w:pPr>
    <w:rPr>
      <w:rFonts w:cs="Arial"/>
      <w:color w:val="00000A"/>
      <w:kern w:val="1"/>
      <w:sz w:val="24"/>
      <w:szCs w:val="24"/>
      <w:lang w:val="es-CR" w:eastAsia="zh-CN" w:bidi="hi-IN"/>
    </w:rPr>
  </w:style>
  <w:style w:type="paragraph" w:customStyle="1" w:styleId="z-BottomofForm1">
    <w:name w:val="z-Bottom of Form1"/>
    <w:next w:val="Normal"/>
    <w:uiPriority w:val="99"/>
    <w:rsid w:val="0095645A"/>
    <w:pPr>
      <w:widowControl w:val="0"/>
      <w:pBdr>
        <w:top w:val="double" w:sz="6" w:space="0" w:color="000000"/>
      </w:pBdr>
      <w:autoSpaceDE w:val="0"/>
      <w:autoSpaceDN w:val="0"/>
      <w:adjustRightInd w:val="0"/>
      <w:jc w:val="center"/>
    </w:pPr>
    <w:rPr>
      <w:rFonts w:ascii="Arial" w:hAnsi="Arial" w:cs="Arial"/>
      <w:vanish/>
      <w:sz w:val="16"/>
      <w:szCs w:val="16"/>
    </w:rPr>
  </w:style>
  <w:style w:type="paragraph" w:customStyle="1" w:styleId="z-TopofForm1">
    <w:name w:val="z-Top of Form1"/>
    <w:next w:val="Normal"/>
    <w:uiPriority w:val="99"/>
    <w:rsid w:val="0095645A"/>
    <w:pPr>
      <w:widowControl w:val="0"/>
      <w:pBdr>
        <w:bottom w:val="double" w:sz="6" w:space="0" w:color="000000"/>
      </w:pBdr>
      <w:autoSpaceDE w:val="0"/>
      <w:autoSpaceDN w:val="0"/>
      <w:adjustRightInd w:val="0"/>
      <w:jc w:val="center"/>
    </w:pPr>
    <w:rPr>
      <w:rFonts w:ascii="Arial" w:hAnsi="Arial" w:cs="Arial"/>
      <w:vanish/>
      <w:sz w:val="16"/>
      <w:szCs w:val="16"/>
    </w:rPr>
  </w:style>
  <w:style w:type="table" w:customStyle="1" w:styleId="Tablaweb110">
    <w:name w:val="Tabla web 11"/>
    <w:basedOn w:val="Tablanormal"/>
    <w:next w:val="Tablaweb10"/>
    <w:rsid w:val="0095645A"/>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customStyle="1" w:styleId="highlightedtext">
    <w:name w:val="highlightedtext"/>
    <w:rsid w:val="0095645A"/>
  </w:style>
  <w:style w:type="table" w:customStyle="1" w:styleId="Cuadrculaclara-nfasis111">
    <w:name w:val="Cuadrícula clara - Énfasis 111"/>
    <w:basedOn w:val="Tablanormal"/>
    <w:uiPriority w:val="62"/>
    <w:rsid w:val="0095645A"/>
    <w:rPr>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Segoe UI Emoji" w:eastAsia="Times New Roman" w:hAnsi="Segoe UI Emoji"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Segoe UI Emoji" w:eastAsia="Times New Roman" w:hAnsi="Segoe UI Emoji"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Segoe UI Emoji" w:eastAsia="Times New Roman" w:hAnsi="Segoe UI Emoji" w:cs="Times New Roman"/>
        <w:b/>
        <w:bCs/>
      </w:rPr>
    </w:tblStylePr>
    <w:tblStylePr w:type="lastCol">
      <w:rPr>
        <w:rFonts w:ascii="Segoe UI Emoji" w:eastAsia="Times New Roman" w:hAnsi="Segoe UI Emoji"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table" w:customStyle="1" w:styleId="Tablaweb21">
    <w:name w:val="Tabla web 21"/>
    <w:basedOn w:val="Tablanormal"/>
    <w:next w:val="Tablaweb2"/>
    <w:rsid w:val="0095645A"/>
    <w:rPr>
      <w:lang w:val="es-MX" w:eastAsia="es-MX"/>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ombreadomedio111">
    <w:name w:val="Sombreado medio 111"/>
    <w:basedOn w:val="Tablanormal"/>
    <w:rsid w:val="0095645A"/>
    <w:rPr>
      <w:rFonts w:ascii="Cambria" w:hAnsi="Cambria"/>
      <w:lang w:val="es-MX" w:eastAsia="es-MX"/>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Sombreadomedio211">
    <w:name w:val="Sombreado medio 211"/>
    <w:basedOn w:val="Tablanormal"/>
    <w:rsid w:val="0095645A"/>
    <w:rPr>
      <w:rFonts w:ascii="Cambria" w:hAnsi="Cambria"/>
      <w:lang w:val="es-MX" w:eastAsia="es-MX"/>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1">
    <w:name w:val="Lista media 111"/>
    <w:basedOn w:val="Tablanormal"/>
    <w:rsid w:val="0095645A"/>
    <w:rPr>
      <w:rFonts w:ascii="Cambria" w:hAnsi="Cambria"/>
      <w:color w:val="000000"/>
      <w:lang w:val="es-MX" w:eastAsia="es-MX"/>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Listamedia211">
    <w:name w:val="Lista media 211"/>
    <w:basedOn w:val="Tablanormal"/>
    <w:rsid w:val="0095645A"/>
    <w:rPr>
      <w:rFonts w:ascii="Calibri" w:hAnsi="Calibri"/>
      <w:color w:val="000000"/>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ombreadoclaro11">
    <w:name w:val="Sombreado claro11"/>
    <w:basedOn w:val="Tablanormal"/>
    <w:rsid w:val="0095645A"/>
    <w:rPr>
      <w:rFonts w:ascii="Cambria" w:hAnsi="Cambria"/>
      <w:color w:val="000000"/>
      <w:lang w:val="es-MX" w:eastAsia="es-MX"/>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Grid1-Accent11">
    <w:name w:val="Medium Grid 1 - Accent 11"/>
    <w:basedOn w:val="Tablanormal"/>
    <w:rsid w:val="0095645A"/>
    <w:rPr>
      <w:rFonts w:ascii="Cambria" w:hAnsi="Cambria"/>
      <w:lang w:val="es-MX" w:eastAsia="es-MX"/>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Grid3-Accent11">
    <w:name w:val="Medium Grid 3 - Accent 11"/>
    <w:basedOn w:val="Tablanormal"/>
    <w:rsid w:val="0095645A"/>
    <w:rPr>
      <w:rFonts w:ascii="Cambria" w:hAnsi="Cambria"/>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claro-nfasis111">
    <w:name w:val="Sombreado claro - Énfasis 111"/>
    <w:basedOn w:val="Tablanormal"/>
    <w:rsid w:val="0095645A"/>
    <w:rPr>
      <w:rFonts w:ascii="Cambria" w:hAnsi="Cambria"/>
      <w:color w:val="365F91"/>
      <w:sz w:val="22"/>
      <w:szCs w:val="22"/>
      <w:lang w:val="es-MX"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MediumShading1-Accent11">
    <w:name w:val="Medium Shading 1 - Accent 11"/>
    <w:basedOn w:val="Tablanormal"/>
    <w:rsid w:val="0095645A"/>
    <w:rPr>
      <w:rFonts w:ascii="Cambria" w:hAnsi="Cambria"/>
      <w:sz w:val="22"/>
      <w:szCs w:val="22"/>
      <w:lang w:val="es-MX"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numbering" w:customStyle="1" w:styleId="1111111113">
    <w:name w:val="1.1 / 1.1.1 / 1.1.1.13"/>
    <w:basedOn w:val="Sinlista"/>
    <w:next w:val="111111"/>
    <w:unhideWhenUsed/>
    <w:rsid w:val="0095645A"/>
    <w:pPr>
      <w:numPr>
        <w:numId w:val="34"/>
      </w:numPr>
    </w:pPr>
  </w:style>
  <w:style w:type="table" w:customStyle="1" w:styleId="Tablaelegante1">
    <w:name w:val="Tabla elegante1"/>
    <w:basedOn w:val="Tablanormal"/>
    <w:next w:val="Tablaelegante"/>
    <w:rsid w:val="0095645A"/>
    <w:rPr>
      <w:lang w:val="es-MX" w:eastAsia="es-MX"/>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concuadrcula81">
    <w:name w:val="Tabla con cuadrícula 81"/>
    <w:basedOn w:val="Tablanormal"/>
    <w:next w:val="Tablaconcuadrcula8"/>
    <w:rsid w:val="0095645A"/>
    <w:rPr>
      <w:lang w:val="es-MX" w:eastAsia="es-MX"/>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moderna1">
    <w:name w:val="Tabla moderna1"/>
    <w:basedOn w:val="Tablanormal"/>
    <w:next w:val="Tablamoderna"/>
    <w:rsid w:val="0095645A"/>
    <w:rPr>
      <w:lang w:val="es-MX" w:eastAsia="es-MX"/>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concuadrcula12">
    <w:name w:val="Tabla con cuadrícula12"/>
    <w:basedOn w:val="Tablanormal"/>
    <w:next w:val="Tablaconcuadrcula"/>
    <w:uiPriority w:val="39"/>
    <w:rsid w:val="0095645A"/>
    <w:rPr>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1">
    <w:name w:val="Sin lista21"/>
    <w:next w:val="Sinlista"/>
    <w:uiPriority w:val="99"/>
    <w:semiHidden/>
    <w:rsid w:val="0095645A"/>
  </w:style>
  <w:style w:type="table" w:customStyle="1" w:styleId="Tablaconcuadrcula21">
    <w:name w:val="Tabla con cuadrícula21"/>
    <w:basedOn w:val="Tablanormal"/>
    <w:next w:val="Tablaconcuadrcula"/>
    <w:uiPriority w:val="59"/>
    <w:rsid w:val="0095645A"/>
    <w:rPr>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
    <w:name w:val="Sin lista31"/>
    <w:next w:val="Sinlista"/>
    <w:uiPriority w:val="99"/>
    <w:semiHidden/>
    <w:unhideWhenUsed/>
    <w:rsid w:val="0095645A"/>
  </w:style>
  <w:style w:type="numbering" w:customStyle="1" w:styleId="Sinlista41">
    <w:name w:val="Sin lista41"/>
    <w:next w:val="Sinlista"/>
    <w:uiPriority w:val="99"/>
    <w:semiHidden/>
    <w:unhideWhenUsed/>
    <w:rsid w:val="0095645A"/>
  </w:style>
  <w:style w:type="paragraph" w:customStyle="1" w:styleId="Normal4">
    <w:name w:val="Normal4"/>
    <w:uiPriority w:val="99"/>
    <w:rsid w:val="0095645A"/>
    <w:pPr>
      <w:spacing w:after="160" w:line="259" w:lineRule="auto"/>
    </w:pPr>
    <w:rPr>
      <w:rFonts w:ascii="Calibri" w:eastAsia="Calibri" w:hAnsi="Calibri" w:cs="Calibri"/>
      <w:sz w:val="22"/>
      <w:szCs w:val="22"/>
      <w:lang w:val="es-CR" w:eastAsia="es-CR"/>
    </w:rPr>
  </w:style>
  <w:style w:type="paragraph" w:customStyle="1" w:styleId="wordsection1">
    <w:name w:val="wordsection1"/>
    <w:basedOn w:val="Normal"/>
    <w:uiPriority w:val="99"/>
    <w:rsid w:val="0095645A"/>
    <w:pPr>
      <w:suppressAutoHyphens w:val="0"/>
    </w:pPr>
    <w:rPr>
      <w:rFonts w:eastAsia="Calibri"/>
      <w:lang w:val="es-CR" w:eastAsia="es-CR"/>
    </w:rPr>
  </w:style>
  <w:style w:type="numbering" w:customStyle="1" w:styleId="Sinlista112">
    <w:name w:val="Sin lista112"/>
    <w:next w:val="Sinlista"/>
    <w:semiHidden/>
    <w:unhideWhenUsed/>
    <w:rsid w:val="0095645A"/>
  </w:style>
  <w:style w:type="numbering" w:customStyle="1" w:styleId="11111111111">
    <w:name w:val="1.1 / 1.1.1 / 1.1.1.111"/>
    <w:basedOn w:val="Sinlista"/>
    <w:next w:val="111111"/>
    <w:unhideWhenUsed/>
    <w:rsid w:val="0095645A"/>
    <w:pPr>
      <w:numPr>
        <w:numId w:val="35"/>
      </w:numPr>
    </w:pPr>
  </w:style>
  <w:style w:type="paragraph" w:customStyle="1" w:styleId="Cuerpo">
    <w:name w:val="Cuerpo"/>
    <w:qFormat/>
    <w:rsid w:val="0095645A"/>
    <w:pPr>
      <w:pBdr>
        <w:top w:val="nil"/>
        <w:left w:val="nil"/>
        <w:bottom w:val="nil"/>
        <w:right w:val="nil"/>
        <w:between w:val="nil"/>
        <w:bar w:val="nil"/>
      </w:pBdr>
    </w:pPr>
    <w:rPr>
      <w:rFonts w:ascii="Helvetica" w:eastAsia="Arial Unicode MS" w:hAnsi="Arial Unicode MS" w:cs="Arial Unicode MS"/>
      <w:color w:val="000000"/>
      <w:sz w:val="22"/>
      <w:szCs w:val="22"/>
      <w:bdr w:val="nil"/>
      <w:lang w:val="es-ES_tradnl" w:eastAsia="es-CR"/>
    </w:rPr>
  </w:style>
  <w:style w:type="numbering" w:customStyle="1" w:styleId="Nmero">
    <w:name w:val="Número"/>
    <w:rsid w:val="0095645A"/>
    <w:pPr>
      <w:numPr>
        <w:numId w:val="32"/>
      </w:numPr>
    </w:pPr>
  </w:style>
  <w:style w:type="table" w:customStyle="1" w:styleId="Tablaconcuadrcula3">
    <w:name w:val="Tabla con cuadrícula3"/>
    <w:basedOn w:val="Tablanormal"/>
    <w:next w:val="Tablaconcuadrcula"/>
    <w:uiPriority w:val="39"/>
    <w:rsid w:val="0095645A"/>
    <w:rPr>
      <w:rFonts w:ascii="Arial" w:hAnsi="Arial" w:cs="Arial"/>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11111">
    <w:name w:val="1.1 / 1.1.1 / 1.1.1.1111"/>
    <w:basedOn w:val="Sinlista"/>
    <w:next w:val="111111"/>
    <w:unhideWhenUsed/>
    <w:rsid w:val="0095645A"/>
  </w:style>
  <w:style w:type="numbering" w:customStyle="1" w:styleId="Sinlista211">
    <w:name w:val="Sin lista211"/>
    <w:next w:val="Sinlista"/>
    <w:uiPriority w:val="99"/>
    <w:semiHidden/>
    <w:unhideWhenUsed/>
    <w:rsid w:val="0095645A"/>
  </w:style>
  <w:style w:type="numbering" w:customStyle="1" w:styleId="Sinlista311">
    <w:name w:val="Sin lista311"/>
    <w:next w:val="Sinlista"/>
    <w:uiPriority w:val="99"/>
    <w:semiHidden/>
    <w:unhideWhenUsed/>
    <w:rsid w:val="0095645A"/>
  </w:style>
  <w:style w:type="table" w:customStyle="1" w:styleId="Tablaconcuadrcula1111">
    <w:name w:val="Tabla con cuadrícula1111"/>
    <w:basedOn w:val="Tablanormal"/>
    <w:next w:val="Tablaconcuadrcula"/>
    <w:uiPriority w:val="39"/>
    <w:rsid w:val="0095645A"/>
    <w:rPr>
      <w:rFonts w:ascii="Arial" w:hAnsi="Arial" w:cs="Arial"/>
      <w:lang w:val="es-MX"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111">
    <w:name w:val="Sin lista111111"/>
    <w:next w:val="Sinlista"/>
    <w:uiPriority w:val="99"/>
    <w:semiHidden/>
    <w:unhideWhenUsed/>
    <w:rsid w:val="0095645A"/>
  </w:style>
  <w:style w:type="table" w:customStyle="1" w:styleId="Tablaconcuadrcula2-nfasis51">
    <w:name w:val="Tabla con cuadrícula 2 - Énfasis 51"/>
    <w:basedOn w:val="Tablanormal"/>
    <w:uiPriority w:val="47"/>
    <w:rsid w:val="0095645A"/>
    <w:rPr>
      <w:rFonts w:ascii="Calibri" w:eastAsia="Calibri" w:hAnsi="Calibri"/>
    </w:rPr>
    <w:tblPr>
      <w:tblStyleRowBandSize w:val="1"/>
      <w:tblStyleColBandSize w:val="1"/>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4-nfasis11">
    <w:name w:val="Tabla con cuadrícula 4 - Énfasis 11"/>
    <w:basedOn w:val="Tablanormal"/>
    <w:uiPriority w:val="49"/>
    <w:rsid w:val="0095645A"/>
    <w:rPr>
      <w:rFonts w:ascii="Calibri" w:eastAsia="Calibri" w:hAnsi="Calibri"/>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paragraph" w:customStyle="1" w:styleId="WW-Textosinformato">
    <w:name w:val="WW-Texto sin formato"/>
    <w:basedOn w:val="Normal"/>
    <w:qFormat/>
    <w:rsid w:val="0095645A"/>
    <w:pPr>
      <w:widowControl w:val="0"/>
    </w:pPr>
    <w:rPr>
      <w:rFonts w:ascii="Courier New" w:eastAsia="Batang" w:hAnsi="Courier New" w:cs="Courier New"/>
      <w:color w:val="000000"/>
      <w:lang w:val="es-CR" w:eastAsia="es-ES"/>
    </w:rPr>
  </w:style>
  <w:style w:type="paragraph" w:customStyle="1" w:styleId="Pa9">
    <w:name w:val="Pa9"/>
    <w:basedOn w:val="Normal"/>
    <w:next w:val="Normal"/>
    <w:uiPriority w:val="99"/>
    <w:qFormat/>
    <w:rsid w:val="0095645A"/>
    <w:pPr>
      <w:suppressAutoHyphens w:val="0"/>
      <w:autoSpaceDE w:val="0"/>
      <w:autoSpaceDN w:val="0"/>
      <w:adjustRightInd w:val="0"/>
      <w:spacing w:line="201" w:lineRule="atLeast"/>
    </w:pPr>
    <w:rPr>
      <w:lang w:eastAsia="en-US"/>
    </w:rPr>
  </w:style>
  <w:style w:type="paragraph" w:customStyle="1" w:styleId="CarCarCar1Car">
    <w:name w:val="Car Car Car1 Car"/>
    <w:basedOn w:val="Normal"/>
    <w:uiPriority w:val="99"/>
    <w:semiHidden/>
    <w:qFormat/>
    <w:rsid w:val="0095645A"/>
    <w:pPr>
      <w:suppressAutoHyphens w:val="0"/>
      <w:spacing w:after="160" w:line="240" w:lineRule="exact"/>
    </w:pPr>
    <w:rPr>
      <w:rFonts w:ascii="Verdana" w:hAnsi="Verdana" w:cs="Verdana"/>
      <w:sz w:val="20"/>
      <w:szCs w:val="20"/>
      <w:lang w:val="en-AU" w:eastAsia="en-US"/>
    </w:rPr>
  </w:style>
  <w:style w:type="character" w:customStyle="1" w:styleId="spellingerror">
    <w:name w:val="spellingerror"/>
    <w:rsid w:val="0095645A"/>
    <w:rPr>
      <w:rFonts w:cs="Times New Roman"/>
    </w:rPr>
  </w:style>
  <w:style w:type="table" w:styleId="Tablaclsica2">
    <w:name w:val="Table Classic 2"/>
    <w:basedOn w:val="Tablanormal"/>
    <w:rsid w:val="0095645A"/>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ombreadomedio1-nfasis2">
    <w:name w:val="Medium Shading 1 Accent 2"/>
    <w:basedOn w:val="Tablanormal"/>
    <w:uiPriority w:val="63"/>
    <w:rsid w:val="0095645A"/>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Cuadrculavistosa-nfasis5">
    <w:name w:val="Colorful Grid Accent 5"/>
    <w:basedOn w:val="Tablanormal"/>
    <w:uiPriority w:val="73"/>
    <w:rsid w:val="0095645A"/>
    <w:rPr>
      <w:color w:val="000000"/>
    </w:rPr>
    <w:tblPr>
      <w:tblStyleRowBandSize w:val="1"/>
      <w:tblStyleColBandSize w:val="1"/>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Sombreadoclaro-nfasis12">
    <w:name w:val="Sombreado claro - Énfasis 12"/>
    <w:basedOn w:val="Tablanormal"/>
    <w:uiPriority w:val="60"/>
    <w:rsid w:val="0095645A"/>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arCar5CarCarCarCar">
    <w:name w:val="Car Car5 Car Car Car Car"/>
    <w:basedOn w:val="Normal"/>
    <w:uiPriority w:val="99"/>
    <w:semiHidden/>
    <w:qFormat/>
    <w:rsid w:val="0095645A"/>
    <w:pPr>
      <w:suppressAutoHyphens w:val="0"/>
      <w:spacing w:after="160" w:line="240" w:lineRule="exact"/>
    </w:pPr>
    <w:rPr>
      <w:rFonts w:ascii="Verdana" w:hAnsi="Verdana"/>
      <w:sz w:val="20"/>
      <w:szCs w:val="21"/>
      <w:lang w:val="en-AU" w:eastAsia="en-US"/>
    </w:rPr>
  </w:style>
  <w:style w:type="character" w:customStyle="1" w:styleId="breadcrumbspathway">
    <w:name w:val="breadcrumbs pathway"/>
    <w:rsid w:val="0095645A"/>
  </w:style>
  <w:style w:type="character" w:customStyle="1" w:styleId="encabezadoCarCar3">
    <w:name w:val="encabezado Car Car"/>
    <w:rsid w:val="0095645A"/>
    <w:rPr>
      <w:lang w:val="es-ES_tradnl" w:eastAsia="es-ES" w:bidi="ar-SA"/>
    </w:rPr>
  </w:style>
  <w:style w:type="character" w:styleId="Nmerodelnea">
    <w:name w:val="line number"/>
    <w:uiPriority w:val="99"/>
    <w:rsid w:val="0095645A"/>
  </w:style>
  <w:style w:type="character" w:customStyle="1" w:styleId="sppb-panel-title">
    <w:name w:val="sppb-panel-title"/>
    <w:rsid w:val="0095645A"/>
  </w:style>
  <w:style w:type="table" w:customStyle="1" w:styleId="Tablaconcuadrcula1clara-nfasis31">
    <w:name w:val="Tabla con cuadrícula 1 clara - Énfasis 31"/>
    <w:basedOn w:val="Tablanormal"/>
    <w:uiPriority w:val="46"/>
    <w:rsid w:val="0095645A"/>
    <w:rPr>
      <w:rFonts w:ascii="Calibri" w:eastAsia="Calibri" w:hAnsi="Calibri"/>
      <w:sz w:val="24"/>
      <w:szCs w:val="24"/>
      <w:lang w:val="es-ES_tradnl" w:eastAsia="en-US"/>
    </w:rPr>
    <w:tblPr>
      <w:tblStyleRowBandSize w:val="1"/>
      <w:tblStyleColBandSize w:val="1"/>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paragraph" w:customStyle="1" w:styleId="Pa7">
    <w:name w:val="Pa7"/>
    <w:basedOn w:val="Default"/>
    <w:next w:val="Default"/>
    <w:uiPriority w:val="99"/>
    <w:qFormat/>
    <w:rsid w:val="0095645A"/>
  </w:style>
  <w:style w:type="paragraph" w:customStyle="1" w:styleId="Pa8">
    <w:name w:val="Pa8"/>
    <w:basedOn w:val="Default"/>
    <w:next w:val="Default"/>
    <w:uiPriority w:val="99"/>
    <w:qFormat/>
    <w:rsid w:val="0095645A"/>
  </w:style>
  <w:style w:type="paragraph" w:customStyle="1" w:styleId="Pa31">
    <w:name w:val="Pa31"/>
    <w:basedOn w:val="Default"/>
    <w:next w:val="Default"/>
    <w:uiPriority w:val="99"/>
    <w:qFormat/>
    <w:rsid w:val="0095645A"/>
  </w:style>
  <w:style w:type="paragraph" w:customStyle="1" w:styleId="Pa17">
    <w:name w:val="Pa17"/>
    <w:basedOn w:val="Default"/>
    <w:next w:val="Default"/>
    <w:uiPriority w:val="99"/>
    <w:qFormat/>
    <w:rsid w:val="0095645A"/>
  </w:style>
  <w:style w:type="paragraph" w:customStyle="1" w:styleId="Pa43">
    <w:name w:val="Pa43"/>
    <w:basedOn w:val="Default"/>
    <w:next w:val="Default"/>
    <w:uiPriority w:val="99"/>
    <w:qFormat/>
    <w:rsid w:val="0095645A"/>
  </w:style>
  <w:style w:type="table" w:customStyle="1" w:styleId="Listaclara-nfasis11">
    <w:name w:val="Lista clara - Énfasis 11"/>
    <w:basedOn w:val="Tablanormal"/>
    <w:uiPriority w:val="61"/>
    <w:rsid w:val="0095645A"/>
    <w:rPr>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Listaclara1">
    <w:name w:val="Lista clara1"/>
    <w:basedOn w:val="Tablanormal"/>
    <w:uiPriority w:val="61"/>
    <w:rsid w:val="0095645A"/>
    <w:rPr>
      <w:lang w:val="es-MX" w:eastAsia="es-MX"/>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customStyle="1" w:styleId="Sombreadomedio2-nfasis11">
    <w:name w:val="Sombreado medio 2 - Énfasis 11"/>
    <w:basedOn w:val="Tablanormal"/>
    <w:uiPriority w:val="64"/>
    <w:rsid w:val="0095645A"/>
    <w:rPr>
      <w:lang w:val="es-MX" w:eastAsia="es-MX"/>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Cuadrculamedia3-nfasis1">
    <w:name w:val="Medium Grid 3 Accent 1"/>
    <w:basedOn w:val="Tablanormal"/>
    <w:uiPriority w:val="69"/>
    <w:rsid w:val="0095645A"/>
    <w:rPr>
      <w:lang w:val="es-MX" w:eastAsia="es-MX"/>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Cuadrculamedia2-nfasis1">
    <w:name w:val="Medium Grid 2 Accent 1"/>
    <w:basedOn w:val="Tablanormal"/>
    <w:uiPriority w:val="68"/>
    <w:rsid w:val="0095645A"/>
    <w:rPr>
      <w:rFonts w:ascii="Cambria" w:hAnsi="Cambria"/>
      <w:color w:val="000000"/>
      <w:lang w:val="es-MX" w:eastAsia="es-MX"/>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cPr>
      <w:shd w:val="clear" w:color="auto" w:fill="D3DFEE"/>
    </w:tcPr>
    <w:tblStylePr w:type="firstRow">
      <w:rPr>
        <w:b/>
        <w:bCs/>
        <w:color w:val="000000"/>
      </w:rPr>
      <w:tblPr/>
      <w:tcPr>
        <w:shd w:val="clear" w:color="auto" w:fill="EDF2F8"/>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BE5F1"/>
      </w:tcPr>
    </w:tblStylePr>
    <w:tblStylePr w:type="band1Vert">
      <w:tblPr/>
      <w:tcPr>
        <w:shd w:val="clear" w:color="auto" w:fill="A7BFDE"/>
      </w:tcPr>
    </w:tblStylePr>
    <w:tblStylePr w:type="band1Horz">
      <w:tblPr/>
      <w:tcPr>
        <w:tcBorders>
          <w:insideH w:val="single" w:sz="6" w:space="0" w:color="4F81BD"/>
          <w:insideV w:val="single" w:sz="6" w:space="0" w:color="4F81BD"/>
        </w:tcBorders>
        <w:shd w:val="clear" w:color="auto" w:fill="A7BFDE"/>
      </w:tcPr>
    </w:tblStylePr>
    <w:tblStylePr w:type="nwCell">
      <w:tblPr/>
      <w:tcPr>
        <w:shd w:val="clear" w:color="auto" w:fill="FFFFFF"/>
      </w:tcPr>
    </w:tblStylePr>
  </w:style>
  <w:style w:type="paragraph" w:customStyle="1" w:styleId="subtitulo-documento">
    <w:name w:val="subtitulo-documento"/>
    <w:basedOn w:val="Normal"/>
    <w:uiPriority w:val="99"/>
    <w:rsid w:val="0095645A"/>
    <w:pPr>
      <w:suppressAutoHyphens w:val="0"/>
      <w:spacing w:after="173"/>
      <w:jc w:val="center"/>
    </w:pPr>
    <w:rPr>
      <w:lang w:val="es-CR" w:eastAsia="es-CR"/>
    </w:rPr>
  </w:style>
  <w:style w:type="character" w:customStyle="1" w:styleId="informacion-subtitulo3">
    <w:name w:val="informacion-subtitulo3"/>
    <w:rsid w:val="0095645A"/>
  </w:style>
  <w:style w:type="paragraph" w:customStyle="1" w:styleId="xmsoheading7">
    <w:name w:val="x_msoheading7"/>
    <w:basedOn w:val="Normal"/>
    <w:uiPriority w:val="99"/>
    <w:rsid w:val="0095645A"/>
    <w:pPr>
      <w:suppressAutoHyphens w:val="0"/>
    </w:pPr>
    <w:rPr>
      <w:rFonts w:eastAsia="Calibri"/>
      <w:lang w:val="es-CR" w:eastAsia="es-CR"/>
    </w:rPr>
  </w:style>
  <w:style w:type="paragraph" w:customStyle="1" w:styleId="yiv3953724302msoheading7">
    <w:name w:val="yiv3953724302msoheading7"/>
    <w:basedOn w:val="Normal"/>
    <w:rsid w:val="0095645A"/>
    <w:pPr>
      <w:suppressAutoHyphens w:val="0"/>
      <w:spacing w:before="100" w:beforeAutospacing="1" w:after="100" w:afterAutospacing="1"/>
    </w:pPr>
    <w:rPr>
      <w:rFonts w:ascii="Calibri" w:eastAsia="Calibri" w:hAnsi="Calibri" w:cs="Calibri"/>
      <w:sz w:val="22"/>
      <w:szCs w:val="22"/>
      <w:lang w:val="es-CR" w:eastAsia="es-CR"/>
    </w:rPr>
  </w:style>
  <w:style w:type="paragraph" w:customStyle="1" w:styleId="yiv3953724302msonormal">
    <w:name w:val="yiv3953724302msonormal"/>
    <w:basedOn w:val="Normal"/>
    <w:rsid w:val="0095645A"/>
    <w:pPr>
      <w:suppressAutoHyphens w:val="0"/>
      <w:spacing w:before="100" w:beforeAutospacing="1" w:after="100" w:afterAutospacing="1"/>
    </w:pPr>
    <w:rPr>
      <w:rFonts w:ascii="Calibri" w:eastAsia="Calibri" w:hAnsi="Calibri" w:cs="Calibri"/>
      <w:sz w:val="22"/>
      <w:szCs w:val="22"/>
      <w:lang w:val="es-CR" w:eastAsia="es-CR"/>
    </w:rPr>
  </w:style>
  <w:style w:type="table" w:customStyle="1" w:styleId="TableGrid">
    <w:name w:val="TableGrid"/>
    <w:rsid w:val="0095645A"/>
    <w:rPr>
      <w:rFonts w:ascii="Calibri" w:hAnsi="Calibri"/>
      <w:sz w:val="22"/>
      <w:szCs w:val="22"/>
      <w:lang w:val="es-CR" w:eastAsia="es-CR"/>
    </w:rPr>
    <w:tblPr>
      <w:tblCellMar>
        <w:top w:w="0" w:type="dxa"/>
        <w:left w:w="0" w:type="dxa"/>
        <w:bottom w:w="0" w:type="dxa"/>
        <w:right w:w="0" w:type="dxa"/>
      </w:tblCellMar>
    </w:tblPr>
  </w:style>
  <w:style w:type="paragraph" w:customStyle="1" w:styleId="Fuentes">
    <w:name w:val="Fuentes"/>
    <w:basedOn w:val="Normal"/>
    <w:link w:val="FuentesCar"/>
    <w:autoRedefine/>
    <w:qFormat/>
    <w:rsid w:val="0095645A"/>
    <w:pPr>
      <w:suppressAutoHyphens w:val="0"/>
      <w:jc w:val="both"/>
    </w:pPr>
    <w:rPr>
      <w:rFonts w:ascii="Book Antiqua" w:eastAsia="Calibri" w:hAnsi="Book Antiqua"/>
      <w:bCs/>
      <w:i/>
      <w:sz w:val="20"/>
      <w:szCs w:val="22"/>
      <w:lang w:val="es-CR" w:eastAsia="en-US"/>
    </w:rPr>
  </w:style>
  <w:style w:type="character" w:customStyle="1" w:styleId="FuentesCar">
    <w:name w:val="Fuentes Car"/>
    <w:basedOn w:val="Fuentedeprrafopredeter"/>
    <w:link w:val="Fuentes"/>
    <w:rsid w:val="0095645A"/>
    <w:rPr>
      <w:rFonts w:ascii="Book Antiqua" w:eastAsia="Calibri" w:hAnsi="Book Antiqua"/>
      <w:bCs/>
      <w:i/>
      <w:szCs w:val="22"/>
      <w:lang w:val="es-CR" w:eastAsia="en-US"/>
    </w:rPr>
  </w:style>
  <w:style w:type="table" w:customStyle="1" w:styleId="Tablaconcuadrcula6concolores-nfasis11">
    <w:name w:val="Tabla con cuadrícula 6 con colores - Énfasis 11"/>
    <w:basedOn w:val="Tablanormal"/>
    <w:next w:val="Tablaconcuadrcula6concolores-nfasis1"/>
    <w:uiPriority w:val="51"/>
    <w:rsid w:val="0095645A"/>
    <w:rPr>
      <w:rFonts w:ascii="Calibri" w:eastAsia="Calibri" w:hAnsi="Calibri"/>
      <w:color w:val="2E74B5"/>
      <w:sz w:val="22"/>
      <w:szCs w:val="22"/>
      <w:lang w:val="es-CR"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rPr>
      <w:tblPr/>
      <w:tcPr>
        <w:tcBorders>
          <w:bottom w:val="single" w:sz="12" w:space="0" w:color="9CC2E5"/>
        </w:tcBorders>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mark4spzsibgc">
    <w:name w:val="mark4spzsibgc"/>
    <w:basedOn w:val="Fuentedeprrafopredeter"/>
    <w:rsid w:val="0095645A"/>
  </w:style>
  <w:style w:type="paragraph" w:customStyle="1" w:styleId="TCuadros">
    <w:name w:val="TCuadros"/>
    <w:basedOn w:val="Normal"/>
    <w:link w:val="TCuadrosCar"/>
    <w:qFormat/>
    <w:rsid w:val="0095645A"/>
    <w:pPr>
      <w:suppressAutoHyphens w:val="0"/>
      <w:jc w:val="center"/>
    </w:pPr>
    <w:rPr>
      <w:rFonts w:ascii="Book Antiqua" w:hAnsi="Book Antiqua"/>
      <w:b/>
      <w:bCs/>
      <w:sz w:val="22"/>
      <w:szCs w:val="20"/>
      <w:lang w:val="es-CR" w:eastAsia="es-ES"/>
    </w:rPr>
  </w:style>
  <w:style w:type="paragraph" w:customStyle="1" w:styleId="FUENTES0">
    <w:name w:val="FUENTES"/>
    <w:basedOn w:val="Normal"/>
    <w:link w:val="FUENTESCar0"/>
    <w:qFormat/>
    <w:rsid w:val="0095645A"/>
    <w:pPr>
      <w:suppressAutoHyphens w:val="0"/>
      <w:jc w:val="both"/>
    </w:pPr>
    <w:rPr>
      <w:rFonts w:ascii="Book Antiqua" w:hAnsi="Book Antiqua"/>
      <w:b/>
      <w:bCs/>
      <w:sz w:val="22"/>
      <w:szCs w:val="22"/>
      <w:lang w:val="es-CR" w:eastAsia="es-CR"/>
    </w:rPr>
  </w:style>
  <w:style w:type="character" w:customStyle="1" w:styleId="TCuadrosCar">
    <w:name w:val="TCuadros Car"/>
    <w:basedOn w:val="Fuentedeprrafopredeter"/>
    <w:link w:val="TCuadros"/>
    <w:rsid w:val="0095645A"/>
    <w:rPr>
      <w:rFonts w:ascii="Book Antiqua" w:hAnsi="Book Antiqua"/>
      <w:b/>
      <w:bCs/>
      <w:sz w:val="22"/>
      <w:lang w:val="es-CR"/>
    </w:rPr>
  </w:style>
  <w:style w:type="character" w:customStyle="1" w:styleId="FUENTESCar0">
    <w:name w:val="FUENTES Car"/>
    <w:basedOn w:val="Fuentedeprrafopredeter"/>
    <w:link w:val="FUENTES0"/>
    <w:rsid w:val="0095645A"/>
    <w:rPr>
      <w:rFonts w:ascii="Book Antiqua" w:hAnsi="Book Antiqua"/>
      <w:b/>
      <w:bCs/>
      <w:sz w:val="22"/>
      <w:szCs w:val="22"/>
      <w:lang w:val="es-CR" w:eastAsia="es-CR"/>
    </w:rPr>
  </w:style>
  <w:style w:type="paragraph" w:customStyle="1" w:styleId="PredeterminadoLTUntertitel">
    <w:name w:val="Predeterminado~LT~Untertitel"/>
    <w:basedOn w:val="Normal"/>
    <w:uiPriority w:val="99"/>
    <w:rsid w:val="0095645A"/>
    <w:pPr>
      <w:suppressAutoHyphens w:val="0"/>
      <w:autoSpaceDE w:val="0"/>
      <w:autoSpaceDN w:val="0"/>
      <w:jc w:val="center"/>
    </w:pPr>
    <w:rPr>
      <w:rFonts w:ascii="Arial Unicode MS" w:eastAsia="Arial Unicode MS" w:hAnsi="Arial Unicode MS" w:cs="Arial Unicode MS"/>
      <w:sz w:val="64"/>
      <w:szCs w:val="64"/>
      <w:lang w:val="es-CR" w:eastAsia="es-CR"/>
    </w:rPr>
  </w:style>
  <w:style w:type="paragraph" w:customStyle="1" w:styleId="Listaconnmeros22">
    <w:name w:val="Lista con números 22"/>
    <w:basedOn w:val="Normal"/>
    <w:uiPriority w:val="99"/>
    <w:qFormat/>
    <w:rsid w:val="0095645A"/>
    <w:pPr>
      <w:numPr>
        <w:numId w:val="33"/>
      </w:numPr>
      <w:suppressAutoHyphens w:val="0"/>
      <w:ind w:left="0" w:firstLine="0"/>
    </w:pPr>
    <w:rPr>
      <w:rFonts w:eastAsia="Calibri"/>
      <w:lang w:val="es-CR" w:eastAsia="zh-CN"/>
    </w:rPr>
  </w:style>
  <w:style w:type="paragraph" w:customStyle="1" w:styleId="Ttulo540">
    <w:name w:val="Título 54"/>
    <w:next w:val="Normal"/>
    <w:rsid w:val="0095645A"/>
    <w:pPr>
      <w:keepNext/>
      <w:widowControl w:val="0"/>
      <w:tabs>
        <w:tab w:val="left" w:pos="0"/>
      </w:tabs>
      <w:suppressAutoHyphens/>
      <w:jc w:val="center"/>
    </w:pPr>
    <w:rPr>
      <w:rFonts w:eastAsia="Lucida Sans Unicode"/>
      <w:b/>
      <w:bCs/>
      <w:i/>
      <w:iCs/>
      <w:sz w:val="26"/>
      <w:szCs w:val="26"/>
      <w:u w:val="single"/>
      <w:shd w:val="clear" w:color="auto" w:fill="FFFFFF"/>
      <w:lang w:eastAsia="ar-SA"/>
    </w:rPr>
  </w:style>
  <w:style w:type="character" w:customStyle="1" w:styleId="RTFNum121">
    <w:name w:val="RTF_Num 12 1"/>
    <w:uiPriority w:val="99"/>
    <w:rsid w:val="0095645A"/>
    <w:rPr>
      <w:rFonts w:ascii="Symbol" w:hAnsi="Symbol"/>
      <w:sz w:val="20"/>
    </w:rPr>
  </w:style>
  <w:style w:type="character" w:customStyle="1" w:styleId="RTFNum123">
    <w:name w:val="RTF_Num 12 3"/>
    <w:uiPriority w:val="99"/>
    <w:rsid w:val="0095645A"/>
    <w:rPr>
      <w:rFonts w:ascii="Wingdings" w:hAnsi="Wingdings"/>
      <w:sz w:val="20"/>
    </w:rPr>
  </w:style>
  <w:style w:type="character" w:customStyle="1" w:styleId="RTFNum124">
    <w:name w:val="RTF_Num 12 4"/>
    <w:uiPriority w:val="99"/>
    <w:rsid w:val="0095645A"/>
    <w:rPr>
      <w:rFonts w:ascii="Wingdings" w:hAnsi="Wingdings"/>
      <w:sz w:val="20"/>
    </w:rPr>
  </w:style>
  <w:style w:type="character" w:customStyle="1" w:styleId="RTFNum125">
    <w:name w:val="RTF_Num 12 5"/>
    <w:uiPriority w:val="99"/>
    <w:rsid w:val="0095645A"/>
    <w:rPr>
      <w:rFonts w:ascii="Wingdings" w:hAnsi="Wingdings"/>
      <w:sz w:val="20"/>
    </w:rPr>
  </w:style>
  <w:style w:type="character" w:customStyle="1" w:styleId="RTFNum126">
    <w:name w:val="RTF_Num 12 6"/>
    <w:uiPriority w:val="99"/>
    <w:rsid w:val="0095645A"/>
    <w:rPr>
      <w:rFonts w:ascii="Wingdings" w:hAnsi="Wingdings"/>
      <w:sz w:val="20"/>
    </w:rPr>
  </w:style>
  <w:style w:type="character" w:customStyle="1" w:styleId="RTFNum127">
    <w:name w:val="RTF_Num 12 7"/>
    <w:uiPriority w:val="99"/>
    <w:rsid w:val="0095645A"/>
    <w:rPr>
      <w:rFonts w:ascii="Wingdings" w:hAnsi="Wingdings"/>
      <w:sz w:val="20"/>
    </w:rPr>
  </w:style>
  <w:style w:type="character" w:customStyle="1" w:styleId="RTFNum128">
    <w:name w:val="RTF_Num 12 8"/>
    <w:uiPriority w:val="99"/>
    <w:rsid w:val="0095645A"/>
    <w:rPr>
      <w:rFonts w:ascii="Wingdings" w:hAnsi="Wingdings"/>
      <w:sz w:val="20"/>
    </w:rPr>
  </w:style>
  <w:style w:type="character" w:customStyle="1" w:styleId="RTFNum129">
    <w:name w:val="RTF_Num 12 9"/>
    <w:uiPriority w:val="99"/>
    <w:rsid w:val="0095645A"/>
    <w:rPr>
      <w:rFonts w:ascii="Wingdings" w:hAnsi="Wingdings"/>
      <w:sz w:val="20"/>
    </w:rPr>
  </w:style>
  <w:style w:type="character" w:customStyle="1" w:styleId="RTFNum281">
    <w:name w:val="RTF_Num 28 1"/>
    <w:uiPriority w:val="99"/>
    <w:rsid w:val="0095645A"/>
    <w:rPr>
      <w:rFonts w:ascii="Symbol" w:hAnsi="Symbol"/>
      <w:sz w:val="20"/>
    </w:rPr>
  </w:style>
  <w:style w:type="character" w:customStyle="1" w:styleId="RTFNum283">
    <w:name w:val="RTF_Num 28 3"/>
    <w:uiPriority w:val="99"/>
    <w:rsid w:val="0095645A"/>
    <w:rPr>
      <w:rFonts w:ascii="Wingdings" w:hAnsi="Wingdings"/>
      <w:sz w:val="20"/>
    </w:rPr>
  </w:style>
  <w:style w:type="character" w:customStyle="1" w:styleId="RTFNum284">
    <w:name w:val="RTF_Num 28 4"/>
    <w:uiPriority w:val="99"/>
    <w:rsid w:val="0095645A"/>
    <w:rPr>
      <w:rFonts w:ascii="Wingdings" w:hAnsi="Wingdings"/>
      <w:sz w:val="20"/>
    </w:rPr>
  </w:style>
  <w:style w:type="character" w:customStyle="1" w:styleId="RTFNum285">
    <w:name w:val="RTF_Num 28 5"/>
    <w:uiPriority w:val="99"/>
    <w:rsid w:val="0095645A"/>
    <w:rPr>
      <w:rFonts w:ascii="Wingdings" w:hAnsi="Wingdings"/>
      <w:sz w:val="20"/>
    </w:rPr>
  </w:style>
  <w:style w:type="character" w:customStyle="1" w:styleId="RTFNum286">
    <w:name w:val="RTF_Num 28 6"/>
    <w:uiPriority w:val="99"/>
    <w:rsid w:val="0095645A"/>
    <w:rPr>
      <w:rFonts w:ascii="Wingdings" w:hAnsi="Wingdings"/>
      <w:sz w:val="20"/>
    </w:rPr>
  </w:style>
  <w:style w:type="character" w:customStyle="1" w:styleId="RTFNum287">
    <w:name w:val="RTF_Num 28 7"/>
    <w:uiPriority w:val="99"/>
    <w:rsid w:val="0095645A"/>
    <w:rPr>
      <w:rFonts w:ascii="Wingdings" w:hAnsi="Wingdings"/>
      <w:sz w:val="20"/>
    </w:rPr>
  </w:style>
  <w:style w:type="character" w:customStyle="1" w:styleId="RTFNum288">
    <w:name w:val="RTF_Num 28 8"/>
    <w:uiPriority w:val="99"/>
    <w:rsid w:val="0095645A"/>
    <w:rPr>
      <w:rFonts w:ascii="Wingdings" w:hAnsi="Wingdings"/>
      <w:sz w:val="20"/>
    </w:rPr>
  </w:style>
  <w:style w:type="character" w:customStyle="1" w:styleId="RTFNum289">
    <w:name w:val="RTF_Num 28 9"/>
    <w:uiPriority w:val="99"/>
    <w:rsid w:val="0095645A"/>
    <w:rPr>
      <w:rFonts w:ascii="Wingdings" w:hAnsi="Wingdings"/>
      <w:sz w:val="20"/>
    </w:rPr>
  </w:style>
  <w:style w:type="character" w:customStyle="1" w:styleId="RTFNum331">
    <w:name w:val="RTF_Num 33 1"/>
    <w:uiPriority w:val="99"/>
    <w:rsid w:val="0095645A"/>
    <w:rPr>
      <w:rFonts w:ascii="Symbol" w:hAnsi="Symbol"/>
      <w:sz w:val="20"/>
    </w:rPr>
  </w:style>
  <w:style w:type="character" w:customStyle="1" w:styleId="RTFNum333">
    <w:name w:val="RTF_Num 33 3"/>
    <w:uiPriority w:val="99"/>
    <w:rsid w:val="0095645A"/>
    <w:rPr>
      <w:rFonts w:ascii="Wingdings" w:hAnsi="Wingdings"/>
      <w:sz w:val="20"/>
    </w:rPr>
  </w:style>
  <w:style w:type="character" w:customStyle="1" w:styleId="RTFNum334">
    <w:name w:val="RTF_Num 33 4"/>
    <w:uiPriority w:val="99"/>
    <w:rsid w:val="0095645A"/>
    <w:rPr>
      <w:rFonts w:ascii="Wingdings" w:hAnsi="Wingdings"/>
      <w:sz w:val="20"/>
    </w:rPr>
  </w:style>
  <w:style w:type="character" w:customStyle="1" w:styleId="RTFNum335">
    <w:name w:val="RTF_Num 33 5"/>
    <w:uiPriority w:val="99"/>
    <w:rsid w:val="0095645A"/>
    <w:rPr>
      <w:rFonts w:ascii="Wingdings" w:hAnsi="Wingdings"/>
      <w:sz w:val="20"/>
    </w:rPr>
  </w:style>
  <w:style w:type="character" w:customStyle="1" w:styleId="RTFNum336">
    <w:name w:val="RTF_Num 33 6"/>
    <w:uiPriority w:val="99"/>
    <w:rsid w:val="0095645A"/>
    <w:rPr>
      <w:rFonts w:ascii="Wingdings" w:hAnsi="Wingdings"/>
      <w:sz w:val="20"/>
    </w:rPr>
  </w:style>
  <w:style w:type="character" w:customStyle="1" w:styleId="RTFNum337">
    <w:name w:val="RTF_Num 33 7"/>
    <w:uiPriority w:val="99"/>
    <w:rsid w:val="0095645A"/>
    <w:rPr>
      <w:rFonts w:ascii="Wingdings" w:hAnsi="Wingdings"/>
      <w:sz w:val="20"/>
    </w:rPr>
  </w:style>
  <w:style w:type="character" w:customStyle="1" w:styleId="RTFNum338">
    <w:name w:val="RTF_Num 33 8"/>
    <w:uiPriority w:val="99"/>
    <w:rsid w:val="0095645A"/>
    <w:rPr>
      <w:rFonts w:ascii="Wingdings" w:hAnsi="Wingdings"/>
      <w:sz w:val="20"/>
    </w:rPr>
  </w:style>
  <w:style w:type="character" w:customStyle="1" w:styleId="RTFNum339">
    <w:name w:val="RTF_Num 33 9"/>
    <w:uiPriority w:val="99"/>
    <w:rsid w:val="0095645A"/>
    <w:rPr>
      <w:rFonts w:ascii="Wingdings" w:hAnsi="Wingdings"/>
      <w:sz w:val="20"/>
    </w:rPr>
  </w:style>
  <w:style w:type="character" w:customStyle="1" w:styleId="RTFNum341">
    <w:name w:val="RTF_Num 34 1"/>
    <w:uiPriority w:val="99"/>
    <w:rsid w:val="0095645A"/>
    <w:rPr>
      <w:rFonts w:ascii="Symbol" w:hAnsi="Symbol"/>
      <w:sz w:val="20"/>
    </w:rPr>
  </w:style>
  <w:style w:type="character" w:customStyle="1" w:styleId="RTFNum343">
    <w:name w:val="RTF_Num 34 3"/>
    <w:uiPriority w:val="99"/>
    <w:rsid w:val="0095645A"/>
    <w:rPr>
      <w:rFonts w:ascii="Wingdings" w:hAnsi="Wingdings"/>
      <w:sz w:val="20"/>
    </w:rPr>
  </w:style>
  <w:style w:type="character" w:customStyle="1" w:styleId="RTFNum344">
    <w:name w:val="RTF_Num 34 4"/>
    <w:uiPriority w:val="99"/>
    <w:rsid w:val="0095645A"/>
    <w:rPr>
      <w:rFonts w:ascii="Wingdings" w:hAnsi="Wingdings"/>
      <w:sz w:val="20"/>
    </w:rPr>
  </w:style>
  <w:style w:type="character" w:customStyle="1" w:styleId="RTFNum345">
    <w:name w:val="RTF_Num 34 5"/>
    <w:uiPriority w:val="99"/>
    <w:rsid w:val="0095645A"/>
    <w:rPr>
      <w:rFonts w:ascii="Wingdings" w:hAnsi="Wingdings"/>
      <w:sz w:val="20"/>
    </w:rPr>
  </w:style>
  <w:style w:type="character" w:customStyle="1" w:styleId="RTFNum346">
    <w:name w:val="RTF_Num 34 6"/>
    <w:uiPriority w:val="99"/>
    <w:rsid w:val="0095645A"/>
    <w:rPr>
      <w:rFonts w:ascii="Wingdings" w:hAnsi="Wingdings"/>
      <w:sz w:val="20"/>
    </w:rPr>
  </w:style>
  <w:style w:type="character" w:customStyle="1" w:styleId="RTFNum347">
    <w:name w:val="RTF_Num 34 7"/>
    <w:uiPriority w:val="99"/>
    <w:rsid w:val="0095645A"/>
    <w:rPr>
      <w:rFonts w:ascii="Wingdings" w:hAnsi="Wingdings"/>
      <w:sz w:val="20"/>
    </w:rPr>
  </w:style>
  <w:style w:type="character" w:customStyle="1" w:styleId="RTFNum348">
    <w:name w:val="RTF_Num 34 8"/>
    <w:uiPriority w:val="99"/>
    <w:rsid w:val="0095645A"/>
    <w:rPr>
      <w:rFonts w:ascii="Wingdings" w:hAnsi="Wingdings"/>
      <w:sz w:val="20"/>
    </w:rPr>
  </w:style>
  <w:style w:type="character" w:customStyle="1" w:styleId="RTFNum349">
    <w:name w:val="RTF_Num 34 9"/>
    <w:uiPriority w:val="99"/>
    <w:rsid w:val="0095645A"/>
    <w:rPr>
      <w:rFonts w:ascii="Wingdings" w:hAnsi="Wingdings"/>
      <w:sz w:val="20"/>
    </w:rPr>
  </w:style>
  <w:style w:type="character" w:customStyle="1" w:styleId="RTFNum371">
    <w:name w:val="RTF_Num 37 1"/>
    <w:uiPriority w:val="99"/>
    <w:rsid w:val="0095645A"/>
    <w:rPr>
      <w:rFonts w:ascii="Symbol" w:hAnsi="Symbol"/>
      <w:sz w:val="20"/>
    </w:rPr>
  </w:style>
  <w:style w:type="character" w:customStyle="1" w:styleId="RTFNum373">
    <w:name w:val="RTF_Num 37 3"/>
    <w:uiPriority w:val="99"/>
    <w:rsid w:val="0095645A"/>
    <w:rPr>
      <w:rFonts w:ascii="Wingdings" w:hAnsi="Wingdings"/>
      <w:sz w:val="20"/>
    </w:rPr>
  </w:style>
  <w:style w:type="character" w:customStyle="1" w:styleId="RTFNum374">
    <w:name w:val="RTF_Num 37 4"/>
    <w:uiPriority w:val="99"/>
    <w:rsid w:val="0095645A"/>
    <w:rPr>
      <w:rFonts w:ascii="Wingdings" w:hAnsi="Wingdings"/>
      <w:sz w:val="20"/>
    </w:rPr>
  </w:style>
  <w:style w:type="character" w:customStyle="1" w:styleId="RTFNum375">
    <w:name w:val="RTF_Num 37 5"/>
    <w:uiPriority w:val="99"/>
    <w:rsid w:val="0095645A"/>
    <w:rPr>
      <w:rFonts w:ascii="Wingdings" w:hAnsi="Wingdings"/>
      <w:sz w:val="20"/>
    </w:rPr>
  </w:style>
  <w:style w:type="character" w:customStyle="1" w:styleId="RTFNum376">
    <w:name w:val="RTF_Num 37 6"/>
    <w:uiPriority w:val="99"/>
    <w:rsid w:val="0095645A"/>
    <w:rPr>
      <w:rFonts w:ascii="Wingdings" w:hAnsi="Wingdings"/>
      <w:sz w:val="20"/>
    </w:rPr>
  </w:style>
  <w:style w:type="character" w:customStyle="1" w:styleId="RTFNum377">
    <w:name w:val="RTF_Num 37 7"/>
    <w:uiPriority w:val="99"/>
    <w:rsid w:val="0095645A"/>
    <w:rPr>
      <w:rFonts w:ascii="Wingdings" w:hAnsi="Wingdings"/>
      <w:sz w:val="20"/>
    </w:rPr>
  </w:style>
  <w:style w:type="character" w:customStyle="1" w:styleId="RTFNum378">
    <w:name w:val="RTF_Num 37 8"/>
    <w:uiPriority w:val="99"/>
    <w:rsid w:val="0095645A"/>
    <w:rPr>
      <w:rFonts w:ascii="Wingdings" w:hAnsi="Wingdings"/>
      <w:sz w:val="20"/>
    </w:rPr>
  </w:style>
  <w:style w:type="character" w:customStyle="1" w:styleId="RTFNum379">
    <w:name w:val="RTF_Num 37 9"/>
    <w:uiPriority w:val="99"/>
    <w:rsid w:val="0095645A"/>
    <w:rPr>
      <w:rFonts w:ascii="Wingdings" w:hAnsi="Wingdings"/>
      <w:sz w:val="20"/>
    </w:rPr>
  </w:style>
  <w:style w:type="character" w:customStyle="1" w:styleId="RTFNum451">
    <w:name w:val="RTF_Num 45 1"/>
    <w:uiPriority w:val="99"/>
    <w:rsid w:val="0095645A"/>
    <w:rPr>
      <w:rFonts w:ascii="Symbol" w:hAnsi="Symbol"/>
      <w:sz w:val="20"/>
    </w:rPr>
  </w:style>
  <w:style w:type="character" w:customStyle="1" w:styleId="RTFNum453">
    <w:name w:val="RTF_Num 45 3"/>
    <w:uiPriority w:val="99"/>
    <w:rsid w:val="0095645A"/>
    <w:rPr>
      <w:rFonts w:ascii="Wingdings" w:hAnsi="Wingdings"/>
      <w:sz w:val="20"/>
    </w:rPr>
  </w:style>
  <w:style w:type="character" w:customStyle="1" w:styleId="RTFNum454">
    <w:name w:val="RTF_Num 45 4"/>
    <w:uiPriority w:val="99"/>
    <w:rsid w:val="0095645A"/>
    <w:rPr>
      <w:rFonts w:ascii="Wingdings" w:hAnsi="Wingdings"/>
      <w:sz w:val="20"/>
    </w:rPr>
  </w:style>
  <w:style w:type="character" w:customStyle="1" w:styleId="RTFNum455">
    <w:name w:val="RTF_Num 45 5"/>
    <w:uiPriority w:val="99"/>
    <w:rsid w:val="0095645A"/>
    <w:rPr>
      <w:rFonts w:ascii="Wingdings" w:hAnsi="Wingdings"/>
      <w:sz w:val="20"/>
    </w:rPr>
  </w:style>
  <w:style w:type="character" w:customStyle="1" w:styleId="RTFNum456">
    <w:name w:val="RTF_Num 45 6"/>
    <w:uiPriority w:val="99"/>
    <w:rsid w:val="0095645A"/>
    <w:rPr>
      <w:rFonts w:ascii="Wingdings" w:hAnsi="Wingdings"/>
      <w:sz w:val="20"/>
    </w:rPr>
  </w:style>
  <w:style w:type="character" w:customStyle="1" w:styleId="RTFNum457">
    <w:name w:val="RTF_Num 45 7"/>
    <w:uiPriority w:val="99"/>
    <w:rsid w:val="0095645A"/>
    <w:rPr>
      <w:rFonts w:ascii="Wingdings" w:hAnsi="Wingdings"/>
      <w:sz w:val="20"/>
    </w:rPr>
  </w:style>
  <w:style w:type="character" w:customStyle="1" w:styleId="RTFNum458">
    <w:name w:val="RTF_Num 45 8"/>
    <w:uiPriority w:val="99"/>
    <w:rsid w:val="0095645A"/>
    <w:rPr>
      <w:rFonts w:ascii="Wingdings" w:hAnsi="Wingdings"/>
      <w:sz w:val="20"/>
    </w:rPr>
  </w:style>
  <w:style w:type="character" w:customStyle="1" w:styleId="RTFNum459">
    <w:name w:val="RTF_Num 45 9"/>
    <w:uiPriority w:val="99"/>
    <w:rsid w:val="0095645A"/>
    <w:rPr>
      <w:rFonts w:ascii="Wingdings" w:hAnsi="Wingdings"/>
      <w:sz w:val="20"/>
    </w:rPr>
  </w:style>
  <w:style w:type="character" w:customStyle="1" w:styleId="RTFNum481">
    <w:name w:val="RTF_Num 48 1"/>
    <w:uiPriority w:val="99"/>
    <w:rsid w:val="0095645A"/>
    <w:rPr>
      <w:rFonts w:ascii="Symbol" w:hAnsi="Symbol"/>
      <w:sz w:val="20"/>
    </w:rPr>
  </w:style>
  <w:style w:type="character" w:customStyle="1" w:styleId="RTFNum483">
    <w:name w:val="RTF_Num 48 3"/>
    <w:uiPriority w:val="99"/>
    <w:rsid w:val="0095645A"/>
    <w:rPr>
      <w:rFonts w:ascii="Wingdings" w:hAnsi="Wingdings"/>
      <w:sz w:val="20"/>
    </w:rPr>
  </w:style>
  <w:style w:type="character" w:customStyle="1" w:styleId="RTFNum484">
    <w:name w:val="RTF_Num 48 4"/>
    <w:uiPriority w:val="99"/>
    <w:rsid w:val="0095645A"/>
    <w:rPr>
      <w:rFonts w:ascii="Wingdings" w:hAnsi="Wingdings"/>
      <w:sz w:val="20"/>
    </w:rPr>
  </w:style>
  <w:style w:type="character" w:customStyle="1" w:styleId="RTFNum485">
    <w:name w:val="RTF_Num 48 5"/>
    <w:uiPriority w:val="99"/>
    <w:rsid w:val="0095645A"/>
    <w:rPr>
      <w:rFonts w:ascii="Wingdings" w:hAnsi="Wingdings"/>
      <w:sz w:val="20"/>
    </w:rPr>
  </w:style>
  <w:style w:type="character" w:customStyle="1" w:styleId="RTFNum486">
    <w:name w:val="RTF_Num 48 6"/>
    <w:uiPriority w:val="99"/>
    <w:rsid w:val="0095645A"/>
    <w:rPr>
      <w:rFonts w:ascii="Wingdings" w:hAnsi="Wingdings"/>
      <w:sz w:val="20"/>
    </w:rPr>
  </w:style>
  <w:style w:type="character" w:customStyle="1" w:styleId="RTFNum487">
    <w:name w:val="RTF_Num 48 7"/>
    <w:uiPriority w:val="99"/>
    <w:rsid w:val="0095645A"/>
    <w:rPr>
      <w:rFonts w:ascii="Wingdings" w:hAnsi="Wingdings"/>
      <w:sz w:val="20"/>
    </w:rPr>
  </w:style>
  <w:style w:type="character" w:customStyle="1" w:styleId="RTFNum488">
    <w:name w:val="RTF_Num 48 8"/>
    <w:uiPriority w:val="99"/>
    <w:rsid w:val="0095645A"/>
    <w:rPr>
      <w:rFonts w:ascii="Wingdings" w:hAnsi="Wingdings"/>
      <w:sz w:val="20"/>
    </w:rPr>
  </w:style>
  <w:style w:type="character" w:customStyle="1" w:styleId="RTFNum489">
    <w:name w:val="RTF_Num 48 9"/>
    <w:uiPriority w:val="99"/>
    <w:rsid w:val="0095645A"/>
    <w:rPr>
      <w:rFonts w:ascii="Wingdings" w:hAnsi="Wingdings"/>
      <w:sz w:val="20"/>
    </w:rPr>
  </w:style>
  <w:style w:type="character" w:customStyle="1" w:styleId="A00">
    <w:name w:val="A0"/>
    <w:rsid w:val="0095645A"/>
    <w:rPr>
      <w:color w:val="000000"/>
      <w:sz w:val="20"/>
    </w:rPr>
  </w:style>
  <w:style w:type="character" w:customStyle="1" w:styleId="WW-Caracteresdenotafinal">
    <w:name w:val="WW-Caracteres de nota final"/>
    <w:rsid w:val="0095645A"/>
  </w:style>
  <w:style w:type="character" w:customStyle="1" w:styleId="Refdenotaalpie2">
    <w:name w:val="Ref. de nota al pie2"/>
    <w:rsid w:val="0095645A"/>
    <w:rPr>
      <w:vertAlign w:val="superscript"/>
    </w:rPr>
  </w:style>
  <w:style w:type="character" w:customStyle="1" w:styleId="Refdenotaalfinal1">
    <w:name w:val="Ref. de nota al final1"/>
    <w:rsid w:val="0095645A"/>
    <w:rPr>
      <w:vertAlign w:val="superscript"/>
    </w:rPr>
  </w:style>
  <w:style w:type="character" w:customStyle="1" w:styleId="WW-RTFNum41">
    <w:name w:val="WW-RTF_Num 4 1"/>
    <w:rsid w:val="0095645A"/>
    <w:rPr>
      <w:rFonts w:ascii="Symbol" w:hAnsi="Symbol"/>
      <w:sz w:val="20"/>
    </w:rPr>
  </w:style>
  <w:style w:type="character" w:customStyle="1" w:styleId="WW-RTFNum42">
    <w:name w:val="WW-RTF_Num 4 2"/>
    <w:rsid w:val="0095645A"/>
    <w:rPr>
      <w:rFonts w:ascii="Courier New" w:hAnsi="Courier New"/>
      <w:sz w:val="20"/>
    </w:rPr>
  </w:style>
  <w:style w:type="character" w:customStyle="1" w:styleId="WW-RTFNum43">
    <w:name w:val="WW-RTF_Num 4 3"/>
    <w:rsid w:val="0095645A"/>
    <w:rPr>
      <w:rFonts w:ascii="Wingdings" w:hAnsi="Wingdings"/>
      <w:sz w:val="20"/>
    </w:rPr>
  </w:style>
  <w:style w:type="character" w:customStyle="1" w:styleId="WW-RTFNum44">
    <w:name w:val="WW-RTF_Num 4 4"/>
    <w:rsid w:val="0095645A"/>
    <w:rPr>
      <w:rFonts w:ascii="Wingdings" w:hAnsi="Wingdings"/>
      <w:sz w:val="20"/>
    </w:rPr>
  </w:style>
  <w:style w:type="character" w:customStyle="1" w:styleId="WW-RTFNum45">
    <w:name w:val="WW-RTF_Num 4 5"/>
    <w:rsid w:val="0095645A"/>
    <w:rPr>
      <w:rFonts w:ascii="Wingdings" w:hAnsi="Wingdings"/>
      <w:sz w:val="20"/>
    </w:rPr>
  </w:style>
  <w:style w:type="character" w:customStyle="1" w:styleId="WW-RTFNum46">
    <w:name w:val="WW-RTF_Num 4 6"/>
    <w:rsid w:val="0095645A"/>
    <w:rPr>
      <w:rFonts w:ascii="Wingdings" w:hAnsi="Wingdings"/>
      <w:sz w:val="20"/>
    </w:rPr>
  </w:style>
  <w:style w:type="character" w:customStyle="1" w:styleId="WW-RTFNum47">
    <w:name w:val="WW-RTF_Num 4 7"/>
    <w:rsid w:val="0095645A"/>
    <w:rPr>
      <w:rFonts w:ascii="Wingdings" w:hAnsi="Wingdings"/>
      <w:sz w:val="20"/>
    </w:rPr>
  </w:style>
  <w:style w:type="character" w:customStyle="1" w:styleId="WW-RTFNum48">
    <w:name w:val="WW-RTF_Num 4 8"/>
    <w:rsid w:val="0095645A"/>
    <w:rPr>
      <w:rFonts w:ascii="Wingdings" w:hAnsi="Wingdings"/>
      <w:sz w:val="20"/>
    </w:rPr>
  </w:style>
  <w:style w:type="character" w:customStyle="1" w:styleId="WW-RTFNum49">
    <w:name w:val="WW-RTF_Num 4 9"/>
    <w:rsid w:val="0095645A"/>
    <w:rPr>
      <w:rFonts w:ascii="Wingdings" w:hAnsi="Wingdings"/>
      <w:sz w:val="20"/>
    </w:rPr>
  </w:style>
  <w:style w:type="character" w:customStyle="1" w:styleId="WW-RTFNum121">
    <w:name w:val="WW-RTF_Num 12 1"/>
    <w:uiPriority w:val="99"/>
    <w:rsid w:val="0095645A"/>
    <w:rPr>
      <w:rFonts w:ascii="Symbol" w:hAnsi="Symbol"/>
      <w:sz w:val="20"/>
    </w:rPr>
  </w:style>
  <w:style w:type="character" w:customStyle="1" w:styleId="WW-RTFNum122">
    <w:name w:val="WW-RTF_Num 12 2"/>
    <w:uiPriority w:val="99"/>
    <w:rsid w:val="0095645A"/>
    <w:rPr>
      <w:rFonts w:ascii="Courier New" w:hAnsi="Courier New"/>
      <w:sz w:val="20"/>
    </w:rPr>
  </w:style>
  <w:style w:type="character" w:customStyle="1" w:styleId="WW-RTFNum123">
    <w:name w:val="WW-RTF_Num 12 3"/>
    <w:uiPriority w:val="99"/>
    <w:rsid w:val="0095645A"/>
    <w:rPr>
      <w:rFonts w:ascii="Wingdings" w:hAnsi="Wingdings"/>
      <w:sz w:val="20"/>
    </w:rPr>
  </w:style>
  <w:style w:type="character" w:customStyle="1" w:styleId="WW-RTFNum124">
    <w:name w:val="WW-RTF_Num 12 4"/>
    <w:uiPriority w:val="99"/>
    <w:rsid w:val="0095645A"/>
    <w:rPr>
      <w:rFonts w:ascii="Wingdings" w:hAnsi="Wingdings"/>
      <w:sz w:val="20"/>
    </w:rPr>
  </w:style>
  <w:style w:type="character" w:customStyle="1" w:styleId="WW-RTFNum125">
    <w:name w:val="WW-RTF_Num 12 5"/>
    <w:uiPriority w:val="99"/>
    <w:rsid w:val="0095645A"/>
    <w:rPr>
      <w:rFonts w:ascii="Wingdings" w:hAnsi="Wingdings"/>
      <w:sz w:val="20"/>
    </w:rPr>
  </w:style>
  <w:style w:type="character" w:customStyle="1" w:styleId="WW-RTFNum126">
    <w:name w:val="WW-RTF_Num 12 6"/>
    <w:uiPriority w:val="99"/>
    <w:rsid w:val="0095645A"/>
    <w:rPr>
      <w:rFonts w:ascii="Wingdings" w:hAnsi="Wingdings"/>
      <w:sz w:val="20"/>
    </w:rPr>
  </w:style>
  <w:style w:type="character" w:customStyle="1" w:styleId="WW-RTFNum127">
    <w:name w:val="WW-RTF_Num 12 7"/>
    <w:uiPriority w:val="99"/>
    <w:rsid w:val="0095645A"/>
    <w:rPr>
      <w:rFonts w:ascii="Wingdings" w:hAnsi="Wingdings"/>
      <w:sz w:val="20"/>
    </w:rPr>
  </w:style>
  <w:style w:type="character" w:customStyle="1" w:styleId="WW-RTFNum128">
    <w:name w:val="WW-RTF_Num 12 8"/>
    <w:uiPriority w:val="99"/>
    <w:rsid w:val="0095645A"/>
    <w:rPr>
      <w:rFonts w:ascii="Wingdings" w:hAnsi="Wingdings"/>
      <w:sz w:val="20"/>
    </w:rPr>
  </w:style>
  <w:style w:type="character" w:customStyle="1" w:styleId="WW-RTFNum129">
    <w:name w:val="WW-RTF_Num 12 9"/>
    <w:uiPriority w:val="99"/>
    <w:rsid w:val="0095645A"/>
    <w:rPr>
      <w:rFonts w:ascii="Wingdings" w:hAnsi="Wingdings"/>
      <w:sz w:val="20"/>
    </w:rPr>
  </w:style>
  <w:style w:type="character" w:customStyle="1" w:styleId="WW-RTFNum281">
    <w:name w:val="WW-RTF_Num 28 1"/>
    <w:uiPriority w:val="99"/>
    <w:rsid w:val="0095645A"/>
    <w:rPr>
      <w:rFonts w:ascii="Symbol" w:hAnsi="Symbol"/>
      <w:sz w:val="20"/>
    </w:rPr>
  </w:style>
  <w:style w:type="character" w:customStyle="1" w:styleId="WW-RTFNum282">
    <w:name w:val="WW-RTF_Num 28 2"/>
    <w:uiPriority w:val="99"/>
    <w:rsid w:val="0095645A"/>
    <w:rPr>
      <w:rFonts w:ascii="Courier New" w:hAnsi="Courier New"/>
      <w:sz w:val="20"/>
    </w:rPr>
  </w:style>
  <w:style w:type="character" w:customStyle="1" w:styleId="WW-RTFNum283">
    <w:name w:val="WW-RTF_Num 28 3"/>
    <w:uiPriority w:val="99"/>
    <w:rsid w:val="0095645A"/>
    <w:rPr>
      <w:rFonts w:ascii="Wingdings" w:hAnsi="Wingdings"/>
      <w:sz w:val="20"/>
    </w:rPr>
  </w:style>
  <w:style w:type="character" w:customStyle="1" w:styleId="WW-RTFNum284">
    <w:name w:val="WW-RTF_Num 28 4"/>
    <w:uiPriority w:val="99"/>
    <w:rsid w:val="0095645A"/>
    <w:rPr>
      <w:rFonts w:ascii="Wingdings" w:hAnsi="Wingdings"/>
      <w:sz w:val="20"/>
    </w:rPr>
  </w:style>
  <w:style w:type="character" w:customStyle="1" w:styleId="WW-RTFNum285">
    <w:name w:val="WW-RTF_Num 28 5"/>
    <w:uiPriority w:val="99"/>
    <w:rsid w:val="0095645A"/>
    <w:rPr>
      <w:rFonts w:ascii="Wingdings" w:hAnsi="Wingdings"/>
      <w:sz w:val="20"/>
    </w:rPr>
  </w:style>
  <w:style w:type="character" w:customStyle="1" w:styleId="WW-RTFNum286">
    <w:name w:val="WW-RTF_Num 28 6"/>
    <w:uiPriority w:val="99"/>
    <w:rsid w:val="0095645A"/>
    <w:rPr>
      <w:rFonts w:ascii="Wingdings" w:hAnsi="Wingdings"/>
      <w:sz w:val="20"/>
    </w:rPr>
  </w:style>
  <w:style w:type="character" w:customStyle="1" w:styleId="WW-RTFNum287">
    <w:name w:val="WW-RTF_Num 28 7"/>
    <w:uiPriority w:val="99"/>
    <w:rsid w:val="0095645A"/>
    <w:rPr>
      <w:rFonts w:ascii="Wingdings" w:hAnsi="Wingdings"/>
      <w:sz w:val="20"/>
    </w:rPr>
  </w:style>
  <w:style w:type="character" w:customStyle="1" w:styleId="WW-RTFNum288">
    <w:name w:val="WW-RTF_Num 28 8"/>
    <w:uiPriority w:val="99"/>
    <w:rsid w:val="0095645A"/>
    <w:rPr>
      <w:rFonts w:ascii="Wingdings" w:hAnsi="Wingdings"/>
      <w:sz w:val="20"/>
    </w:rPr>
  </w:style>
  <w:style w:type="character" w:customStyle="1" w:styleId="WW-RTFNum289">
    <w:name w:val="WW-RTF_Num 28 9"/>
    <w:uiPriority w:val="99"/>
    <w:rsid w:val="0095645A"/>
    <w:rPr>
      <w:rFonts w:ascii="Wingdings" w:hAnsi="Wingdings"/>
      <w:sz w:val="20"/>
    </w:rPr>
  </w:style>
  <w:style w:type="character" w:customStyle="1" w:styleId="WW-RTFNum331">
    <w:name w:val="WW-RTF_Num 33 1"/>
    <w:rsid w:val="0095645A"/>
    <w:rPr>
      <w:rFonts w:ascii="Symbol" w:hAnsi="Symbol"/>
      <w:sz w:val="20"/>
    </w:rPr>
  </w:style>
  <w:style w:type="character" w:customStyle="1" w:styleId="WW-RTFNum332">
    <w:name w:val="WW-RTF_Num 33 2"/>
    <w:rsid w:val="0095645A"/>
    <w:rPr>
      <w:rFonts w:ascii="Courier New" w:hAnsi="Courier New"/>
      <w:sz w:val="20"/>
    </w:rPr>
  </w:style>
  <w:style w:type="character" w:customStyle="1" w:styleId="WW-RTFNum333">
    <w:name w:val="WW-RTF_Num 33 3"/>
    <w:rsid w:val="0095645A"/>
    <w:rPr>
      <w:rFonts w:ascii="Wingdings" w:hAnsi="Wingdings"/>
      <w:sz w:val="20"/>
    </w:rPr>
  </w:style>
  <w:style w:type="character" w:customStyle="1" w:styleId="WW-RTFNum334">
    <w:name w:val="WW-RTF_Num 33 4"/>
    <w:rsid w:val="0095645A"/>
    <w:rPr>
      <w:rFonts w:ascii="Wingdings" w:hAnsi="Wingdings"/>
      <w:sz w:val="20"/>
    </w:rPr>
  </w:style>
  <w:style w:type="character" w:customStyle="1" w:styleId="WW-RTFNum335">
    <w:name w:val="WW-RTF_Num 33 5"/>
    <w:rsid w:val="0095645A"/>
    <w:rPr>
      <w:rFonts w:ascii="Wingdings" w:hAnsi="Wingdings"/>
      <w:sz w:val="20"/>
    </w:rPr>
  </w:style>
  <w:style w:type="character" w:customStyle="1" w:styleId="WW-RTFNum336">
    <w:name w:val="WW-RTF_Num 33 6"/>
    <w:rsid w:val="0095645A"/>
    <w:rPr>
      <w:rFonts w:ascii="Wingdings" w:hAnsi="Wingdings"/>
      <w:sz w:val="20"/>
    </w:rPr>
  </w:style>
  <w:style w:type="character" w:customStyle="1" w:styleId="WW-RTFNum337">
    <w:name w:val="WW-RTF_Num 33 7"/>
    <w:rsid w:val="0095645A"/>
    <w:rPr>
      <w:rFonts w:ascii="Wingdings" w:hAnsi="Wingdings"/>
      <w:sz w:val="20"/>
    </w:rPr>
  </w:style>
  <w:style w:type="character" w:customStyle="1" w:styleId="WW-RTFNum338">
    <w:name w:val="WW-RTF_Num 33 8"/>
    <w:rsid w:val="0095645A"/>
    <w:rPr>
      <w:rFonts w:ascii="Wingdings" w:hAnsi="Wingdings"/>
      <w:sz w:val="20"/>
    </w:rPr>
  </w:style>
  <w:style w:type="character" w:customStyle="1" w:styleId="WW-RTFNum339">
    <w:name w:val="WW-RTF_Num 33 9"/>
    <w:rsid w:val="0095645A"/>
    <w:rPr>
      <w:rFonts w:ascii="Wingdings" w:hAnsi="Wingdings"/>
      <w:sz w:val="20"/>
    </w:rPr>
  </w:style>
  <w:style w:type="character" w:customStyle="1" w:styleId="WW-RTFNum341">
    <w:name w:val="WW-RTF_Num 34 1"/>
    <w:uiPriority w:val="99"/>
    <w:rsid w:val="0095645A"/>
    <w:rPr>
      <w:rFonts w:ascii="Symbol" w:hAnsi="Symbol"/>
      <w:sz w:val="20"/>
    </w:rPr>
  </w:style>
  <w:style w:type="character" w:customStyle="1" w:styleId="WW-RTFNum342">
    <w:name w:val="WW-RTF_Num 34 2"/>
    <w:uiPriority w:val="99"/>
    <w:rsid w:val="0095645A"/>
    <w:rPr>
      <w:rFonts w:ascii="Courier New" w:hAnsi="Courier New"/>
      <w:sz w:val="20"/>
    </w:rPr>
  </w:style>
  <w:style w:type="character" w:customStyle="1" w:styleId="WW-RTFNum343">
    <w:name w:val="WW-RTF_Num 34 3"/>
    <w:uiPriority w:val="99"/>
    <w:rsid w:val="0095645A"/>
    <w:rPr>
      <w:rFonts w:ascii="Wingdings" w:hAnsi="Wingdings"/>
      <w:sz w:val="20"/>
    </w:rPr>
  </w:style>
  <w:style w:type="character" w:customStyle="1" w:styleId="WW-RTFNum344">
    <w:name w:val="WW-RTF_Num 34 4"/>
    <w:uiPriority w:val="99"/>
    <w:rsid w:val="0095645A"/>
    <w:rPr>
      <w:rFonts w:ascii="Wingdings" w:hAnsi="Wingdings"/>
      <w:sz w:val="20"/>
    </w:rPr>
  </w:style>
  <w:style w:type="character" w:customStyle="1" w:styleId="WW-RTFNum345">
    <w:name w:val="WW-RTF_Num 34 5"/>
    <w:uiPriority w:val="99"/>
    <w:rsid w:val="0095645A"/>
    <w:rPr>
      <w:rFonts w:ascii="Wingdings" w:hAnsi="Wingdings"/>
      <w:sz w:val="20"/>
    </w:rPr>
  </w:style>
  <w:style w:type="character" w:customStyle="1" w:styleId="WW-RTFNum346">
    <w:name w:val="WW-RTF_Num 34 6"/>
    <w:uiPriority w:val="99"/>
    <w:rsid w:val="0095645A"/>
    <w:rPr>
      <w:rFonts w:ascii="Wingdings" w:hAnsi="Wingdings"/>
      <w:sz w:val="20"/>
    </w:rPr>
  </w:style>
  <w:style w:type="character" w:customStyle="1" w:styleId="WW-RTFNum347">
    <w:name w:val="WW-RTF_Num 34 7"/>
    <w:uiPriority w:val="99"/>
    <w:rsid w:val="0095645A"/>
    <w:rPr>
      <w:rFonts w:ascii="Wingdings" w:hAnsi="Wingdings"/>
      <w:sz w:val="20"/>
    </w:rPr>
  </w:style>
  <w:style w:type="character" w:customStyle="1" w:styleId="WW-RTFNum348">
    <w:name w:val="WW-RTF_Num 34 8"/>
    <w:uiPriority w:val="99"/>
    <w:rsid w:val="0095645A"/>
    <w:rPr>
      <w:rFonts w:ascii="Wingdings" w:hAnsi="Wingdings"/>
      <w:sz w:val="20"/>
    </w:rPr>
  </w:style>
  <w:style w:type="character" w:customStyle="1" w:styleId="WW-RTFNum349">
    <w:name w:val="WW-RTF_Num 34 9"/>
    <w:uiPriority w:val="99"/>
    <w:rsid w:val="0095645A"/>
    <w:rPr>
      <w:rFonts w:ascii="Wingdings" w:hAnsi="Wingdings"/>
      <w:sz w:val="20"/>
    </w:rPr>
  </w:style>
  <w:style w:type="character" w:customStyle="1" w:styleId="WW-RTFNum371">
    <w:name w:val="WW-RTF_Num 37 1"/>
    <w:uiPriority w:val="99"/>
    <w:rsid w:val="0095645A"/>
    <w:rPr>
      <w:rFonts w:ascii="Symbol" w:hAnsi="Symbol"/>
      <w:sz w:val="20"/>
    </w:rPr>
  </w:style>
  <w:style w:type="character" w:customStyle="1" w:styleId="WW-RTFNum372">
    <w:name w:val="WW-RTF_Num 37 2"/>
    <w:uiPriority w:val="99"/>
    <w:rsid w:val="0095645A"/>
    <w:rPr>
      <w:rFonts w:ascii="Courier New" w:hAnsi="Courier New"/>
      <w:sz w:val="20"/>
    </w:rPr>
  </w:style>
  <w:style w:type="character" w:customStyle="1" w:styleId="WW-RTFNum373">
    <w:name w:val="WW-RTF_Num 37 3"/>
    <w:uiPriority w:val="99"/>
    <w:rsid w:val="0095645A"/>
    <w:rPr>
      <w:rFonts w:ascii="Wingdings" w:hAnsi="Wingdings"/>
      <w:sz w:val="20"/>
    </w:rPr>
  </w:style>
  <w:style w:type="character" w:customStyle="1" w:styleId="WW-RTFNum374">
    <w:name w:val="WW-RTF_Num 37 4"/>
    <w:uiPriority w:val="99"/>
    <w:rsid w:val="0095645A"/>
    <w:rPr>
      <w:rFonts w:ascii="Wingdings" w:hAnsi="Wingdings"/>
      <w:sz w:val="20"/>
    </w:rPr>
  </w:style>
  <w:style w:type="character" w:customStyle="1" w:styleId="WW-RTFNum375">
    <w:name w:val="WW-RTF_Num 37 5"/>
    <w:uiPriority w:val="99"/>
    <w:rsid w:val="0095645A"/>
    <w:rPr>
      <w:rFonts w:ascii="Wingdings" w:hAnsi="Wingdings"/>
      <w:sz w:val="20"/>
    </w:rPr>
  </w:style>
  <w:style w:type="character" w:customStyle="1" w:styleId="WW-RTFNum376">
    <w:name w:val="WW-RTF_Num 37 6"/>
    <w:uiPriority w:val="99"/>
    <w:rsid w:val="0095645A"/>
    <w:rPr>
      <w:rFonts w:ascii="Wingdings" w:hAnsi="Wingdings"/>
      <w:sz w:val="20"/>
    </w:rPr>
  </w:style>
  <w:style w:type="character" w:customStyle="1" w:styleId="WW-RTFNum377">
    <w:name w:val="WW-RTF_Num 37 7"/>
    <w:uiPriority w:val="99"/>
    <w:rsid w:val="0095645A"/>
    <w:rPr>
      <w:rFonts w:ascii="Wingdings" w:hAnsi="Wingdings"/>
      <w:sz w:val="20"/>
    </w:rPr>
  </w:style>
  <w:style w:type="character" w:customStyle="1" w:styleId="WW-RTFNum378">
    <w:name w:val="WW-RTF_Num 37 8"/>
    <w:uiPriority w:val="99"/>
    <w:rsid w:val="0095645A"/>
    <w:rPr>
      <w:rFonts w:ascii="Wingdings" w:hAnsi="Wingdings"/>
      <w:sz w:val="20"/>
    </w:rPr>
  </w:style>
  <w:style w:type="character" w:customStyle="1" w:styleId="WW-RTFNum379">
    <w:name w:val="WW-RTF_Num 37 9"/>
    <w:uiPriority w:val="99"/>
    <w:rsid w:val="0095645A"/>
    <w:rPr>
      <w:rFonts w:ascii="Wingdings" w:hAnsi="Wingdings"/>
      <w:sz w:val="20"/>
    </w:rPr>
  </w:style>
  <w:style w:type="character" w:customStyle="1" w:styleId="WW-RTFNum451">
    <w:name w:val="WW-RTF_Num 45 1"/>
    <w:uiPriority w:val="99"/>
    <w:rsid w:val="0095645A"/>
    <w:rPr>
      <w:rFonts w:ascii="Symbol" w:hAnsi="Symbol"/>
      <w:sz w:val="20"/>
    </w:rPr>
  </w:style>
  <w:style w:type="character" w:customStyle="1" w:styleId="WW-RTFNum452">
    <w:name w:val="WW-RTF_Num 45 2"/>
    <w:uiPriority w:val="99"/>
    <w:rsid w:val="0095645A"/>
    <w:rPr>
      <w:rFonts w:ascii="Courier New" w:hAnsi="Courier New"/>
      <w:sz w:val="20"/>
    </w:rPr>
  </w:style>
  <w:style w:type="character" w:customStyle="1" w:styleId="WW-RTFNum453">
    <w:name w:val="WW-RTF_Num 45 3"/>
    <w:uiPriority w:val="99"/>
    <w:rsid w:val="0095645A"/>
    <w:rPr>
      <w:rFonts w:ascii="Wingdings" w:hAnsi="Wingdings"/>
      <w:sz w:val="20"/>
    </w:rPr>
  </w:style>
  <w:style w:type="character" w:customStyle="1" w:styleId="WW-RTFNum454">
    <w:name w:val="WW-RTF_Num 45 4"/>
    <w:uiPriority w:val="99"/>
    <w:rsid w:val="0095645A"/>
    <w:rPr>
      <w:rFonts w:ascii="Wingdings" w:hAnsi="Wingdings"/>
      <w:sz w:val="20"/>
    </w:rPr>
  </w:style>
  <w:style w:type="character" w:customStyle="1" w:styleId="WW-RTFNum455">
    <w:name w:val="WW-RTF_Num 45 5"/>
    <w:uiPriority w:val="99"/>
    <w:rsid w:val="0095645A"/>
    <w:rPr>
      <w:rFonts w:ascii="Wingdings" w:hAnsi="Wingdings"/>
      <w:sz w:val="20"/>
    </w:rPr>
  </w:style>
  <w:style w:type="character" w:customStyle="1" w:styleId="WW-RTFNum456">
    <w:name w:val="WW-RTF_Num 45 6"/>
    <w:uiPriority w:val="99"/>
    <w:rsid w:val="0095645A"/>
    <w:rPr>
      <w:rFonts w:ascii="Wingdings" w:hAnsi="Wingdings"/>
      <w:sz w:val="20"/>
    </w:rPr>
  </w:style>
  <w:style w:type="character" w:customStyle="1" w:styleId="WW-RTFNum457">
    <w:name w:val="WW-RTF_Num 45 7"/>
    <w:uiPriority w:val="99"/>
    <w:rsid w:val="0095645A"/>
    <w:rPr>
      <w:rFonts w:ascii="Wingdings" w:hAnsi="Wingdings"/>
      <w:sz w:val="20"/>
    </w:rPr>
  </w:style>
  <w:style w:type="character" w:customStyle="1" w:styleId="WW-RTFNum458">
    <w:name w:val="WW-RTF_Num 45 8"/>
    <w:uiPriority w:val="99"/>
    <w:rsid w:val="0095645A"/>
    <w:rPr>
      <w:rFonts w:ascii="Wingdings" w:hAnsi="Wingdings"/>
      <w:sz w:val="20"/>
    </w:rPr>
  </w:style>
  <w:style w:type="character" w:customStyle="1" w:styleId="WW-RTFNum459">
    <w:name w:val="WW-RTF_Num 45 9"/>
    <w:uiPriority w:val="99"/>
    <w:rsid w:val="0095645A"/>
    <w:rPr>
      <w:rFonts w:ascii="Wingdings" w:hAnsi="Wingdings"/>
      <w:sz w:val="20"/>
    </w:rPr>
  </w:style>
  <w:style w:type="character" w:customStyle="1" w:styleId="WW-RTFNum481">
    <w:name w:val="WW-RTF_Num 48 1"/>
    <w:uiPriority w:val="99"/>
    <w:rsid w:val="0095645A"/>
    <w:rPr>
      <w:rFonts w:ascii="Symbol" w:hAnsi="Symbol"/>
      <w:sz w:val="20"/>
    </w:rPr>
  </w:style>
  <w:style w:type="character" w:customStyle="1" w:styleId="WW-RTFNum482">
    <w:name w:val="WW-RTF_Num 48 2"/>
    <w:uiPriority w:val="99"/>
    <w:rsid w:val="0095645A"/>
    <w:rPr>
      <w:rFonts w:ascii="Courier New" w:hAnsi="Courier New"/>
      <w:sz w:val="20"/>
    </w:rPr>
  </w:style>
  <w:style w:type="character" w:customStyle="1" w:styleId="WW-RTFNum483">
    <w:name w:val="WW-RTF_Num 48 3"/>
    <w:uiPriority w:val="99"/>
    <w:rsid w:val="0095645A"/>
    <w:rPr>
      <w:rFonts w:ascii="Wingdings" w:hAnsi="Wingdings"/>
      <w:sz w:val="20"/>
    </w:rPr>
  </w:style>
  <w:style w:type="character" w:customStyle="1" w:styleId="WW-RTFNum484">
    <w:name w:val="WW-RTF_Num 48 4"/>
    <w:uiPriority w:val="99"/>
    <w:rsid w:val="0095645A"/>
    <w:rPr>
      <w:rFonts w:ascii="Wingdings" w:hAnsi="Wingdings"/>
      <w:sz w:val="20"/>
    </w:rPr>
  </w:style>
  <w:style w:type="character" w:customStyle="1" w:styleId="WW-RTFNum485">
    <w:name w:val="WW-RTF_Num 48 5"/>
    <w:uiPriority w:val="99"/>
    <w:rsid w:val="0095645A"/>
    <w:rPr>
      <w:rFonts w:ascii="Wingdings" w:hAnsi="Wingdings"/>
      <w:sz w:val="20"/>
    </w:rPr>
  </w:style>
  <w:style w:type="character" w:customStyle="1" w:styleId="WW-RTFNum486">
    <w:name w:val="WW-RTF_Num 48 6"/>
    <w:uiPriority w:val="99"/>
    <w:rsid w:val="0095645A"/>
    <w:rPr>
      <w:rFonts w:ascii="Wingdings" w:hAnsi="Wingdings"/>
      <w:sz w:val="20"/>
    </w:rPr>
  </w:style>
  <w:style w:type="character" w:customStyle="1" w:styleId="WW-RTFNum487">
    <w:name w:val="WW-RTF_Num 48 7"/>
    <w:uiPriority w:val="99"/>
    <w:rsid w:val="0095645A"/>
    <w:rPr>
      <w:rFonts w:ascii="Wingdings" w:hAnsi="Wingdings"/>
      <w:sz w:val="20"/>
    </w:rPr>
  </w:style>
  <w:style w:type="character" w:customStyle="1" w:styleId="WW-RTFNum488">
    <w:name w:val="WW-RTF_Num 48 8"/>
    <w:uiPriority w:val="99"/>
    <w:rsid w:val="0095645A"/>
    <w:rPr>
      <w:rFonts w:ascii="Wingdings" w:hAnsi="Wingdings"/>
      <w:sz w:val="20"/>
    </w:rPr>
  </w:style>
  <w:style w:type="character" w:customStyle="1" w:styleId="WW-RTFNum489">
    <w:name w:val="WW-RTF_Num 48 9"/>
    <w:uiPriority w:val="99"/>
    <w:rsid w:val="0095645A"/>
    <w:rPr>
      <w:rFonts w:ascii="Wingdings" w:hAnsi="Wingdings"/>
      <w:sz w:val="20"/>
    </w:rPr>
  </w:style>
  <w:style w:type="character" w:customStyle="1" w:styleId="EstiloCorreo681">
    <w:name w:val="EstiloCorreo681"/>
    <w:rsid w:val="0095645A"/>
    <w:rPr>
      <w:rFonts w:ascii="Arial" w:hAnsi="Arial"/>
      <w:color w:val="000000"/>
      <w:sz w:val="20"/>
    </w:rPr>
  </w:style>
  <w:style w:type="paragraph" w:customStyle="1" w:styleId="Centrados">
    <w:name w:val="Centrados"/>
    <w:rsid w:val="0095645A"/>
    <w:pPr>
      <w:widowControl w:val="0"/>
      <w:suppressAutoHyphens/>
      <w:autoSpaceDE w:val="0"/>
      <w:jc w:val="center"/>
    </w:pPr>
    <w:rPr>
      <w:rFonts w:ascii="Helvetica" w:eastAsia="Batang" w:hAnsi="Helvetica" w:cs="Helvetica"/>
      <w:lang w:eastAsia="hi-IN" w:bidi="hi-IN"/>
    </w:rPr>
  </w:style>
  <w:style w:type="paragraph" w:customStyle="1" w:styleId="CentraTabul">
    <w:name w:val="CentraTabul"/>
    <w:next w:val="Normal"/>
    <w:rsid w:val="0095645A"/>
    <w:pPr>
      <w:widowControl w:val="0"/>
      <w:suppressAutoHyphens/>
      <w:autoSpaceDE w:val="0"/>
    </w:pPr>
    <w:rPr>
      <w:rFonts w:ascii="Helvetica" w:eastAsia="Batang" w:hAnsi="Helvetica" w:cs="Helvetica"/>
      <w:lang w:eastAsia="hi-IN" w:bidi="hi-IN"/>
    </w:rPr>
  </w:style>
  <w:style w:type="paragraph" w:customStyle="1" w:styleId="tabul2">
    <w:name w:val="tabul2"/>
    <w:next w:val="Normal"/>
    <w:rsid w:val="0095645A"/>
    <w:pPr>
      <w:widowControl w:val="0"/>
      <w:suppressAutoHyphens/>
      <w:autoSpaceDE w:val="0"/>
      <w:ind w:left="1560" w:hanging="360"/>
      <w:jc w:val="both"/>
    </w:pPr>
    <w:rPr>
      <w:rFonts w:ascii="Helvetica" w:eastAsia="Batang" w:hAnsi="Helvetica" w:cs="Helvetica"/>
      <w:lang w:eastAsia="hi-IN" w:bidi="hi-IN"/>
    </w:rPr>
  </w:style>
  <w:style w:type="paragraph" w:customStyle="1" w:styleId="metido1">
    <w:name w:val="metido1"/>
    <w:next w:val="Normal"/>
    <w:rsid w:val="0095645A"/>
    <w:pPr>
      <w:widowControl w:val="0"/>
      <w:suppressAutoHyphens/>
      <w:autoSpaceDE w:val="0"/>
      <w:spacing w:line="220" w:lineRule="atLeast"/>
      <w:ind w:left="720" w:right="720" w:firstLine="240"/>
      <w:jc w:val="both"/>
    </w:pPr>
    <w:rPr>
      <w:rFonts w:ascii="Helvetica" w:eastAsia="Batang" w:hAnsi="Helvetica" w:cs="Helvetica"/>
      <w:sz w:val="18"/>
      <w:szCs w:val="18"/>
      <w:lang w:eastAsia="hi-IN" w:bidi="hi-IN"/>
    </w:rPr>
  </w:style>
  <w:style w:type="paragraph" w:customStyle="1" w:styleId="metido2">
    <w:name w:val="metido2"/>
    <w:next w:val="metido1"/>
    <w:rsid w:val="0095645A"/>
    <w:pPr>
      <w:widowControl w:val="0"/>
      <w:suppressAutoHyphens/>
      <w:autoSpaceDE w:val="0"/>
      <w:spacing w:line="220" w:lineRule="atLeast"/>
      <w:ind w:left="1080" w:right="720" w:hanging="360"/>
      <w:jc w:val="both"/>
    </w:pPr>
    <w:rPr>
      <w:rFonts w:ascii="Helvetica" w:eastAsia="Batang" w:hAnsi="Helvetica" w:cs="Helvetica"/>
      <w:sz w:val="18"/>
      <w:szCs w:val="18"/>
      <w:lang w:eastAsia="hi-IN" w:bidi="hi-IN"/>
    </w:rPr>
  </w:style>
  <w:style w:type="paragraph" w:customStyle="1" w:styleId="tab1">
    <w:name w:val="tab1"/>
    <w:rsid w:val="0095645A"/>
    <w:pPr>
      <w:widowControl w:val="0"/>
      <w:suppressAutoHyphens/>
      <w:autoSpaceDE w:val="0"/>
      <w:ind w:left="360" w:hanging="360"/>
      <w:jc w:val="both"/>
    </w:pPr>
    <w:rPr>
      <w:rFonts w:ascii="Helvetica" w:eastAsia="Batang" w:hAnsi="Helvetica" w:cs="Helvetica"/>
      <w:lang w:eastAsia="hi-IN" w:bidi="hi-IN"/>
    </w:rPr>
  </w:style>
  <w:style w:type="paragraph" w:customStyle="1" w:styleId="normalprueba0">
    <w:name w:val="normalprueba"/>
    <w:uiPriority w:val="99"/>
    <w:rsid w:val="0095645A"/>
    <w:pPr>
      <w:widowControl w:val="0"/>
      <w:suppressAutoHyphens/>
      <w:autoSpaceDE w:val="0"/>
    </w:pPr>
    <w:rPr>
      <w:rFonts w:eastAsia="Batang"/>
      <w:sz w:val="24"/>
      <w:szCs w:val="24"/>
      <w:lang w:eastAsia="hi-IN" w:bidi="hi-IN"/>
    </w:rPr>
  </w:style>
  <w:style w:type="paragraph" w:customStyle="1" w:styleId="tituloac">
    <w:name w:val="titulo ac"/>
    <w:next w:val="Encabezado1"/>
    <w:rsid w:val="0095645A"/>
    <w:pPr>
      <w:widowControl w:val="0"/>
      <w:suppressAutoHyphens/>
      <w:autoSpaceDE w:val="0"/>
    </w:pPr>
    <w:rPr>
      <w:rFonts w:ascii="Arial" w:eastAsia="Batang" w:hAnsi="Arial" w:cs="Arial"/>
      <w:sz w:val="24"/>
      <w:szCs w:val="24"/>
      <w:lang w:eastAsia="hi-IN" w:bidi="hi-IN"/>
    </w:rPr>
  </w:style>
  <w:style w:type="paragraph" w:customStyle="1" w:styleId="WW-heading2">
    <w:name w:val="WW-heading 2"/>
    <w:next w:val="Normal"/>
    <w:rsid w:val="0095645A"/>
    <w:pPr>
      <w:keepNext/>
      <w:widowControl w:val="0"/>
      <w:tabs>
        <w:tab w:val="num" w:pos="643"/>
      </w:tabs>
      <w:suppressAutoHyphens/>
      <w:autoSpaceDE w:val="0"/>
      <w:spacing w:before="20" w:line="240" w:lineRule="atLeast"/>
      <w:jc w:val="center"/>
    </w:pPr>
    <w:rPr>
      <w:rFonts w:ascii="Tahoma" w:eastAsia="Batang" w:hAnsi="Tahoma" w:cs="Tahoma"/>
      <w:b/>
      <w:bCs/>
      <w:sz w:val="24"/>
      <w:szCs w:val="24"/>
      <w:lang w:eastAsia="hi-IN" w:bidi="hi-IN"/>
    </w:rPr>
  </w:style>
  <w:style w:type="paragraph" w:customStyle="1" w:styleId="WW-heading3">
    <w:name w:val="WW-heading 3"/>
    <w:next w:val="Normal"/>
    <w:rsid w:val="0095645A"/>
    <w:pPr>
      <w:keepNext/>
      <w:widowControl w:val="0"/>
      <w:tabs>
        <w:tab w:val="num" w:pos="643"/>
      </w:tabs>
      <w:suppressAutoHyphens/>
      <w:autoSpaceDE w:val="0"/>
      <w:ind w:firstLine="708"/>
      <w:jc w:val="both"/>
    </w:pPr>
    <w:rPr>
      <w:rFonts w:ascii="Arial" w:eastAsia="Batang" w:hAnsi="Arial" w:cs="Arial"/>
      <w:spacing w:val="-3"/>
      <w:sz w:val="24"/>
      <w:szCs w:val="24"/>
      <w:lang w:eastAsia="hi-IN" w:bidi="hi-IN"/>
    </w:rPr>
  </w:style>
  <w:style w:type="paragraph" w:customStyle="1" w:styleId="WW-header">
    <w:name w:val="WW-header"/>
    <w:uiPriority w:val="99"/>
    <w:rsid w:val="0095645A"/>
    <w:pPr>
      <w:widowControl w:val="0"/>
      <w:suppressAutoHyphens/>
      <w:autoSpaceDE w:val="0"/>
    </w:pPr>
    <w:rPr>
      <w:rFonts w:ascii="Arial" w:eastAsia="Batang" w:hAnsi="Arial" w:cs="Arial"/>
      <w:sz w:val="24"/>
      <w:szCs w:val="24"/>
      <w:lang w:eastAsia="hi-IN" w:bidi="hi-IN"/>
    </w:rPr>
  </w:style>
  <w:style w:type="table" w:customStyle="1" w:styleId="Tablaconcuadrcula4">
    <w:name w:val="Tabla con cuadrícula4"/>
    <w:basedOn w:val="Tablanormal"/>
    <w:next w:val="Tablaconcuadrcula"/>
    <w:uiPriority w:val="59"/>
    <w:rsid w:val="0095645A"/>
    <w:rPr>
      <w:rFonts w:ascii="Arial" w:hAnsi="Arial" w:cs="Arial"/>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gestinCar">
    <w:name w:val="A gestión Car"/>
    <w:link w:val="Agestin"/>
    <w:qFormat/>
    <w:locked/>
    <w:rsid w:val="0095645A"/>
    <w:rPr>
      <w:color w:val="000099"/>
    </w:rPr>
  </w:style>
  <w:style w:type="paragraph" w:customStyle="1" w:styleId="Agestin">
    <w:name w:val="A gestión"/>
    <w:basedOn w:val="Normal"/>
    <w:link w:val="AgestinCar"/>
    <w:qFormat/>
    <w:rsid w:val="0095645A"/>
    <w:pPr>
      <w:suppressAutoHyphens w:val="0"/>
      <w:spacing w:before="120" w:after="120"/>
      <w:ind w:left="851" w:right="851" w:firstLine="567"/>
      <w:jc w:val="both"/>
    </w:pPr>
    <w:rPr>
      <w:color w:val="000099"/>
      <w:sz w:val="20"/>
      <w:szCs w:val="20"/>
      <w:lang w:eastAsia="es-ES"/>
    </w:rPr>
  </w:style>
  <w:style w:type="character" w:customStyle="1" w:styleId="FootnoteCharacters">
    <w:name w:val="Footnote Characters"/>
    <w:uiPriority w:val="99"/>
    <w:qFormat/>
    <w:rsid w:val="0095645A"/>
    <w:rPr>
      <w:rFonts w:cs="Times New Roman"/>
      <w:vertAlign w:val="superscript"/>
    </w:rPr>
  </w:style>
  <w:style w:type="character" w:customStyle="1" w:styleId="Definicin">
    <w:name w:val="Definición"/>
    <w:uiPriority w:val="99"/>
    <w:qFormat/>
    <w:rsid w:val="0095645A"/>
    <w:rPr>
      <w:i/>
      <w:iCs/>
    </w:rPr>
  </w:style>
  <w:style w:type="character" w:customStyle="1" w:styleId="ListLabel81">
    <w:name w:val="ListLabel 81"/>
    <w:qFormat/>
    <w:rsid w:val="0095645A"/>
    <w:rPr>
      <w:rFonts w:cs="Wingdings"/>
    </w:rPr>
  </w:style>
  <w:style w:type="character" w:customStyle="1" w:styleId="ListLabel82">
    <w:name w:val="ListLabel 82"/>
    <w:qFormat/>
    <w:rsid w:val="0095645A"/>
    <w:rPr>
      <w:rFonts w:cs="Symbol"/>
    </w:rPr>
  </w:style>
  <w:style w:type="character" w:customStyle="1" w:styleId="ListLabel83">
    <w:name w:val="ListLabel 83"/>
    <w:qFormat/>
    <w:rsid w:val="0095645A"/>
    <w:rPr>
      <w:rFonts w:cs="Courier New"/>
    </w:rPr>
  </w:style>
  <w:style w:type="character" w:customStyle="1" w:styleId="ListLabel84">
    <w:name w:val="ListLabel 84"/>
    <w:qFormat/>
    <w:rsid w:val="0095645A"/>
    <w:rPr>
      <w:rFonts w:cs="Wingdings"/>
    </w:rPr>
  </w:style>
  <w:style w:type="character" w:customStyle="1" w:styleId="ListLabel85">
    <w:name w:val="ListLabel 85"/>
    <w:qFormat/>
    <w:rsid w:val="0095645A"/>
    <w:rPr>
      <w:rFonts w:cs="Symbol"/>
    </w:rPr>
  </w:style>
  <w:style w:type="character" w:customStyle="1" w:styleId="ListLabel86">
    <w:name w:val="ListLabel 86"/>
    <w:qFormat/>
    <w:rsid w:val="0095645A"/>
    <w:rPr>
      <w:rFonts w:cs="Courier New"/>
    </w:rPr>
  </w:style>
  <w:style w:type="character" w:customStyle="1" w:styleId="ListLabel87">
    <w:name w:val="ListLabel 87"/>
    <w:qFormat/>
    <w:rsid w:val="0095645A"/>
    <w:rPr>
      <w:rFonts w:cs="Wingdings"/>
    </w:rPr>
  </w:style>
  <w:style w:type="character" w:customStyle="1" w:styleId="ListLabel88">
    <w:name w:val="ListLabel 88"/>
    <w:qFormat/>
    <w:rsid w:val="0095645A"/>
    <w:rPr>
      <w:rFonts w:cs="Symbol"/>
    </w:rPr>
  </w:style>
  <w:style w:type="character" w:customStyle="1" w:styleId="ListLabel89">
    <w:name w:val="ListLabel 89"/>
    <w:qFormat/>
    <w:rsid w:val="0095645A"/>
    <w:rPr>
      <w:rFonts w:cs="Courier New"/>
    </w:rPr>
  </w:style>
  <w:style w:type="character" w:customStyle="1" w:styleId="ListLabel90">
    <w:name w:val="ListLabel 90"/>
    <w:qFormat/>
    <w:rsid w:val="0095645A"/>
    <w:rPr>
      <w:rFonts w:cs="Wingdings"/>
    </w:rPr>
  </w:style>
  <w:style w:type="character" w:customStyle="1" w:styleId="ListLabel91">
    <w:name w:val="ListLabel 91"/>
    <w:qFormat/>
    <w:rsid w:val="0095645A"/>
    <w:rPr>
      <w:rFonts w:cs="Courier New"/>
    </w:rPr>
  </w:style>
  <w:style w:type="character" w:customStyle="1" w:styleId="ListLabel92">
    <w:name w:val="ListLabel 92"/>
    <w:qFormat/>
    <w:rsid w:val="0095645A"/>
    <w:rPr>
      <w:rFonts w:cs="Courier New"/>
    </w:rPr>
  </w:style>
  <w:style w:type="character" w:customStyle="1" w:styleId="ListLabel93">
    <w:name w:val="ListLabel 93"/>
    <w:qFormat/>
    <w:rsid w:val="0095645A"/>
    <w:rPr>
      <w:rFonts w:cs="Courier New"/>
    </w:rPr>
  </w:style>
  <w:style w:type="character" w:customStyle="1" w:styleId="ListLabel94">
    <w:name w:val="ListLabel 94"/>
    <w:qFormat/>
    <w:rsid w:val="0095645A"/>
    <w:rPr>
      <w:b/>
      <w:sz w:val="24"/>
    </w:rPr>
  </w:style>
  <w:style w:type="character" w:customStyle="1" w:styleId="ListLabel95">
    <w:name w:val="ListLabel 95"/>
    <w:qFormat/>
    <w:rsid w:val="0095645A"/>
    <w:rPr>
      <w:rFonts w:ascii="Book Antiqua" w:hAnsi="Book Antiqua" w:cs="Book Antiqua"/>
      <w:color w:val="0000FF"/>
      <w:sz w:val="24"/>
      <w:szCs w:val="24"/>
    </w:rPr>
  </w:style>
  <w:style w:type="character" w:customStyle="1" w:styleId="Ancladenotafinal">
    <w:name w:val="Ancla de nota final"/>
    <w:rsid w:val="0095645A"/>
    <w:rPr>
      <w:vertAlign w:val="superscript"/>
    </w:rPr>
  </w:style>
  <w:style w:type="paragraph" w:customStyle="1" w:styleId="Textonotapie1">
    <w:name w:val="Texto nota pie1"/>
    <w:basedOn w:val="Normal"/>
    <w:uiPriority w:val="99"/>
    <w:semiHidden/>
    <w:rsid w:val="0095645A"/>
    <w:pPr>
      <w:suppressAutoHyphens w:val="0"/>
    </w:pPr>
    <w:rPr>
      <w:sz w:val="20"/>
      <w:szCs w:val="20"/>
      <w:lang w:eastAsia="es-ES"/>
    </w:rPr>
  </w:style>
  <w:style w:type="paragraph" w:customStyle="1" w:styleId="ListParagraph01">
    <w:name w:val="List Paragraph0"/>
    <w:basedOn w:val="Normal"/>
    <w:qFormat/>
    <w:rsid w:val="0095645A"/>
    <w:pPr>
      <w:suppressAutoHyphens w:val="0"/>
      <w:spacing w:after="200" w:line="276" w:lineRule="auto"/>
      <w:ind w:left="720"/>
      <w:contextualSpacing/>
    </w:pPr>
    <w:rPr>
      <w:rFonts w:ascii="Calibri" w:hAnsi="Calibri"/>
      <w:sz w:val="22"/>
      <w:szCs w:val="22"/>
      <w:lang w:eastAsia="en-US"/>
    </w:rPr>
  </w:style>
  <w:style w:type="character" w:customStyle="1" w:styleId="z-FinaldelformularioCar1">
    <w:name w:val="z-Final del formulario Car1"/>
    <w:uiPriority w:val="99"/>
    <w:rsid w:val="0095645A"/>
    <w:rPr>
      <w:rFonts w:ascii="Arial" w:hAnsi="Arial" w:cs="Arial"/>
      <w:vanish/>
      <w:sz w:val="16"/>
      <w:szCs w:val="16"/>
      <w:lang w:val="es-ES" w:eastAsia="es-ES"/>
    </w:rPr>
  </w:style>
  <w:style w:type="paragraph" w:customStyle="1" w:styleId="TDC21">
    <w:name w:val="TDC 21"/>
    <w:basedOn w:val="Normal"/>
    <w:next w:val="Normal"/>
    <w:autoRedefine/>
    <w:uiPriority w:val="39"/>
    <w:unhideWhenUsed/>
    <w:rsid w:val="0095645A"/>
    <w:pPr>
      <w:suppressAutoHyphens w:val="0"/>
      <w:spacing w:after="100" w:line="259" w:lineRule="auto"/>
      <w:ind w:left="220"/>
    </w:pPr>
    <w:rPr>
      <w:rFonts w:ascii="Calibri" w:hAnsi="Calibri"/>
      <w:sz w:val="22"/>
      <w:szCs w:val="22"/>
      <w:lang w:val="es-CR" w:eastAsia="es-CR"/>
    </w:rPr>
  </w:style>
  <w:style w:type="paragraph" w:customStyle="1" w:styleId="TDC11">
    <w:name w:val="TDC 11"/>
    <w:basedOn w:val="Normal"/>
    <w:next w:val="Normal"/>
    <w:autoRedefine/>
    <w:uiPriority w:val="99"/>
    <w:unhideWhenUsed/>
    <w:rsid w:val="0095645A"/>
    <w:pPr>
      <w:suppressAutoHyphens w:val="0"/>
      <w:spacing w:after="100" w:line="259" w:lineRule="auto"/>
    </w:pPr>
    <w:rPr>
      <w:rFonts w:ascii="Calibri" w:hAnsi="Calibri"/>
      <w:sz w:val="22"/>
      <w:szCs w:val="22"/>
      <w:lang w:val="es-CR" w:eastAsia="es-CR"/>
    </w:rPr>
  </w:style>
  <w:style w:type="paragraph" w:customStyle="1" w:styleId="TDC31">
    <w:name w:val="TDC 31"/>
    <w:basedOn w:val="Normal"/>
    <w:next w:val="Normal"/>
    <w:autoRedefine/>
    <w:uiPriority w:val="39"/>
    <w:unhideWhenUsed/>
    <w:rsid w:val="0095645A"/>
    <w:pPr>
      <w:suppressAutoHyphens w:val="0"/>
      <w:spacing w:after="100" w:line="259" w:lineRule="auto"/>
      <w:ind w:left="440"/>
    </w:pPr>
    <w:rPr>
      <w:rFonts w:ascii="Calibri" w:hAnsi="Calibri"/>
      <w:sz w:val="22"/>
      <w:szCs w:val="22"/>
      <w:lang w:val="es-CR" w:eastAsia="es-CR"/>
    </w:rPr>
  </w:style>
  <w:style w:type="table" w:customStyle="1" w:styleId="Tabladecuadrcula41">
    <w:name w:val="Tabla de cuadrícula 41"/>
    <w:basedOn w:val="Tablanormal"/>
    <w:next w:val="Tabladecuadrcula4"/>
    <w:uiPriority w:val="49"/>
    <w:rsid w:val="0095645A"/>
    <w:rPr>
      <w:rFonts w:ascii="Calibri" w:eastAsia="Calibri" w:hAnsi="Calibr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footnotedescription">
    <w:name w:val="footnote description"/>
    <w:next w:val="Normal"/>
    <w:link w:val="footnotedescriptionChar"/>
    <w:hidden/>
    <w:rsid w:val="0095645A"/>
    <w:pPr>
      <w:spacing w:line="253" w:lineRule="auto"/>
      <w:ind w:left="144"/>
    </w:pPr>
    <w:rPr>
      <w:rFonts w:ascii="Calibri" w:eastAsia="Calibri" w:hAnsi="Calibri" w:cs="Calibri"/>
      <w:color w:val="000000"/>
      <w:szCs w:val="22"/>
      <w:lang w:val="es-MX" w:eastAsia="es-MX"/>
    </w:rPr>
  </w:style>
  <w:style w:type="character" w:customStyle="1" w:styleId="footnotedescriptionChar">
    <w:name w:val="footnote description Char"/>
    <w:link w:val="footnotedescription"/>
    <w:rsid w:val="0095645A"/>
    <w:rPr>
      <w:rFonts w:ascii="Calibri" w:eastAsia="Calibri" w:hAnsi="Calibri" w:cs="Calibri"/>
      <w:color w:val="000000"/>
      <w:szCs w:val="22"/>
      <w:lang w:val="es-MX" w:eastAsia="es-MX"/>
    </w:rPr>
  </w:style>
  <w:style w:type="character" w:customStyle="1" w:styleId="footnotemark">
    <w:name w:val="footnote mark"/>
    <w:hidden/>
    <w:rsid w:val="0095645A"/>
    <w:rPr>
      <w:rFonts w:ascii="Calibri" w:eastAsia="Calibri" w:hAnsi="Calibri" w:cs="Calibri"/>
      <w:color w:val="000000"/>
      <w:sz w:val="20"/>
      <w:vertAlign w:val="superscript"/>
    </w:rPr>
  </w:style>
  <w:style w:type="paragraph" w:customStyle="1" w:styleId="AAGES">
    <w:name w:val="AA GES"/>
    <w:basedOn w:val="Normal"/>
    <w:link w:val="AAGESCar"/>
    <w:autoRedefine/>
    <w:qFormat/>
    <w:rsid w:val="0095645A"/>
    <w:pPr>
      <w:shd w:val="clear" w:color="auto" w:fill="FFFFFF"/>
      <w:ind w:left="851" w:right="851" w:firstLine="709"/>
      <w:jc w:val="both"/>
    </w:pPr>
    <w:rPr>
      <w:rFonts w:ascii="Calibri" w:eastAsia="Calibri" w:hAnsi="Calibri"/>
      <w:color w:val="000099"/>
      <w:sz w:val="26"/>
      <w:szCs w:val="26"/>
      <w:lang w:val="es-ES_tradnl"/>
    </w:rPr>
  </w:style>
  <w:style w:type="character" w:customStyle="1" w:styleId="AAGESCar">
    <w:name w:val="AA GES Car"/>
    <w:basedOn w:val="Fuentedeprrafopredeter"/>
    <w:link w:val="AAGES"/>
    <w:rsid w:val="0095645A"/>
    <w:rPr>
      <w:rFonts w:ascii="Calibri" w:eastAsia="Calibri" w:hAnsi="Calibri"/>
      <w:color w:val="000099"/>
      <w:sz w:val="26"/>
      <w:szCs w:val="26"/>
      <w:shd w:val="clear" w:color="auto" w:fill="FFFFFF"/>
      <w:lang w:val="es-ES_tradnl" w:eastAsia="ar-SA"/>
    </w:rPr>
  </w:style>
  <w:style w:type="table" w:customStyle="1" w:styleId="Tablaconcuadrcula13">
    <w:name w:val="Tabla con cuadrícula13"/>
    <w:basedOn w:val="Tablanormal"/>
    <w:next w:val="Tablaconcuadrcula"/>
    <w:uiPriority w:val="39"/>
    <w:rsid w:val="0095645A"/>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2">
    <w:name w:val="Tabla con cuadrícula22"/>
    <w:basedOn w:val="Tablanormal"/>
    <w:next w:val="Tablaconcuadrcula"/>
    <w:uiPriority w:val="39"/>
    <w:rsid w:val="0095645A"/>
    <w:rPr>
      <w:rFonts w:ascii="Calibri" w:eastAsia="Calibri" w:hAnsi="Calibri"/>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Sinlista5">
    <w:name w:val="Sin lista5"/>
    <w:next w:val="Sinlista"/>
    <w:uiPriority w:val="99"/>
    <w:semiHidden/>
    <w:unhideWhenUsed/>
    <w:rsid w:val="0095645A"/>
  </w:style>
  <w:style w:type="table" w:customStyle="1" w:styleId="Tablaconcuadrcula5">
    <w:name w:val="Tabla con cuadrícula5"/>
    <w:basedOn w:val="Tablanormal"/>
    <w:next w:val="Tablaconcuadrcula"/>
    <w:uiPriority w:val="59"/>
    <w:rsid w:val="0095645A"/>
    <w:rPr>
      <w:rFonts w:ascii="Liberation Serif" w:eastAsia="SimSun" w:hAnsi="Liberation Serif" w:cs="Lucida Sans"/>
      <w:szCs w:val="24"/>
      <w:lang w:val="es-CR"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xmsonormal">
    <w:name w:val="x_xxmsonormal"/>
    <w:basedOn w:val="Normal"/>
    <w:uiPriority w:val="99"/>
    <w:qFormat/>
    <w:rsid w:val="0095645A"/>
    <w:pPr>
      <w:suppressAutoHyphens w:val="0"/>
    </w:pPr>
    <w:rPr>
      <w:rFonts w:ascii="Calibri" w:eastAsia="Calibri" w:hAnsi="Calibri" w:cs="Calibri"/>
      <w:sz w:val="22"/>
      <w:szCs w:val="22"/>
      <w:lang w:val="es-CR" w:eastAsia="es-CR"/>
    </w:rPr>
  </w:style>
  <w:style w:type="paragraph" w:customStyle="1" w:styleId="xxxmsonormal0">
    <w:name w:val="x_x_xmsonormal"/>
    <w:basedOn w:val="Normal"/>
    <w:uiPriority w:val="99"/>
    <w:rsid w:val="0095645A"/>
    <w:pPr>
      <w:suppressAutoHyphens w:val="0"/>
      <w:spacing w:before="100" w:beforeAutospacing="1" w:after="100" w:afterAutospacing="1"/>
    </w:pPr>
    <w:rPr>
      <w:rFonts w:ascii="Calibri" w:eastAsia="Calibri" w:hAnsi="Calibri" w:cs="Calibri"/>
      <w:sz w:val="22"/>
      <w:szCs w:val="22"/>
      <w:lang w:val="es-CR" w:eastAsia="es-CR"/>
    </w:rPr>
  </w:style>
  <w:style w:type="table" w:customStyle="1" w:styleId="Tablaconcuadrcula6concolores-nfasis12">
    <w:name w:val="Tabla con cuadrícula 6 con colores - Énfasis 12"/>
    <w:basedOn w:val="Tablanormal"/>
    <w:next w:val="Tablaconcuadrcula6concolores-nfasis1"/>
    <w:uiPriority w:val="51"/>
    <w:rsid w:val="0095645A"/>
    <w:rPr>
      <w:rFonts w:ascii="Calibri" w:eastAsia="Calibri" w:hAnsi="Calibri"/>
      <w:color w:val="2F5496"/>
      <w:sz w:val="22"/>
      <w:szCs w:val="22"/>
      <w:lang w:val="es-CR" w:eastAsia="en-US"/>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decuadrcula42">
    <w:name w:val="Tabla de cuadrícula 42"/>
    <w:basedOn w:val="Tablanormal"/>
    <w:next w:val="Tabladecuadrcula4"/>
    <w:uiPriority w:val="49"/>
    <w:rsid w:val="0095645A"/>
    <w:rPr>
      <w:rFonts w:ascii="Calibri" w:eastAsia="Calibri" w:hAnsi="Calibr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styleId="Tablaconcuadrcula6concolores-nfasis1">
    <w:name w:val="Grid Table 6 Colorful Accent 1"/>
    <w:basedOn w:val="Tablanormal"/>
    <w:uiPriority w:val="51"/>
    <w:rsid w:val="0095645A"/>
    <w:rPr>
      <w:color w:val="365F91" w:themeColor="accent1" w:themeShade="BF"/>
    </w:r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styleId="Tabladecuadrcula4">
    <w:name w:val="Grid Table 4"/>
    <w:basedOn w:val="Tablanormal"/>
    <w:uiPriority w:val="49"/>
    <w:rsid w:val="0095645A"/>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Tablaconcuadrcula6">
    <w:name w:val="Tabla con cuadrícula6"/>
    <w:basedOn w:val="Tablanormal"/>
    <w:next w:val="Tablaconcuadrcula"/>
    <w:uiPriority w:val="59"/>
    <w:rsid w:val="00813D1C"/>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3">
    <w:name w:val="Tabla de cuadrícula 43"/>
    <w:basedOn w:val="Tablanormal"/>
    <w:next w:val="Tabladecuadrcula4"/>
    <w:uiPriority w:val="49"/>
    <w:rsid w:val="002B3DB7"/>
    <w:rPr>
      <w:rFonts w:ascii="Calibri" w:eastAsia="Calibri" w:hAnsi="Calibri" w:cs="Arial"/>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AENCABEZADO0">
    <w:name w:val="A ENCABEZADO"/>
    <w:basedOn w:val="Normal"/>
    <w:link w:val="AENCABEZADOCar0"/>
    <w:qFormat/>
    <w:rsid w:val="00A4544C"/>
    <w:pPr>
      <w:spacing w:before="120" w:after="120" w:line="480" w:lineRule="auto"/>
      <w:ind w:firstLine="709"/>
      <w:jc w:val="both"/>
    </w:pPr>
    <w:rPr>
      <w:color w:val="000099"/>
      <w:sz w:val="28"/>
      <w:szCs w:val="28"/>
      <w:lang w:val="es-CR"/>
    </w:rPr>
  </w:style>
  <w:style w:type="character" w:customStyle="1" w:styleId="AENCABEZADOCar0">
    <w:name w:val="A ENCABEZADO Car"/>
    <w:link w:val="AENCABEZADO0"/>
    <w:qFormat/>
    <w:rsid w:val="00A4544C"/>
    <w:rPr>
      <w:color w:val="000099"/>
      <w:sz w:val="28"/>
      <w:szCs w:val="28"/>
      <w:lang w:val="es-CR" w:eastAsia="ar-SA"/>
    </w:rPr>
  </w:style>
  <w:style w:type="table" w:customStyle="1" w:styleId="Tablaconcuadrcula131">
    <w:name w:val="Tabla con cuadrícula131"/>
    <w:basedOn w:val="Tablanormal"/>
    <w:uiPriority w:val="39"/>
    <w:rsid w:val="006F31E0"/>
    <w:rPr>
      <w:rFonts w:ascii="Calibri" w:eastAsia="Calibri" w:hAnsi="Calibri"/>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ispositiva0">
    <w:name w:val="Dispositiva"/>
    <w:basedOn w:val="Normal"/>
    <w:link w:val="DispositivaCar0"/>
    <w:qFormat/>
    <w:rsid w:val="00BD2DEA"/>
    <w:pPr>
      <w:spacing w:before="120" w:after="120" w:line="480" w:lineRule="auto"/>
      <w:ind w:firstLine="709"/>
      <w:jc w:val="both"/>
    </w:pPr>
    <w:rPr>
      <w:bCs/>
      <w:color w:val="000000"/>
      <w:sz w:val="28"/>
      <w:szCs w:val="28"/>
      <w:lang w:val="pt-BR"/>
    </w:rPr>
  </w:style>
  <w:style w:type="character" w:customStyle="1" w:styleId="DispositivaCar0">
    <w:name w:val="Dispositiva Car"/>
    <w:link w:val="Dispositiva0"/>
    <w:qFormat/>
    <w:rsid w:val="00BD2DEA"/>
    <w:rPr>
      <w:bCs/>
      <w:color w:val="000000"/>
      <w:sz w:val="28"/>
      <w:szCs w:val="28"/>
      <w:lang w:val="pt-BR" w:eastAsia="ar-SA"/>
    </w:rPr>
  </w:style>
  <w:style w:type="paragraph" w:customStyle="1" w:styleId="AAgestin0">
    <w:name w:val="AA gestión"/>
    <w:basedOn w:val="Normal"/>
    <w:link w:val="AAgestinCar0"/>
    <w:qFormat/>
    <w:rsid w:val="00BD2DEA"/>
    <w:pPr>
      <w:ind w:left="851" w:right="851" w:firstLine="709"/>
      <w:jc w:val="both"/>
    </w:pPr>
    <w:rPr>
      <w:color w:val="000099"/>
      <w:sz w:val="26"/>
      <w:szCs w:val="26"/>
      <w:lang w:val="es-ES_tradnl"/>
    </w:rPr>
  </w:style>
  <w:style w:type="character" w:customStyle="1" w:styleId="AAgestinCar0">
    <w:name w:val="AA gestión Car"/>
    <w:link w:val="AAgestin0"/>
    <w:qFormat/>
    <w:rsid w:val="00BD2DEA"/>
    <w:rPr>
      <w:color w:val="000099"/>
      <w:sz w:val="26"/>
      <w:szCs w:val="26"/>
      <w:lang w:val="es-ES_tradnl" w:eastAsia="ar-SA"/>
    </w:rPr>
  </w:style>
  <w:style w:type="numbering" w:customStyle="1" w:styleId="Sinlista6">
    <w:name w:val="Sin lista6"/>
    <w:next w:val="Sinlista"/>
    <w:uiPriority w:val="99"/>
    <w:semiHidden/>
    <w:unhideWhenUsed/>
    <w:rsid w:val="00D5408F"/>
  </w:style>
  <w:style w:type="table" w:customStyle="1" w:styleId="Tablaconcuadrcula7">
    <w:name w:val="Tabla con cuadrícula7"/>
    <w:basedOn w:val="Tablanormal"/>
    <w:next w:val="Tablaconcuadrcula"/>
    <w:uiPriority w:val="59"/>
    <w:rsid w:val="00D5408F"/>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2">
    <w:name w:val="Tabla profesional2"/>
    <w:basedOn w:val="Tablanormal"/>
    <w:next w:val="Tablaprofesional"/>
    <w:rsid w:val="00D5408F"/>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
    <w:name w:val="Tabla Web 12"/>
    <w:basedOn w:val="Tablanormal"/>
    <w:rsid w:val="00D5408F"/>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scripcin6">
    <w:name w:val="Descripción6"/>
    <w:basedOn w:val="Normal"/>
    <w:next w:val="Normal"/>
    <w:qFormat/>
    <w:rsid w:val="00D5408F"/>
    <w:pPr>
      <w:spacing w:after="200"/>
    </w:pPr>
    <w:rPr>
      <w:i/>
      <w:iCs/>
      <w:color w:val="44546A"/>
      <w:sz w:val="18"/>
      <w:szCs w:val="18"/>
      <w:lang w:val="es-ES_tradnl"/>
    </w:rPr>
  </w:style>
  <w:style w:type="paragraph" w:customStyle="1" w:styleId="Textocomentario13">
    <w:name w:val="Texto comentario13"/>
    <w:basedOn w:val="Normal"/>
    <w:rsid w:val="00D5408F"/>
    <w:rPr>
      <w:kern w:val="1"/>
      <w:sz w:val="20"/>
      <w:szCs w:val="20"/>
      <w:lang w:eastAsia="zh-CN"/>
    </w:rPr>
  </w:style>
  <w:style w:type="character" w:customStyle="1" w:styleId="WW8Num7z4">
    <w:name w:val="WW8Num7z4"/>
    <w:qFormat/>
    <w:rsid w:val="00D5408F"/>
  </w:style>
  <w:style w:type="character" w:customStyle="1" w:styleId="WW8Num7z5">
    <w:name w:val="WW8Num7z5"/>
    <w:qFormat/>
    <w:rsid w:val="00D5408F"/>
  </w:style>
  <w:style w:type="character" w:customStyle="1" w:styleId="WW8Num7z6">
    <w:name w:val="WW8Num7z6"/>
    <w:qFormat/>
    <w:rsid w:val="00D5408F"/>
  </w:style>
  <w:style w:type="character" w:customStyle="1" w:styleId="WW8Num7z7">
    <w:name w:val="WW8Num7z7"/>
    <w:qFormat/>
    <w:rsid w:val="00D5408F"/>
  </w:style>
  <w:style w:type="character" w:customStyle="1" w:styleId="WW8Num7z8">
    <w:name w:val="WW8Num7z8"/>
    <w:qFormat/>
    <w:rsid w:val="00D5408F"/>
  </w:style>
  <w:style w:type="character" w:customStyle="1" w:styleId="WW8Num9z4">
    <w:name w:val="WW8Num9z4"/>
    <w:qFormat/>
    <w:rsid w:val="00D5408F"/>
  </w:style>
  <w:style w:type="character" w:customStyle="1" w:styleId="WW8Num9z5">
    <w:name w:val="WW8Num9z5"/>
    <w:qFormat/>
    <w:rsid w:val="00D5408F"/>
  </w:style>
  <w:style w:type="character" w:customStyle="1" w:styleId="WW8Num9z6">
    <w:name w:val="WW8Num9z6"/>
    <w:qFormat/>
    <w:rsid w:val="00D5408F"/>
  </w:style>
  <w:style w:type="character" w:customStyle="1" w:styleId="WW8Num9z7">
    <w:name w:val="WW8Num9z7"/>
    <w:qFormat/>
    <w:rsid w:val="00D5408F"/>
  </w:style>
  <w:style w:type="character" w:customStyle="1" w:styleId="WW8Num9z8">
    <w:name w:val="WW8Num9z8"/>
    <w:qFormat/>
    <w:rsid w:val="00D5408F"/>
  </w:style>
  <w:style w:type="character" w:customStyle="1" w:styleId="WW8Num10z2">
    <w:name w:val="WW8Num10z2"/>
    <w:qFormat/>
    <w:rsid w:val="00D5408F"/>
  </w:style>
  <w:style w:type="character" w:customStyle="1" w:styleId="WW8Num10z3">
    <w:name w:val="WW8Num10z3"/>
    <w:qFormat/>
    <w:rsid w:val="00D5408F"/>
  </w:style>
  <w:style w:type="character" w:customStyle="1" w:styleId="WW8Num15z1">
    <w:name w:val="WW8Num15z1"/>
    <w:qFormat/>
    <w:rsid w:val="00D5408F"/>
  </w:style>
  <w:style w:type="character" w:customStyle="1" w:styleId="WW8Num15z2">
    <w:name w:val="WW8Num15z2"/>
    <w:qFormat/>
    <w:rsid w:val="00D5408F"/>
  </w:style>
  <w:style w:type="character" w:customStyle="1" w:styleId="WW8Num15z3">
    <w:name w:val="WW8Num15z3"/>
    <w:qFormat/>
    <w:rsid w:val="00D5408F"/>
  </w:style>
  <w:style w:type="character" w:customStyle="1" w:styleId="WW8Num15z4">
    <w:name w:val="WW8Num15z4"/>
    <w:qFormat/>
    <w:rsid w:val="00D5408F"/>
  </w:style>
  <w:style w:type="character" w:customStyle="1" w:styleId="WW8Num15z5">
    <w:name w:val="WW8Num15z5"/>
    <w:qFormat/>
    <w:rsid w:val="00D5408F"/>
  </w:style>
  <w:style w:type="character" w:customStyle="1" w:styleId="WW8Num15z6">
    <w:name w:val="WW8Num15z6"/>
    <w:qFormat/>
    <w:rsid w:val="00D5408F"/>
  </w:style>
  <w:style w:type="character" w:customStyle="1" w:styleId="WW8Num15z7">
    <w:name w:val="WW8Num15z7"/>
    <w:qFormat/>
    <w:rsid w:val="00D5408F"/>
  </w:style>
  <w:style w:type="character" w:customStyle="1" w:styleId="WW8Num15z8">
    <w:name w:val="WW8Num15z8"/>
    <w:qFormat/>
    <w:rsid w:val="00D5408F"/>
  </w:style>
  <w:style w:type="character" w:customStyle="1" w:styleId="WW8Num16z1">
    <w:name w:val="WW8Num16z1"/>
    <w:qFormat/>
    <w:rsid w:val="00D5408F"/>
  </w:style>
  <w:style w:type="character" w:customStyle="1" w:styleId="WW8Num16z2">
    <w:name w:val="WW8Num16z2"/>
    <w:qFormat/>
    <w:rsid w:val="00D5408F"/>
  </w:style>
  <w:style w:type="character" w:customStyle="1" w:styleId="WW8Num16z4">
    <w:name w:val="WW8Num16z4"/>
    <w:qFormat/>
    <w:rsid w:val="00D5408F"/>
  </w:style>
  <w:style w:type="character" w:customStyle="1" w:styleId="WW8Num16z5">
    <w:name w:val="WW8Num16z5"/>
    <w:qFormat/>
    <w:rsid w:val="00D5408F"/>
  </w:style>
  <w:style w:type="character" w:customStyle="1" w:styleId="WW8Num16z6">
    <w:name w:val="WW8Num16z6"/>
    <w:qFormat/>
    <w:rsid w:val="00D5408F"/>
  </w:style>
  <w:style w:type="character" w:customStyle="1" w:styleId="WW8Num16z7">
    <w:name w:val="WW8Num16z7"/>
    <w:qFormat/>
    <w:rsid w:val="00D5408F"/>
  </w:style>
  <w:style w:type="character" w:customStyle="1" w:styleId="WW8Num16z8">
    <w:name w:val="WW8Num16z8"/>
    <w:qFormat/>
    <w:rsid w:val="00D5408F"/>
  </w:style>
  <w:style w:type="character" w:customStyle="1" w:styleId="WW8Num20z2">
    <w:name w:val="WW8Num20z2"/>
    <w:qFormat/>
    <w:rsid w:val="00D5408F"/>
  </w:style>
  <w:style w:type="character" w:customStyle="1" w:styleId="WW8Num20z5">
    <w:name w:val="WW8Num20z5"/>
    <w:qFormat/>
    <w:rsid w:val="00D5408F"/>
  </w:style>
  <w:style w:type="character" w:customStyle="1" w:styleId="WW8Num20z6">
    <w:name w:val="WW8Num20z6"/>
    <w:qFormat/>
    <w:rsid w:val="00D5408F"/>
  </w:style>
  <w:style w:type="character" w:customStyle="1" w:styleId="WW8Num20z7">
    <w:name w:val="WW8Num20z7"/>
    <w:qFormat/>
    <w:rsid w:val="00D5408F"/>
  </w:style>
  <w:style w:type="character" w:customStyle="1" w:styleId="WW8Num20z8">
    <w:name w:val="WW8Num20z8"/>
    <w:qFormat/>
    <w:rsid w:val="00D5408F"/>
  </w:style>
  <w:style w:type="character" w:customStyle="1" w:styleId="WW8Num21z3">
    <w:name w:val="WW8Num21z3"/>
    <w:qFormat/>
    <w:rsid w:val="00D5408F"/>
  </w:style>
  <w:style w:type="character" w:customStyle="1" w:styleId="WW8Num21z4">
    <w:name w:val="WW8Num21z4"/>
    <w:qFormat/>
    <w:rsid w:val="00D5408F"/>
  </w:style>
  <w:style w:type="character" w:customStyle="1" w:styleId="WW8Num21z5">
    <w:name w:val="WW8Num21z5"/>
    <w:qFormat/>
    <w:rsid w:val="00D5408F"/>
  </w:style>
  <w:style w:type="character" w:customStyle="1" w:styleId="WW8Num21z6">
    <w:name w:val="WW8Num21z6"/>
    <w:qFormat/>
    <w:rsid w:val="00D5408F"/>
  </w:style>
  <w:style w:type="character" w:customStyle="1" w:styleId="WW8Num21z7">
    <w:name w:val="WW8Num21z7"/>
    <w:qFormat/>
    <w:rsid w:val="00D5408F"/>
  </w:style>
  <w:style w:type="character" w:customStyle="1" w:styleId="WW8Num21z8">
    <w:name w:val="WW8Num21z8"/>
    <w:qFormat/>
    <w:rsid w:val="00D5408F"/>
  </w:style>
  <w:style w:type="character" w:customStyle="1" w:styleId="WW8Num22z2">
    <w:name w:val="WW8Num22z2"/>
    <w:qFormat/>
    <w:rsid w:val="00D5408F"/>
  </w:style>
  <w:style w:type="character" w:customStyle="1" w:styleId="WW8Num22z3">
    <w:name w:val="WW8Num22z3"/>
    <w:qFormat/>
    <w:rsid w:val="00D5408F"/>
  </w:style>
  <w:style w:type="character" w:customStyle="1" w:styleId="WW8Num22z4">
    <w:name w:val="WW8Num22z4"/>
    <w:qFormat/>
    <w:rsid w:val="00D5408F"/>
  </w:style>
  <w:style w:type="character" w:customStyle="1" w:styleId="WW8Num22z5">
    <w:name w:val="WW8Num22z5"/>
    <w:qFormat/>
    <w:rsid w:val="00D5408F"/>
  </w:style>
  <w:style w:type="character" w:customStyle="1" w:styleId="WW8Num22z6">
    <w:name w:val="WW8Num22z6"/>
    <w:qFormat/>
    <w:rsid w:val="00D5408F"/>
  </w:style>
  <w:style w:type="character" w:customStyle="1" w:styleId="WW8Num22z7">
    <w:name w:val="WW8Num22z7"/>
    <w:qFormat/>
    <w:rsid w:val="00D5408F"/>
  </w:style>
  <w:style w:type="character" w:customStyle="1" w:styleId="WW8Num22z8">
    <w:name w:val="WW8Num22z8"/>
    <w:qFormat/>
    <w:rsid w:val="00D5408F"/>
  </w:style>
  <w:style w:type="character" w:customStyle="1" w:styleId="WW8Num24z2">
    <w:name w:val="WW8Num24z2"/>
    <w:qFormat/>
    <w:rsid w:val="00D5408F"/>
  </w:style>
  <w:style w:type="character" w:customStyle="1" w:styleId="WW8Num24z4">
    <w:name w:val="WW8Num24z4"/>
    <w:qFormat/>
    <w:rsid w:val="00D5408F"/>
    <w:rPr>
      <w:rFonts w:ascii="Wingdings" w:hAnsi="Wingdings" w:cs="Wingdings"/>
    </w:rPr>
  </w:style>
  <w:style w:type="character" w:customStyle="1" w:styleId="WW8Num24z5">
    <w:name w:val="WW8Num24z5"/>
    <w:qFormat/>
    <w:rsid w:val="00D5408F"/>
  </w:style>
  <w:style w:type="character" w:customStyle="1" w:styleId="WW8Num24z6">
    <w:name w:val="WW8Num24z6"/>
    <w:qFormat/>
    <w:rsid w:val="00D5408F"/>
  </w:style>
  <w:style w:type="character" w:customStyle="1" w:styleId="WW8Num24z7">
    <w:name w:val="WW8Num24z7"/>
    <w:qFormat/>
    <w:rsid w:val="00D5408F"/>
  </w:style>
  <w:style w:type="character" w:customStyle="1" w:styleId="WW8Num24z8">
    <w:name w:val="WW8Num24z8"/>
    <w:qFormat/>
    <w:rsid w:val="00D5408F"/>
  </w:style>
  <w:style w:type="character" w:customStyle="1" w:styleId="WW8Num25z4">
    <w:name w:val="WW8Num25z4"/>
    <w:qFormat/>
    <w:rsid w:val="00D5408F"/>
  </w:style>
  <w:style w:type="character" w:customStyle="1" w:styleId="WW8Num25z5">
    <w:name w:val="WW8Num25z5"/>
    <w:qFormat/>
    <w:rsid w:val="00D5408F"/>
  </w:style>
  <w:style w:type="character" w:customStyle="1" w:styleId="WW8Num25z6">
    <w:name w:val="WW8Num25z6"/>
    <w:qFormat/>
    <w:rsid w:val="00D5408F"/>
  </w:style>
  <w:style w:type="character" w:customStyle="1" w:styleId="WW8Num25z7">
    <w:name w:val="WW8Num25z7"/>
    <w:qFormat/>
    <w:rsid w:val="00D5408F"/>
  </w:style>
  <w:style w:type="character" w:customStyle="1" w:styleId="WW8Num25z8">
    <w:name w:val="WW8Num25z8"/>
    <w:qFormat/>
    <w:rsid w:val="00D5408F"/>
  </w:style>
  <w:style w:type="character" w:customStyle="1" w:styleId="WW8Num26z4">
    <w:name w:val="WW8Num26z4"/>
    <w:qFormat/>
    <w:rsid w:val="00D5408F"/>
  </w:style>
  <w:style w:type="character" w:customStyle="1" w:styleId="WW8Num26z5">
    <w:name w:val="WW8Num26z5"/>
    <w:qFormat/>
    <w:rsid w:val="00D5408F"/>
  </w:style>
  <w:style w:type="character" w:customStyle="1" w:styleId="WW8Num26z6">
    <w:name w:val="WW8Num26z6"/>
    <w:qFormat/>
    <w:rsid w:val="00D5408F"/>
  </w:style>
  <w:style w:type="character" w:customStyle="1" w:styleId="WW8Num26z7">
    <w:name w:val="WW8Num26z7"/>
    <w:qFormat/>
    <w:rsid w:val="00D5408F"/>
  </w:style>
  <w:style w:type="character" w:customStyle="1" w:styleId="WW8Num26z8">
    <w:name w:val="WW8Num26z8"/>
    <w:qFormat/>
    <w:rsid w:val="00D5408F"/>
  </w:style>
  <w:style w:type="character" w:customStyle="1" w:styleId="WW8Num27z2">
    <w:name w:val="WW8Num27z2"/>
    <w:qFormat/>
    <w:rsid w:val="00D5408F"/>
  </w:style>
  <w:style w:type="character" w:customStyle="1" w:styleId="WW8Num27z4">
    <w:name w:val="WW8Num27z4"/>
    <w:qFormat/>
    <w:rsid w:val="00D5408F"/>
  </w:style>
  <w:style w:type="character" w:customStyle="1" w:styleId="WW8Num27z5">
    <w:name w:val="WW8Num27z5"/>
    <w:qFormat/>
    <w:rsid w:val="00D5408F"/>
  </w:style>
  <w:style w:type="character" w:customStyle="1" w:styleId="WW8Num27z6">
    <w:name w:val="WW8Num27z6"/>
    <w:qFormat/>
    <w:rsid w:val="00D5408F"/>
  </w:style>
  <w:style w:type="character" w:customStyle="1" w:styleId="WW8Num27z7">
    <w:name w:val="WW8Num27z7"/>
    <w:qFormat/>
    <w:rsid w:val="00D5408F"/>
  </w:style>
  <w:style w:type="character" w:customStyle="1" w:styleId="WW8Num27z8">
    <w:name w:val="WW8Num27z8"/>
    <w:qFormat/>
    <w:rsid w:val="00D5408F"/>
  </w:style>
  <w:style w:type="character" w:customStyle="1" w:styleId="WW8Num29z2">
    <w:name w:val="WW8Num29z2"/>
    <w:qFormat/>
    <w:rsid w:val="00D5408F"/>
    <w:rPr>
      <w:rFonts w:ascii="Wingdings" w:hAnsi="Wingdings" w:cs="Wingdings"/>
    </w:rPr>
  </w:style>
  <w:style w:type="character" w:customStyle="1" w:styleId="WW8Num30z5">
    <w:name w:val="WW8Num30z5"/>
    <w:qFormat/>
    <w:rsid w:val="00D5408F"/>
  </w:style>
  <w:style w:type="character" w:customStyle="1" w:styleId="WW8Num30z6">
    <w:name w:val="WW8Num30z6"/>
    <w:qFormat/>
    <w:rsid w:val="00D5408F"/>
  </w:style>
  <w:style w:type="character" w:customStyle="1" w:styleId="WW8Num30z7">
    <w:name w:val="WW8Num30z7"/>
    <w:qFormat/>
    <w:rsid w:val="00D5408F"/>
  </w:style>
  <w:style w:type="character" w:customStyle="1" w:styleId="WW8Num30z8">
    <w:name w:val="WW8Num30z8"/>
    <w:qFormat/>
    <w:rsid w:val="00D5408F"/>
  </w:style>
  <w:style w:type="character" w:customStyle="1" w:styleId="WW8Num31z4">
    <w:name w:val="WW8Num31z4"/>
    <w:qFormat/>
    <w:rsid w:val="00D5408F"/>
  </w:style>
  <w:style w:type="character" w:customStyle="1" w:styleId="WW8Num31z5">
    <w:name w:val="WW8Num31z5"/>
    <w:qFormat/>
    <w:rsid w:val="00D5408F"/>
  </w:style>
  <w:style w:type="character" w:customStyle="1" w:styleId="WW8Num31z6">
    <w:name w:val="WW8Num31z6"/>
    <w:qFormat/>
    <w:rsid w:val="00D5408F"/>
  </w:style>
  <w:style w:type="character" w:customStyle="1" w:styleId="WW8Num31z7">
    <w:name w:val="WW8Num31z7"/>
    <w:qFormat/>
    <w:rsid w:val="00D5408F"/>
  </w:style>
  <w:style w:type="character" w:customStyle="1" w:styleId="WW8Num31z8">
    <w:name w:val="WW8Num31z8"/>
    <w:qFormat/>
    <w:rsid w:val="00D5408F"/>
  </w:style>
  <w:style w:type="character" w:customStyle="1" w:styleId="WW8Num32z4">
    <w:name w:val="WW8Num32z4"/>
    <w:qFormat/>
    <w:rsid w:val="00D5408F"/>
  </w:style>
  <w:style w:type="character" w:customStyle="1" w:styleId="WW8Num32z5">
    <w:name w:val="WW8Num32z5"/>
    <w:qFormat/>
    <w:rsid w:val="00D5408F"/>
  </w:style>
  <w:style w:type="character" w:customStyle="1" w:styleId="WW8Num32z6">
    <w:name w:val="WW8Num32z6"/>
    <w:qFormat/>
    <w:rsid w:val="00D5408F"/>
  </w:style>
  <w:style w:type="character" w:customStyle="1" w:styleId="WW8Num32z7">
    <w:name w:val="WW8Num32z7"/>
    <w:qFormat/>
    <w:rsid w:val="00D5408F"/>
  </w:style>
  <w:style w:type="character" w:customStyle="1" w:styleId="WW8Num32z8">
    <w:name w:val="WW8Num32z8"/>
    <w:qFormat/>
    <w:rsid w:val="00D5408F"/>
  </w:style>
  <w:style w:type="character" w:customStyle="1" w:styleId="WW8Num33z2">
    <w:name w:val="WW8Num33z2"/>
    <w:qFormat/>
    <w:rsid w:val="00D5408F"/>
  </w:style>
  <w:style w:type="character" w:customStyle="1" w:styleId="WW8Num33z3">
    <w:name w:val="WW8Num33z3"/>
    <w:qFormat/>
    <w:rsid w:val="00D5408F"/>
  </w:style>
  <w:style w:type="character" w:customStyle="1" w:styleId="WW8Num33z4">
    <w:name w:val="WW8Num33z4"/>
    <w:qFormat/>
    <w:rsid w:val="00D5408F"/>
  </w:style>
  <w:style w:type="character" w:customStyle="1" w:styleId="WW8Num33z5">
    <w:name w:val="WW8Num33z5"/>
    <w:qFormat/>
    <w:rsid w:val="00D5408F"/>
  </w:style>
  <w:style w:type="character" w:customStyle="1" w:styleId="WW8Num33z6">
    <w:name w:val="WW8Num33z6"/>
    <w:qFormat/>
    <w:rsid w:val="00D5408F"/>
  </w:style>
  <w:style w:type="character" w:customStyle="1" w:styleId="WW8Num33z7">
    <w:name w:val="WW8Num33z7"/>
    <w:qFormat/>
    <w:rsid w:val="00D5408F"/>
  </w:style>
  <w:style w:type="character" w:customStyle="1" w:styleId="WW8Num33z8">
    <w:name w:val="WW8Num33z8"/>
    <w:qFormat/>
    <w:rsid w:val="00D5408F"/>
  </w:style>
  <w:style w:type="character" w:customStyle="1" w:styleId="WW8Num34z0">
    <w:name w:val="WW8Num34z0"/>
    <w:qFormat/>
    <w:rsid w:val="00D5408F"/>
  </w:style>
  <w:style w:type="character" w:customStyle="1" w:styleId="WW8Num34z1">
    <w:name w:val="WW8Num34z1"/>
    <w:qFormat/>
    <w:rsid w:val="00D5408F"/>
  </w:style>
  <w:style w:type="character" w:customStyle="1" w:styleId="WW8Num34z2">
    <w:name w:val="WW8Num34z2"/>
    <w:qFormat/>
    <w:rsid w:val="00D5408F"/>
  </w:style>
  <w:style w:type="character" w:customStyle="1" w:styleId="WW8Num34z3">
    <w:name w:val="WW8Num34z3"/>
    <w:qFormat/>
    <w:rsid w:val="00D5408F"/>
  </w:style>
  <w:style w:type="character" w:customStyle="1" w:styleId="WW8Num34z4">
    <w:name w:val="WW8Num34z4"/>
    <w:qFormat/>
    <w:rsid w:val="00D5408F"/>
  </w:style>
  <w:style w:type="character" w:customStyle="1" w:styleId="WW8Num34z5">
    <w:name w:val="WW8Num34z5"/>
    <w:qFormat/>
    <w:rsid w:val="00D5408F"/>
  </w:style>
  <w:style w:type="character" w:customStyle="1" w:styleId="WW8Num34z7">
    <w:name w:val="WW8Num34z7"/>
    <w:qFormat/>
    <w:rsid w:val="00D5408F"/>
  </w:style>
  <w:style w:type="character" w:customStyle="1" w:styleId="WW8Num34z8">
    <w:name w:val="WW8Num34z8"/>
    <w:qFormat/>
    <w:rsid w:val="00D5408F"/>
  </w:style>
  <w:style w:type="character" w:customStyle="1" w:styleId="WW8Num35z0">
    <w:name w:val="WW8Num35z0"/>
    <w:qFormat/>
    <w:rsid w:val="00D5408F"/>
  </w:style>
  <w:style w:type="character" w:customStyle="1" w:styleId="WW8Num35z5">
    <w:name w:val="WW8Num35z5"/>
    <w:qFormat/>
    <w:rsid w:val="00D5408F"/>
  </w:style>
  <w:style w:type="character" w:customStyle="1" w:styleId="WW8Num35z6">
    <w:name w:val="WW8Num35z6"/>
    <w:qFormat/>
    <w:rsid w:val="00D5408F"/>
  </w:style>
  <w:style w:type="character" w:customStyle="1" w:styleId="WW8Num35z7">
    <w:name w:val="WW8Num35z7"/>
    <w:qFormat/>
    <w:rsid w:val="00D5408F"/>
  </w:style>
  <w:style w:type="character" w:customStyle="1" w:styleId="WW8Num35z8">
    <w:name w:val="WW8Num35z8"/>
    <w:qFormat/>
    <w:rsid w:val="00D5408F"/>
  </w:style>
  <w:style w:type="character" w:customStyle="1" w:styleId="WW8Num36z2">
    <w:name w:val="WW8Num36z2"/>
    <w:qFormat/>
    <w:rsid w:val="00D5408F"/>
  </w:style>
  <w:style w:type="character" w:customStyle="1" w:styleId="WW8Num36z3">
    <w:name w:val="WW8Num36z3"/>
    <w:qFormat/>
    <w:rsid w:val="00D5408F"/>
  </w:style>
  <w:style w:type="character" w:customStyle="1" w:styleId="WW8Num36z5">
    <w:name w:val="WW8Num36z5"/>
    <w:qFormat/>
    <w:rsid w:val="00D5408F"/>
  </w:style>
  <w:style w:type="character" w:customStyle="1" w:styleId="WW8Num36z6">
    <w:name w:val="WW8Num36z6"/>
    <w:qFormat/>
    <w:rsid w:val="00D5408F"/>
  </w:style>
  <w:style w:type="character" w:customStyle="1" w:styleId="WW8Num36z7">
    <w:name w:val="WW8Num36z7"/>
    <w:qFormat/>
    <w:rsid w:val="00D5408F"/>
  </w:style>
  <w:style w:type="character" w:customStyle="1" w:styleId="WW8Num36z8">
    <w:name w:val="WW8Num36z8"/>
    <w:qFormat/>
    <w:rsid w:val="00D5408F"/>
  </w:style>
  <w:style w:type="character" w:customStyle="1" w:styleId="WW8Num37z3">
    <w:name w:val="WW8Num37z3"/>
    <w:qFormat/>
    <w:rsid w:val="00D5408F"/>
  </w:style>
  <w:style w:type="character" w:customStyle="1" w:styleId="WW8Num37z4">
    <w:name w:val="WW8Num37z4"/>
    <w:qFormat/>
    <w:rsid w:val="00D5408F"/>
  </w:style>
  <w:style w:type="character" w:customStyle="1" w:styleId="WW8Num37z5">
    <w:name w:val="WW8Num37z5"/>
    <w:qFormat/>
    <w:rsid w:val="00D5408F"/>
  </w:style>
  <w:style w:type="character" w:customStyle="1" w:styleId="WW8Num37z6">
    <w:name w:val="WW8Num37z6"/>
    <w:qFormat/>
    <w:rsid w:val="00D5408F"/>
  </w:style>
  <w:style w:type="character" w:customStyle="1" w:styleId="WW8Num37z7">
    <w:name w:val="WW8Num37z7"/>
    <w:qFormat/>
    <w:rsid w:val="00D5408F"/>
  </w:style>
  <w:style w:type="character" w:customStyle="1" w:styleId="WW8Num37z8">
    <w:name w:val="WW8Num37z8"/>
    <w:qFormat/>
    <w:rsid w:val="00D5408F"/>
  </w:style>
  <w:style w:type="character" w:customStyle="1" w:styleId="WW8Num38z3">
    <w:name w:val="WW8Num38z3"/>
    <w:qFormat/>
    <w:rsid w:val="00D5408F"/>
  </w:style>
  <w:style w:type="character" w:customStyle="1" w:styleId="WW8Num38z4">
    <w:name w:val="WW8Num38z4"/>
    <w:qFormat/>
    <w:rsid w:val="00D5408F"/>
  </w:style>
  <w:style w:type="character" w:customStyle="1" w:styleId="WW8Num38z5">
    <w:name w:val="WW8Num38z5"/>
    <w:qFormat/>
    <w:rsid w:val="00D5408F"/>
  </w:style>
  <w:style w:type="character" w:customStyle="1" w:styleId="WW8Num38z6">
    <w:name w:val="WW8Num38z6"/>
    <w:qFormat/>
    <w:rsid w:val="00D5408F"/>
  </w:style>
  <w:style w:type="character" w:customStyle="1" w:styleId="WW8Num38z7">
    <w:name w:val="WW8Num38z7"/>
    <w:qFormat/>
    <w:rsid w:val="00D5408F"/>
  </w:style>
  <w:style w:type="character" w:customStyle="1" w:styleId="WW8Num38z8">
    <w:name w:val="WW8Num38z8"/>
    <w:qFormat/>
    <w:rsid w:val="00D5408F"/>
  </w:style>
  <w:style w:type="character" w:customStyle="1" w:styleId="WW8Num39z1">
    <w:name w:val="WW8Num39z1"/>
    <w:qFormat/>
    <w:rsid w:val="00D5408F"/>
  </w:style>
  <w:style w:type="character" w:customStyle="1" w:styleId="WW8Num39z3">
    <w:name w:val="WW8Num39z3"/>
    <w:qFormat/>
    <w:rsid w:val="00D5408F"/>
  </w:style>
  <w:style w:type="character" w:customStyle="1" w:styleId="WW8Num39z4">
    <w:name w:val="WW8Num39z4"/>
    <w:qFormat/>
    <w:rsid w:val="00D5408F"/>
  </w:style>
  <w:style w:type="character" w:customStyle="1" w:styleId="WW8Num39z5">
    <w:name w:val="WW8Num39z5"/>
    <w:qFormat/>
    <w:rsid w:val="00D5408F"/>
  </w:style>
  <w:style w:type="character" w:customStyle="1" w:styleId="WW8Num39z6">
    <w:name w:val="WW8Num39z6"/>
    <w:qFormat/>
    <w:rsid w:val="00D5408F"/>
  </w:style>
  <w:style w:type="character" w:customStyle="1" w:styleId="WW8Num39z7">
    <w:name w:val="WW8Num39z7"/>
    <w:qFormat/>
    <w:rsid w:val="00D5408F"/>
  </w:style>
  <w:style w:type="character" w:customStyle="1" w:styleId="WW8Num39z8">
    <w:name w:val="WW8Num39z8"/>
    <w:qFormat/>
    <w:rsid w:val="00D5408F"/>
  </w:style>
  <w:style w:type="character" w:customStyle="1" w:styleId="WW8Num40z0">
    <w:name w:val="WW8Num40z0"/>
    <w:qFormat/>
    <w:rsid w:val="00D5408F"/>
  </w:style>
  <w:style w:type="character" w:customStyle="1" w:styleId="WW8Num40z1">
    <w:name w:val="WW8Num40z1"/>
    <w:qFormat/>
    <w:rsid w:val="00D5408F"/>
  </w:style>
  <w:style w:type="character" w:customStyle="1" w:styleId="WW8Num40z2">
    <w:name w:val="WW8Num40z2"/>
    <w:qFormat/>
    <w:rsid w:val="00D5408F"/>
  </w:style>
  <w:style w:type="character" w:customStyle="1" w:styleId="WW8Num40z3">
    <w:name w:val="WW8Num40z3"/>
    <w:qFormat/>
    <w:rsid w:val="00D5408F"/>
  </w:style>
  <w:style w:type="character" w:customStyle="1" w:styleId="WW8Num40z4">
    <w:name w:val="WW8Num40z4"/>
    <w:qFormat/>
    <w:rsid w:val="00D5408F"/>
  </w:style>
  <w:style w:type="character" w:customStyle="1" w:styleId="WW8Num40z5">
    <w:name w:val="WW8Num40z5"/>
    <w:qFormat/>
    <w:rsid w:val="00D5408F"/>
  </w:style>
  <w:style w:type="character" w:customStyle="1" w:styleId="WW8Num40z6">
    <w:name w:val="WW8Num40z6"/>
    <w:qFormat/>
    <w:rsid w:val="00D5408F"/>
  </w:style>
  <w:style w:type="character" w:customStyle="1" w:styleId="WW8Num40z7">
    <w:name w:val="WW8Num40z7"/>
    <w:qFormat/>
    <w:rsid w:val="00D5408F"/>
  </w:style>
  <w:style w:type="character" w:customStyle="1" w:styleId="WW8Num40z8">
    <w:name w:val="WW8Num40z8"/>
    <w:qFormat/>
    <w:rsid w:val="00D5408F"/>
  </w:style>
  <w:style w:type="character" w:customStyle="1" w:styleId="WW8Num41z4">
    <w:name w:val="WW8Num41z4"/>
    <w:qFormat/>
    <w:rsid w:val="00D5408F"/>
  </w:style>
  <w:style w:type="character" w:customStyle="1" w:styleId="WW8Num41z5">
    <w:name w:val="WW8Num41z5"/>
    <w:qFormat/>
    <w:rsid w:val="00D5408F"/>
  </w:style>
  <w:style w:type="character" w:customStyle="1" w:styleId="WW8Num41z6">
    <w:name w:val="WW8Num41z6"/>
    <w:qFormat/>
    <w:rsid w:val="00D5408F"/>
  </w:style>
  <w:style w:type="character" w:customStyle="1" w:styleId="WW8Num41z7">
    <w:name w:val="WW8Num41z7"/>
    <w:qFormat/>
    <w:rsid w:val="00D5408F"/>
  </w:style>
  <w:style w:type="character" w:customStyle="1" w:styleId="WW8Num41z8">
    <w:name w:val="WW8Num41z8"/>
    <w:qFormat/>
    <w:rsid w:val="00D5408F"/>
  </w:style>
  <w:style w:type="character" w:customStyle="1" w:styleId="WW8Num42z2">
    <w:name w:val="WW8Num42z2"/>
    <w:qFormat/>
    <w:rsid w:val="00D5408F"/>
  </w:style>
  <w:style w:type="character" w:customStyle="1" w:styleId="WW8Num42z3">
    <w:name w:val="WW8Num42z3"/>
    <w:qFormat/>
    <w:rsid w:val="00D5408F"/>
  </w:style>
  <w:style w:type="character" w:customStyle="1" w:styleId="WW8Num42z4">
    <w:name w:val="WW8Num42z4"/>
    <w:qFormat/>
    <w:rsid w:val="00D5408F"/>
  </w:style>
  <w:style w:type="character" w:customStyle="1" w:styleId="WW8Num42z5">
    <w:name w:val="WW8Num42z5"/>
    <w:qFormat/>
    <w:rsid w:val="00D5408F"/>
  </w:style>
  <w:style w:type="character" w:customStyle="1" w:styleId="WW8Num42z6">
    <w:name w:val="WW8Num42z6"/>
    <w:qFormat/>
    <w:rsid w:val="00D5408F"/>
  </w:style>
  <w:style w:type="character" w:customStyle="1" w:styleId="WW8Num42z7">
    <w:name w:val="WW8Num42z7"/>
    <w:qFormat/>
    <w:rsid w:val="00D5408F"/>
  </w:style>
  <w:style w:type="character" w:customStyle="1" w:styleId="WW8Num42z8">
    <w:name w:val="WW8Num42z8"/>
    <w:qFormat/>
    <w:rsid w:val="00D5408F"/>
  </w:style>
  <w:style w:type="character" w:customStyle="1" w:styleId="WW8Num44z0">
    <w:name w:val="WW8Num44z0"/>
    <w:qFormat/>
    <w:rsid w:val="00D5408F"/>
    <w:rPr>
      <w:rFonts w:ascii="Book Antiqua" w:eastAsia="Times New Roman" w:hAnsi="Book Antiqua" w:cs="Times New Roman"/>
    </w:rPr>
  </w:style>
  <w:style w:type="character" w:customStyle="1" w:styleId="WW8Num44z1">
    <w:name w:val="WW8Num44z1"/>
    <w:qFormat/>
    <w:rsid w:val="00D5408F"/>
    <w:rPr>
      <w:rFonts w:ascii="Courier New" w:hAnsi="Courier New" w:cs="Courier New"/>
    </w:rPr>
  </w:style>
  <w:style w:type="character" w:customStyle="1" w:styleId="WW8Num44z2">
    <w:name w:val="WW8Num44z2"/>
    <w:qFormat/>
    <w:rsid w:val="00D5408F"/>
    <w:rPr>
      <w:rFonts w:ascii="Wingdings" w:hAnsi="Wingdings" w:cs="Wingdings"/>
    </w:rPr>
  </w:style>
  <w:style w:type="character" w:customStyle="1" w:styleId="WW8Num44z3">
    <w:name w:val="WW8Num44z3"/>
    <w:qFormat/>
    <w:rsid w:val="00D5408F"/>
    <w:rPr>
      <w:rFonts w:ascii="Symbol" w:hAnsi="Symbol" w:cs="Symbol"/>
    </w:rPr>
  </w:style>
  <w:style w:type="character" w:customStyle="1" w:styleId="WW8Num45z0">
    <w:name w:val="WW8Num45z0"/>
    <w:qFormat/>
    <w:rsid w:val="00D5408F"/>
  </w:style>
  <w:style w:type="character" w:customStyle="1" w:styleId="WW8Num45z1">
    <w:name w:val="WW8Num45z1"/>
    <w:qFormat/>
    <w:rsid w:val="00D5408F"/>
  </w:style>
  <w:style w:type="character" w:customStyle="1" w:styleId="WW8Num45z2">
    <w:name w:val="WW8Num45z2"/>
    <w:qFormat/>
    <w:rsid w:val="00D5408F"/>
  </w:style>
  <w:style w:type="character" w:customStyle="1" w:styleId="WW8Num45z3">
    <w:name w:val="WW8Num45z3"/>
    <w:qFormat/>
    <w:rsid w:val="00D5408F"/>
  </w:style>
  <w:style w:type="character" w:customStyle="1" w:styleId="WW8Num45z4">
    <w:name w:val="WW8Num45z4"/>
    <w:qFormat/>
    <w:rsid w:val="00D5408F"/>
  </w:style>
  <w:style w:type="character" w:customStyle="1" w:styleId="WW8Num45z5">
    <w:name w:val="WW8Num45z5"/>
    <w:qFormat/>
    <w:rsid w:val="00D5408F"/>
  </w:style>
  <w:style w:type="character" w:customStyle="1" w:styleId="WW8Num45z6">
    <w:name w:val="WW8Num45z6"/>
    <w:qFormat/>
    <w:rsid w:val="00D5408F"/>
  </w:style>
  <w:style w:type="character" w:customStyle="1" w:styleId="WW8Num45z7">
    <w:name w:val="WW8Num45z7"/>
    <w:qFormat/>
    <w:rsid w:val="00D5408F"/>
  </w:style>
  <w:style w:type="character" w:customStyle="1" w:styleId="WW8Num45z8">
    <w:name w:val="WW8Num45z8"/>
    <w:qFormat/>
    <w:rsid w:val="00D5408F"/>
  </w:style>
  <w:style w:type="character" w:customStyle="1" w:styleId="WW8Num46z1">
    <w:name w:val="WW8Num46z1"/>
    <w:qFormat/>
    <w:rsid w:val="00D5408F"/>
  </w:style>
  <w:style w:type="character" w:customStyle="1" w:styleId="WW8Num46z2">
    <w:name w:val="WW8Num46z2"/>
    <w:qFormat/>
    <w:rsid w:val="00D5408F"/>
  </w:style>
  <w:style w:type="character" w:customStyle="1" w:styleId="WW8Num46z3">
    <w:name w:val="WW8Num46z3"/>
    <w:qFormat/>
    <w:rsid w:val="00D5408F"/>
  </w:style>
  <w:style w:type="character" w:customStyle="1" w:styleId="WW8Num46z4">
    <w:name w:val="WW8Num46z4"/>
    <w:qFormat/>
    <w:rsid w:val="00D5408F"/>
  </w:style>
  <w:style w:type="character" w:customStyle="1" w:styleId="WW8Num46z5">
    <w:name w:val="WW8Num46z5"/>
    <w:qFormat/>
    <w:rsid w:val="00D5408F"/>
  </w:style>
  <w:style w:type="character" w:customStyle="1" w:styleId="WW8Num46z6">
    <w:name w:val="WW8Num46z6"/>
    <w:qFormat/>
    <w:rsid w:val="00D5408F"/>
  </w:style>
  <w:style w:type="character" w:customStyle="1" w:styleId="WW8Num46z7">
    <w:name w:val="WW8Num46z7"/>
    <w:qFormat/>
    <w:rsid w:val="00D5408F"/>
  </w:style>
  <w:style w:type="character" w:customStyle="1" w:styleId="WW8Num46z8">
    <w:name w:val="WW8Num46z8"/>
    <w:qFormat/>
    <w:rsid w:val="00D5408F"/>
  </w:style>
  <w:style w:type="character" w:customStyle="1" w:styleId="WW8Num47z0">
    <w:name w:val="WW8Num47z0"/>
    <w:qFormat/>
    <w:rsid w:val="00D5408F"/>
    <w:rPr>
      <w:rFonts w:ascii="Wingdings" w:hAnsi="Wingdings" w:cs="Wingdings"/>
    </w:rPr>
  </w:style>
  <w:style w:type="character" w:customStyle="1" w:styleId="WW8Num47z1">
    <w:name w:val="WW8Num47z1"/>
    <w:qFormat/>
    <w:rsid w:val="00D5408F"/>
    <w:rPr>
      <w:rFonts w:ascii="Courier New" w:hAnsi="Courier New" w:cs="Courier New"/>
    </w:rPr>
  </w:style>
  <w:style w:type="character" w:customStyle="1" w:styleId="WW8Num47z3">
    <w:name w:val="WW8Num47z3"/>
    <w:qFormat/>
    <w:rsid w:val="00D5408F"/>
    <w:rPr>
      <w:rFonts w:ascii="Symbol" w:hAnsi="Symbol" w:cs="Symbol"/>
    </w:rPr>
  </w:style>
  <w:style w:type="character" w:customStyle="1" w:styleId="WW8Num48z2">
    <w:name w:val="WW8Num48z2"/>
    <w:qFormat/>
    <w:rsid w:val="00D5408F"/>
    <w:rPr>
      <w:rFonts w:ascii="Wingdings" w:hAnsi="Wingdings" w:cs="Wingdings"/>
    </w:rPr>
  </w:style>
  <w:style w:type="character" w:customStyle="1" w:styleId="WW8Num49z0">
    <w:name w:val="WW8Num49z0"/>
    <w:qFormat/>
    <w:rsid w:val="00D5408F"/>
  </w:style>
  <w:style w:type="character" w:customStyle="1" w:styleId="WW8Num49z1">
    <w:name w:val="WW8Num49z1"/>
    <w:qFormat/>
    <w:rsid w:val="00D5408F"/>
  </w:style>
  <w:style w:type="character" w:customStyle="1" w:styleId="WW8Num49z2">
    <w:name w:val="WW8Num49z2"/>
    <w:qFormat/>
    <w:rsid w:val="00D5408F"/>
  </w:style>
  <w:style w:type="character" w:customStyle="1" w:styleId="WW8Num49z3">
    <w:name w:val="WW8Num49z3"/>
    <w:qFormat/>
    <w:rsid w:val="00D5408F"/>
  </w:style>
  <w:style w:type="character" w:customStyle="1" w:styleId="WW8Num49z4">
    <w:name w:val="WW8Num49z4"/>
    <w:qFormat/>
    <w:rsid w:val="00D5408F"/>
  </w:style>
  <w:style w:type="character" w:customStyle="1" w:styleId="WW8Num49z5">
    <w:name w:val="WW8Num49z5"/>
    <w:qFormat/>
    <w:rsid w:val="00D5408F"/>
  </w:style>
  <w:style w:type="character" w:customStyle="1" w:styleId="WW8Num49z6">
    <w:name w:val="WW8Num49z6"/>
    <w:qFormat/>
    <w:rsid w:val="00D5408F"/>
  </w:style>
  <w:style w:type="character" w:customStyle="1" w:styleId="WW8Num49z7">
    <w:name w:val="WW8Num49z7"/>
    <w:qFormat/>
    <w:rsid w:val="00D5408F"/>
  </w:style>
  <w:style w:type="character" w:customStyle="1" w:styleId="WW8Num49z8">
    <w:name w:val="WW8Num49z8"/>
    <w:qFormat/>
    <w:rsid w:val="00D5408F"/>
  </w:style>
  <w:style w:type="character" w:customStyle="1" w:styleId="EndnoteCharacters">
    <w:name w:val="Endnote Characters"/>
    <w:qFormat/>
    <w:rsid w:val="00D5408F"/>
    <w:rPr>
      <w:vertAlign w:val="superscript"/>
    </w:rPr>
  </w:style>
  <w:style w:type="character" w:customStyle="1" w:styleId="FootnoteAnchor">
    <w:name w:val="Footnote Anchor"/>
    <w:rsid w:val="00D5408F"/>
    <w:rPr>
      <w:vertAlign w:val="superscript"/>
    </w:rPr>
  </w:style>
  <w:style w:type="character" w:customStyle="1" w:styleId="EndnoteAnchor">
    <w:name w:val="Endnote Anchor"/>
    <w:rsid w:val="00D5408F"/>
    <w:rPr>
      <w:vertAlign w:val="superscript"/>
    </w:rPr>
  </w:style>
  <w:style w:type="paragraph" w:customStyle="1" w:styleId="HeaderandFooter">
    <w:name w:val="Header and Footer"/>
    <w:basedOn w:val="Normal"/>
    <w:qFormat/>
    <w:rsid w:val="00D5408F"/>
    <w:pPr>
      <w:suppressLineNumbers/>
      <w:tabs>
        <w:tab w:val="center" w:pos="4986"/>
        <w:tab w:val="right" w:pos="9972"/>
      </w:tabs>
    </w:pPr>
    <w:rPr>
      <w:sz w:val="20"/>
      <w:szCs w:val="20"/>
      <w:lang w:val="es-CR" w:eastAsia="zh-CN"/>
    </w:rPr>
  </w:style>
  <w:style w:type="paragraph" w:customStyle="1" w:styleId="PEI">
    <w:name w:val="PEI"/>
    <w:basedOn w:val="Ttulo2"/>
    <w:qFormat/>
    <w:rsid w:val="00D5408F"/>
    <w:pPr>
      <w:keepNext w:val="0"/>
      <w:numPr>
        <w:numId w:val="36"/>
      </w:numPr>
      <w:pBdr>
        <w:bottom w:val="single" w:sz="4" w:space="1" w:color="7F4E00"/>
      </w:pBdr>
      <w:spacing w:before="400" w:after="200" w:line="252" w:lineRule="auto"/>
    </w:pPr>
    <w:rPr>
      <w:rFonts w:ascii="GillSans-Light;Calibri" w:eastAsia="Yu Gothic Light" w:hAnsi="GillSans-Light;Calibri" w:cs="GillSans-Light;Calibri"/>
      <w:i w:val="0"/>
      <w:iCs w:val="0"/>
      <w:color w:val="0296C9"/>
      <w:sz w:val="32"/>
      <w:szCs w:val="32"/>
      <w:lang w:val="en-US" w:eastAsia="zh-CN" w:bidi="en-US"/>
    </w:rPr>
  </w:style>
  <w:style w:type="paragraph" w:customStyle="1" w:styleId="trt0xe">
    <w:name w:val="trt0xe"/>
    <w:basedOn w:val="Normal"/>
    <w:qFormat/>
    <w:rsid w:val="00D5408F"/>
    <w:pPr>
      <w:spacing w:before="280" w:after="280"/>
    </w:pPr>
    <w:rPr>
      <w:lang w:val="es-CR" w:eastAsia="zh-CN"/>
    </w:rPr>
  </w:style>
  <w:style w:type="paragraph" w:customStyle="1" w:styleId="FrameContents1">
    <w:name w:val="Frame Contents"/>
    <w:basedOn w:val="Normal"/>
    <w:qFormat/>
    <w:rsid w:val="00D5408F"/>
    <w:rPr>
      <w:sz w:val="20"/>
      <w:szCs w:val="20"/>
      <w:lang w:val="es-CR" w:eastAsia="zh-CN"/>
    </w:rPr>
  </w:style>
  <w:style w:type="numbering" w:customStyle="1" w:styleId="WW8Num14">
    <w:name w:val="WW8Num14"/>
    <w:qFormat/>
    <w:rsid w:val="00D5408F"/>
  </w:style>
  <w:style w:type="numbering" w:customStyle="1" w:styleId="WW8Num24">
    <w:name w:val="WW8Num24"/>
    <w:qFormat/>
    <w:rsid w:val="00D5408F"/>
  </w:style>
  <w:style w:type="numbering" w:customStyle="1" w:styleId="WW8Num34">
    <w:name w:val="WW8Num34"/>
    <w:qFormat/>
    <w:rsid w:val="00D5408F"/>
  </w:style>
  <w:style w:type="numbering" w:customStyle="1" w:styleId="WW8Num4">
    <w:name w:val="WW8Num4"/>
    <w:qFormat/>
    <w:rsid w:val="00D5408F"/>
  </w:style>
  <w:style w:type="numbering" w:customStyle="1" w:styleId="WW8Num5">
    <w:name w:val="WW8Num5"/>
    <w:qFormat/>
    <w:rsid w:val="00D5408F"/>
  </w:style>
  <w:style w:type="numbering" w:customStyle="1" w:styleId="WW8Num6">
    <w:name w:val="WW8Num6"/>
    <w:qFormat/>
    <w:rsid w:val="00D5408F"/>
  </w:style>
  <w:style w:type="numbering" w:customStyle="1" w:styleId="WW8Num7">
    <w:name w:val="WW8Num7"/>
    <w:qFormat/>
    <w:rsid w:val="00D5408F"/>
  </w:style>
  <w:style w:type="numbering" w:customStyle="1" w:styleId="WW8Num8">
    <w:name w:val="WW8Num8"/>
    <w:qFormat/>
    <w:rsid w:val="00D5408F"/>
  </w:style>
  <w:style w:type="numbering" w:customStyle="1" w:styleId="WW8Num9">
    <w:name w:val="WW8Num9"/>
    <w:qFormat/>
    <w:rsid w:val="00D5408F"/>
  </w:style>
  <w:style w:type="numbering" w:customStyle="1" w:styleId="WW8Num10">
    <w:name w:val="WW8Num10"/>
    <w:qFormat/>
    <w:rsid w:val="00D5408F"/>
  </w:style>
  <w:style w:type="numbering" w:customStyle="1" w:styleId="WW8Num111">
    <w:name w:val="WW8Num111"/>
    <w:qFormat/>
    <w:rsid w:val="00D5408F"/>
  </w:style>
  <w:style w:type="numbering" w:customStyle="1" w:styleId="WW8Num121">
    <w:name w:val="WW8Num121"/>
    <w:qFormat/>
    <w:rsid w:val="00D5408F"/>
  </w:style>
  <w:style w:type="numbering" w:customStyle="1" w:styleId="WW8Num131">
    <w:name w:val="WW8Num131"/>
    <w:qFormat/>
    <w:rsid w:val="00D5408F"/>
  </w:style>
  <w:style w:type="numbering" w:customStyle="1" w:styleId="WW8Num141">
    <w:name w:val="WW8Num141"/>
    <w:qFormat/>
    <w:rsid w:val="00D5408F"/>
  </w:style>
  <w:style w:type="numbering" w:customStyle="1" w:styleId="WW8Num15">
    <w:name w:val="WW8Num15"/>
    <w:qFormat/>
    <w:rsid w:val="00D5408F"/>
  </w:style>
  <w:style w:type="numbering" w:customStyle="1" w:styleId="WW8Num16">
    <w:name w:val="WW8Num16"/>
    <w:qFormat/>
    <w:rsid w:val="00D5408F"/>
  </w:style>
  <w:style w:type="numbering" w:customStyle="1" w:styleId="WW8Num17">
    <w:name w:val="WW8Num17"/>
    <w:qFormat/>
    <w:rsid w:val="00D5408F"/>
  </w:style>
  <w:style w:type="numbering" w:customStyle="1" w:styleId="WW8Num18">
    <w:name w:val="WW8Num18"/>
    <w:qFormat/>
    <w:rsid w:val="00D5408F"/>
  </w:style>
  <w:style w:type="numbering" w:customStyle="1" w:styleId="WW8Num19">
    <w:name w:val="WW8Num19"/>
    <w:qFormat/>
    <w:rsid w:val="00D5408F"/>
  </w:style>
  <w:style w:type="numbering" w:customStyle="1" w:styleId="WW8Num20">
    <w:name w:val="WW8Num20"/>
    <w:qFormat/>
    <w:rsid w:val="00D5408F"/>
  </w:style>
  <w:style w:type="numbering" w:customStyle="1" w:styleId="WW8Num211">
    <w:name w:val="WW8Num211"/>
    <w:qFormat/>
    <w:rsid w:val="00D5408F"/>
  </w:style>
  <w:style w:type="numbering" w:customStyle="1" w:styleId="WW8Num221">
    <w:name w:val="WW8Num221"/>
    <w:qFormat/>
    <w:rsid w:val="00D5408F"/>
  </w:style>
  <w:style w:type="numbering" w:customStyle="1" w:styleId="WW8Num231">
    <w:name w:val="WW8Num231"/>
    <w:qFormat/>
    <w:rsid w:val="00D5408F"/>
  </w:style>
  <w:style w:type="numbering" w:customStyle="1" w:styleId="WW8Num241">
    <w:name w:val="WW8Num241"/>
    <w:qFormat/>
    <w:rsid w:val="00D5408F"/>
  </w:style>
  <w:style w:type="numbering" w:customStyle="1" w:styleId="WW8Num25">
    <w:name w:val="WW8Num25"/>
    <w:qFormat/>
    <w:rsid w:val="00D5408F"/>
  </w:style>
  <w:style w:type="numbering" w:customStyle="1" w:styleId="WW8Num26">
    <w:name w:val="WW8Num26"/>
    <w:qFormat/>
    <w:rsid w:val="00D5408F"/>
  </w:style>
  <w:style w:type="numbering" w:customStyle="1" w:styleId="WW8Num27">
    <w:name w:val="WW8Num27"/>
    <w:qFormat/>
    <w:rsid w:val="00D5408F"/>
  </w:style>
  <w:style w:type="numbering" w:customStyle="1" w:styleId="WW8Num28">
    <w:name w:val="WW8Num28"/>
    <w:qFormat/>
    <w:rsid w:val="00D5408F"/>
  </w:style>
  <w:style w:type="numbering" w:customStyle="1" w:styleId="WW8Num29">
    <w:name w:val="WW8Num29"/>
    <w:qFormat/>
    <w:rsid w:val="00D5408F"/>
  </w:style>
  <w:style w:type="numbering" w:customStyle="1" w:styleId="WW8Num30">
    <w:name w:val="WW8Num30"/>
    <w:qFormat/>
    <w:rsid w:val="00D5408F"/>
  </w:style>
  <w:style w:type="numbering" w:customStyle="1" w:styleId="WW8Num311">
    <w:name w:val="WW8Num311"/>
    <w:qFormat/>
    <w:rsid w:val="00D5408F"/>
  </w:style>
  <w:style w:type="numbering" w:customStyle="1" w:styleId="WW8Num321">
    <w:name w:val="WW8Num321"/>
    <w:qFormat/>
    <w:rsid w:val="00D5408F"/>
  </w:style>
  <w:style w:type="numbering" w:customStyle="1" w:styleId="WW8Num331">
    <w:name w:val="WW8Num331"/>
    <w:qFormat/>
    <w:rsid w:val="00D5408F"/>
  </w:style>
  <w:style w:type="numbering" w:customStyle="1" w:styleId="WW8Num341">
    <w:name w:val="WW8Num341"/>
    <w:qFormat/>
    <w:rsid w:val="00D5408F"/>
  </w:style>
  <w:style w:type="numbering" w:customStyle="1" w:styleId="WW8Num35">
    <w:name w:val="WW8Num35"/>
    <w:qFormat/>
    <w:rsid w:val="00D5408F"/>
  </w:style>
  <w:style w:type="numbering" w:customStyle="1" w:styleId="WW8Num36">
    <w:name w:val="WW8Num36"/>
    <w:qFormat/>
    <w:rsid w:val="00D5408F"/>
  </w:style>
  <w:style w:type="numbering" w:customStyle="1" w:styleId="WW8Num37">
    <w:name w:val="WW8Num37"/>
    <w:qFormat/>
    <w:rsid w:val="00D5408F"/>
  </w:style>
  <w:style w:type="numbering" w:customStyle="1" w:styleId="WW8Num38">
    <w:name w:val="WW8Num38"/>
    <w:qFormat/>
    <w:rsid w:val="00D5408F"/>
  </w:style>
  <w:style w:type="numbering" w:customStyle="1" w:styleId="WW8Num39">
    <w:name w:val="WW8Num39"/>
    <w:qFormat/>
    <w:rsid w:val="00D5408F"/>
  </w:style>
  <w:style w:type="numbering" w:customStyle="1" w:styleId="WW8Num40">
    <w:name w:val="WW8Num40"/>
    <w:qFormat/>
    <w:rsid w:val="00D5408F"/>
  </w:style>
  <w:style w:type="numbering" w:customStyle="1" w:styleId="WW8Num41">
    <w:name w:val="WW8Num41"/>
    <w:qFormat/>
    <w:rsid w:val="00D5408F"/>
  </w:style>
  <w:style w:type="numbering" w:customStyle="1" w:styleId="WW8Num42">
    <w:name w:val="WW8Num42"/>
    <w:qFormat/>
    <w:rsid w:val="00D5408F"/>
  </w:style>
  <w:style w:type="numbering" w:customStyle="1" w:styleId="WW8Num43">
    <w:name w:val="WW8Num43"/>
    <w:qFormat/>
    <w:rsid w:val="00D5408F"/>
  </w:style>
  <w:style w:type="numbering" w:customStyle="1" w:styleId="WW8Num44">
    <w:name w:val="WW8Num44"/>
    <w:qFormat/>
    <w:rsid w:val="00D5408F"/>
  </w:style>
  <w:style w:type="numbering" w:customStyle="1" w:styleId="WW8Num45">
    <w:name w:val="WW8Num45"/>
    <w:qFormat/>
    <w:rsid w:val="00D5408F"/>
  </w:style>
  <w:style w:type="numbering" w:customStyle="1" w:styleId="WW8Num46">
    <w:name w:val="WW8Num46"/>
    <w:qFormat/>
    <w:rsid w:val="00D5408F"/>
  </w:style>
  <w:style w:type="numbering" w:customStyle="1" w:styleId="WW8Num47">
    <w:name w:val="WW8Num47"/>
    <w:qFormat/>
    <w:rsid w:val="00D5408F"/>
  </w:style>
  <w:style w:type="numbering" w:customStyle="1" w:styleId="WW8Num48">
    <w:name w:val="WW8Num48"/>
    <w:qFormat/>
    <w:rsid w:val="00D5408F"/>
  </w:style>
  <w:style w:type="numbering" w:customStyle="1" w:styleId="WW8Num49">
    <w:name w:val="WW8Num49"/>
    <w:qFormat/>
    <w:rsid w:val="00D5408F"/>
  </w:style>
  <w:style w:type="character" w:customStyle="1" w:styleId="st1">
    <w:name w:val="st1"/>
    <w:rsid w:val="00D5408F"/>
  </w:style>
  <w:style w:type="character" w:customStyle="1" w:styleId="contextualspellingandgrammarerror">
    <w:name w:val="contextualspellingandgrammarerror"/>
    <w:basedOn w:val="Fuentedeprrafopredeter"/>
    <w:rsid w:val="00D5408F"/>
  </w:style>
  <w:style w:type="character" w:customStyle="1" w:styleId="scxw73572822">
    <w:name w:val="scxw73572822"/>
    <w:basedOn w:val="Fuentedeprrafopredeter"/>
    <w:rsid w:val="00D5408F"/>
  </w:style>
  <w:style w:type="numbering" w:customStyle="1" w:styleId="Sinlista15">
    <w:name w:val="Sin lista15"/>
    <w:next w:val="Sinlista"/>
    <w:uiPriority w:val="99"/>
    <w:semiHidden/>
    <w:unhideWhenUsed/>
    <w:rsid w:val="00D5408F"/>
  </w:style>
  <w:style w:type="paragraph" w:customStyle="1" w:styleId="ndice21">
    <w:name w:val="Índice 21"/>
    <w:basedOn w:val="Normal"/>
    <w:next w:val="Normal"/>
    <w:autoRedefine/>
    <w:uiPriority w:val="99"/>
    <w:unhideWhenUsed/>
    <w:rsid w:val="00D5408F"/>
    <w:pPr>
      <w:suppressAutoHyphens w:val="0"/>
      <w:spacing w:line="276" w:lineRule="auto"/>
      <w:ind w:left="440" w:hanging="220"/>
      <w:jc w:val="both"/>
    </w:pPr>
    <w:rPr>
      <w:rFonts w:eastAsia="Calibri"/>
      <w:sz w:val="18"/>
      <w:szCs w:val="18"/>
      <w:lang w:val="es-CR" w:eastAsia="en-US"/>
    </w:rPr>
  </w:style>
  <w:style w:type="paragraph" w:customStyle="1" w:styleId="ndice31">
    <w:name w:val="Índice 31"/>
    <w:basedOn w:val="Normal"/>
    <w:next w:val="Normal"/>
    <w:autoRedefine/>
    <w:uiPriority w:val="99"/>
    <w:unhideWhenUsed/>
    <w:rsid w:val="00D5408F"/>
    <w:pPr>
      <w:suppressAutoHyphens w:val="0"/>
      <w:spacing w:line="276" w:lineRule="auto"/>
      <w:ind w:left="660" w:hanging="220"/>
      <w:jc w:val="both"/>
    </w:pPr>
    <w:rPr>
      <w:rFonts w:eastAsia="Calibri"/>
      <w:sz w:val="18"/>
      <w:szCs w:val="18"/>
      <w:lang w:val="es-CR" w:eastAsia="en-US"/>
    </w:rPr>
  </w:style>
  <w:style w:type="paragraph" w:customStyle="1" w:styleId="ndice41">
    <w:name w:val="Índice 41"/>
    <w:basedOn w:val="Normal"/>
    <w:next w:val="Normal"/>
    <w:autoRedefine/>
    <w:uiPriority w:val="99"/>
    <w:unhideWhenUsed/>
    <w:rsid w:val="00D5408F"/>
    <w:pPr>
      <w:suppressAutoHyphens w:val="0"/>
      <w:spacing w:line="276" w:lineRule="auto"/>
      <w:ind w:left="880" w:hanging="220"/>
      <w:jc w:val="both"/>
    </w:pPr>
    <w:rPr>
      <w:rFonts w:eastAsia="Calibri"/>
      <w:sz w:val="18"/>
      <w:szCs w:val="18"/>
      <w:lang w:val="es-CR" w:eastAsia="en-US"/>
    </w:rPr>
  </w:style>
  <w:style w:type="paragraph" w:customStyle="1" w:styleId="ndice51">
    <w:name w:val="Índice 51"/>
    <w:basedOn w:val="Normal"/>
    <w:next w:val="Normal"/>
    <w:autoRedefine/>
    <w:uiPriority w:val="99"/>
    <w:unhideWhenUsed/>
    <w:rsid w:val="00D5408F"/>
    <w:pPr>
      <w:suppressAutoHyphens w:val="0"/>
      <w:spacing w:line="276" w:lineRule="auto"/>
      <w:ind w:left="1100" w:hanging="220"/>
      <w:jc w:val="both"/>
    </w:pPr>
    <w:rPr>
      <w:rFonts w:eastAsia="Calibri"/>
      <w:sz w:val="18"/>
      <w:szCs w:val="18"/>
      <w:lang w:val="es-CR" w:eastAsia="en-US"/>
    </w:rPr>
  </w:style>
  <w:style w:type="paragraph" w:customStyle="1" w:styleId="ndice61">
    <w:name w:val="Índice 61"/>
    <w:basedOn w:val="Normal"/>
    <w:next w:val="Normal"/>
    <w:autoRedefine/>
    <w:uiPriority w:val="99"/>
    <w:unhideWhenUsed/>
    <w:rsid w:val="00D5408F"/>
    <w:pPr>
      <w:suppressAutoHyphens w:val="0"/>
      <w:spacing w:line="276" w:lineRule="auto"/>
      <w:ind w:left="1320" w:hanging="220"/>
      <w:jc w:val="both"/>
    </w:pPr>
    <w:rPr>
      <w:rFonts w:eastAsia="Calibri"/>
      <w:sz w:val="18"/>
      <w:szCs w:val="18"/>
      <w:lang w:val="es-CR" w:eastAsia="en-US"/>
    </w:rPr>
  </w:style>
  <w:style w:type="paragraph" w:customStyle="1" w:styleId="ndice71">
    <w:name w:val="Índice 71"/>
    <w:basedOn w:val="Normal"/>
    <w:next w:val="Normal"/>
    <w:autoRedefine/>
    <w:uiPriority w:val="99"/>
    <w:unhideWhenUsed/>
    <w:rsid w:val="00D5408F"/>
    <w:pPr>
      <w:suppressAutoHyphens w:val="0"/>
      <w:spacing w:line="276" w:lineRule="auto"/>
      <w:ind w:left="1540" w:hanging="220"/>
      <w:jc w:val="both"/>
    </w:pPr>
    <w:rPr>
      <w:rFonts w:eastAsia="Calibri"/>
      <w:sz w:val="18"/>
      <w:szCs w:val="18"/>
      <w:lang w:val="es-CR" w:eastAsia="en-US"/>
    </w:rPr>
  </w:style>
  <w:style w:type="paragraph" w:customStyle="1" w:styleId="ndice81">
    <w:name w:val="Índice 81"/>
    <w:basedOn w:val="Normal"/>
    <w:next w:val="Normal"/>
    <w:autoRedefine/>
    <w:uiPriority w:val="99"/>
    <w:unhideWhenUsed/>
    <w:rsid w:val="00D5408F"/>
    <w:pPr>
      <w:suppressAutoHyphens w:val="0"/>
      <w:spacing w:line="276" w:lineRule="auto"/>
      <w:ind w:left="1760" w:hanging="220"/>
      <w:jc w:val="both"/>
    </w:pPr>
    <w:rPr>
      <w:rFonts w:eastAsia="Calibri"/>
      <w:sz w:val="18"/>
      <w:szCs w:val="18"/>
      <w:lang w:val="es-CR" w:eastAsia="en-US"/>
    </w:rPr>
  </w:style>
  <w:style w:type="paragraph" w:customStyle="1" w:styleId="ndice91">
    <w:name w:val="Índice 91"/>
    <w:basedOn w:val="Normal"/>
    <w:next w:val="Normal"/>
    <w:autoRedefine/>
    <w:uiPriority w:val="99"/>
    <w:unhideWhenUsed/>
    <w:rsid w:val="00D5408F"/>
    <w:pPr>
      <w:suppressAutoHyphens w:val="0"/>
      <w:spacing w:line="276" w:lineRule="auto"/>
      <w:ind w:left="1980" w:hanging="220"/>
      <w:jc w:val="both"/>
    </w:pPr>
    <w:rPr>
      <w:rFonts w:eastAsia="Calibri"/>
      <w:sz w:val="18"/>
      <w:szCs w:val="18"/>
      <w:lang w:val="es-CR" w:eastAsia="en-US"/>
    </w:rPr>
  </w:style>
  <w:style w:type="paragraph" w:customStyle="1" w:styleId="Ttulodendice1">
    <w:name w:val="Título de índice1"/>
    <w:basedOn w:val="Normal"/>
    <w:next w:val="ndice1"/>
    <w:uiPriority w:val="99"/>
    <w:unhideWhenUsed/>
    <w:rsid w:val="00D5408F"/>
    <w:pPr>
      <w:suppressAutoHyphens w:val="0"/>
      <w:spacing w:before="240" w:after="120" w:line="276" w:lineRule="auto"/>
      <w:jc w:val="center"/>
    </w:pPr>
    <w:rPr>
      <w:rFonts w:eastAsia="Calibri"/>
      <w:b/>
      <w:bCs/>
      <w:sz w:val="26"/>
      <w:szCs w:val="26"/>
      <w:lang w:val="es-CR" w:eastAsia="en-US"/>
    </w:rPr>
  </w:style>
  <w:style w:type="table" w:customStyle="1" w:styleId="Tablaconcuadrcula14">
    <w:name w:val="Tabla con cuadrícula14"/>
    <w:basedOn w:val="Tablanormal"/>
    <w:next w:val="Tablaconcuadrcula"/>
    <w:uiPriority w:val="59"/>
    <w:rsid w:val="00D5408F"/>
    <w:rPr>
      <w:rFonts w:ascii="Calibri" w:eastAsia="Calibri" w:hAnsi="Calibri"/>
      <w:sz w:val="22"/>
      <w:szCs w:val="22"/>
      <w:lang w:val="es-C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efdecomentario2">
    <w:name w:val="Ref. de comentario2"/>
    <w:rsid w:val="00D5408F"/>
    <w:rPr>
      <w:sz w:val="16"/>
      <w:szCs w:val="16"/>
    </w:rPr>
  </w:style>
  <w:style w:type="paragraph" w:customStyle="1" w:styleId="Cuadrculamedia1-nfasis210">
    <w:name w:val="Cuadrícula media 1 - Énfasis 21"/>
    <w:basedOn w:val="Normal"/>
    <w:rsid w:val="00D5408F"/>
    <w:pPr>
      <w:spacing w:after="200" w:line="276" w:lineRule="auto"/>
      <w:ind w:left="720"/>
    </w:pPr>
    <w:rPr>
      <w:sz w:val="20"/>
      <w:szCs w:val="20"/>
      <w:lang w:val="es-ES_tradnl" w:eastAsia="zh-CN"/>
    </w:rPr>
  </w:style>
  <w:style w:type="paragraph" w:customStyle="1" w:styleId="xcuadrculamedia1-nfasis21">
    <w:name w:val="x_cuadrculamedia1-nfasis21"/>
    <w:basedOn w:val="Normal"/>
    <w:rsid w:val="00D5408F"/>
    <w:pPr>
      <w:suppressAutoHyphens w:val="0"/>
      <w:spacing w:before="100" w:beforeAutospacing="1" w:after="100" w:afterAutospacing="1"/>
    </w:pPr>
    <w:rPr>
      <w:lang w:val="es-CR" w:eastAsia="es-CR"/>
    </w:rPr>
  </w:style>
  <w:style w:type="paragraph" w:styleId="Encabezadodemensaje">
    <w:name w:val="Message Header"/>
    <w:basedOn w:val="Normal"/>
    <w:link w:val="EncabezadodemensajeCar"/>
    <w:rsid w:val="00D5408F"/>
    <w:pPr>
      <w:pBdr>
        <w:top w:val="single" w:sz="6" w:space="1" w:color="auto"/>
        <w:left w:val="single" w:sz="6" w:space="1" w:color="auto"/>
        <w:bottom w:val="single" w:sz="6" w:space="1" w:color="auto"/>
        <w:right w:val="single" w:sz="6" w:space="1" w:color="auto"/>
      </w:pBdr>
      <w:shd w:val="pct20" w:color="auto" w:fill="auto"/>
      <w:suppressAutoHyphens w:val="0"/>
      <w:ind w:left="1134" w:hanging="1134"/>
    </w:pPr>
    <w:rPr>
      <w:rFonts w:ascii="Cambria" w:hAnsi="Cambria"/>
      <w:lang w:val="es-CR" w:eastAsia="es-ES"/>
    </w:rPr>
  </w:style>
  <w:style w:type="character" w:customStyle="1" w:styleId="EncabezadodemensajeCar">
    <w:name w:val="Encabezado de mensaje Car"/>
    <w:basedOn w:val="Fuentedeprrafopredeter"/>
    <w:link w:val="Encabezadodemensaje"/>
    <w:uiPriority w:val="99"/>
    <w:rsid w:val="00D5408F"/>
    <w:rPr>
      <w:rFonts w:ascii="Cambria" w:hAnsi="Cambria"/>
      <w:sz w:val="24"/>
      <w:szCs w:val="24"/>
      <w:shd w:val="pct20" w:color="auto" w:fill="auto"/>
      <w:lang w:val="es-CR"/>
    </w:rPr>
  </w:style>
  <w:style w:type="paragraph" w:customStyle="1" w:styleId="Lneadereferencia">
    <w:name w:val="Línea de referencia"/>
    <w:basedOn w:val="Textoindependiente"/>
    <w:uiPriority w:val="99"/>
    <w:rsid w:val="00D5408F"/>
    <w:pPr>
      <w:widowControl w:val="0"/>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pacing w:after="0"/>
      <w:ind w:right="-51"/>
      <w:jc w:val="both"/>
    </w:pPr>
    <w:rPr>
      <w:i/>
      <w:snapToGrid w:val="0"/>
      <w:szCs w:val="20"/>
      <w:lang w:val="es-CR" w:eastAsia="es-ES"/>
    </w:rPr>
  </w:style>
  <w:style w:type="character" w:customStyle="1" w:styleId="textonormal">
    <w:name w:val="textonormal"/>
    <w:qFormat/>
    <w:rsid w:val="00D5408F"/>
  </w:style>
  <w:style w:type="table" w:styleId="Tablaconlista4">
    <w:name w:val="Table List 4"/>
    <w:basedOn w:val="Tablanormal"/>
    <w:rsid w:val="00D5408F"/>
    <w:pPr>
      <w:spacing w:after="200" w:line="276" w:lineRule="auto"/>
    </w:pPr>
    <w:rPr>
      <w:rFonts w:ascii="Calibri" w:hAnsi="Calibri"/>
      <w:lang w:val="es-CR" w:eastAsia="es-CR"/>
    </w:r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character" w:customStyle="1" w:styleId="Refdecomentario8">
    <w:name w:val="Ref. de comentario8"/>
    <w:rsid w:val="00D5408F"/>
    <w:rPr>
      <w:sz w:val="16"/>
      <w:szCs w:val="16"/>
    </w:rPr>
  </w:style>
  <w:style w:type="paragraph" w:customStyle="1" w:styleId="Textodecu">
    <w:name w:val="Texto de cu"/>
    <w:uiPriority w:val="99"/>
    <w:rsid w:val="00D5408F"/>
    <w:pPr>
      <w:widowControl w:val="0"/>
      <w:shd w:val="clear" w:color="auto" w:fill="FFFFFF"/>
      <w:autoSpaceDE w:val="0"/>
      <w:autoSpaceDN w:val="0"/>
      <w:adjustRightInd w:val="0"/>
      <w:jc w:val="both"/>
    </w:pPr>
    <w:rPr>
      <w:rFonts w:ascii="Arial" w:hAnsi="Arial" w:cs="Arial"/>
      <w:color w:val="000000"/>
      <w:spacing w:val="-3"/>
      <w:sz w:val="24"/>
      <w:szCs w:val="24"/>
      <w:vertAlign w:val="subscript"/>
    </w:rPr>
  </w:style>
  <w:style w:type="paragraph" w:customStyle="1" w:styleId="xdefault">
    <w:name w:val="x_default"/>
    <w:basedOn w:val="Normal"/>
    <w:uiPriority w:val="99"/>
    <w:qFormat/>
    <w:rsid w:val="00D5408F"/>
    <w:pPr>
      <w:suppressAutoHyphens w:val="0"/>
      <w:spacing w:before="100" w:beforeAutospacing="1" w:after="100" w:afterAutospacing="1"/>
    </w:pPr>
    <w:rPr>
      <w:lang w:val="es-CR" w:eastAsia="es-CR"/>
    </w:rPr>
  </w:style>
  <w:style w:type="paragraph" w:customStyle="1" w:styleId="xmsobodytext">
    <w:name w:val="x_msobodytext"/>
    <w:basedOn w:val="Normal"/>
    <w:uiPriority w:val="99"/>
    <w:rsid w:val="00D5408F"/>
    <w:pPr>
      <w:suppressAutoHyphens w:val="0"/>
      <w:spacing w:before="100" w:beforeAutospacing="1" w:after="100" w:afterAutospacing="1"/>
    </w:pPr>
    <w:rPr>
      <w:lang w:val="es-CR" w:eastAsia="es-CR"/>
    </w:rPr>
  </w:style>
  <w:style w:type="character" w:customStyle="1" w:styleId="fuentedeprrafopredeter1a">
    <w:name w:val="fuentedeprrafopredeter1"/>
    <w:rsid w:val="00D5408F"/>
  </w:style>
  <w:style w:type="character" w:customStyle="1" w:styleId="ListLabel96">
    <w:name w:val="ListLabel 96"/>
    <w:qFormat/>
    <w:rsid w:val="00D5408F"/>
    <w:rPr>
      <w:rFonts w:ascii="OpenSymbol" w:hAnsi="OpenSymbol" w:cs="OpenSymbol" w:hint="default"/>
    </w:rPr>
  </w:style>
  <w:style w:type="character" w:customStyle="1" w:styleId="ListLabel97">
    <w:name w:val="ListLabel 97"/>
    <w:qFormat/>
    <w:rsid w:val="00D5408F"/>
    <w:rPr>
      <w:rFonts w:ascii="OpenSymbol" w:hAnsi="OpenSymbol" w:cs="OpenSymbol" w:hint="default"/>
    </w:rPr>
  </w:style>
  <w:style w:type="character" w:customStyle="1" w:styleId="ListLabel98">
    <w:name w:val="ListLabel 98"/>
    <w:qFormat/>
    <w:rsid w:val="00D5408F"/>
    <w:rPr>
      <w:rFonts w:ascii="OpenSymbol" w:hAnsi="OpenSymbol" w:cs="OpenSymbol" w:hint="default"/>
    </w:rPr>
  </w:style>
  <w:style w:type="character" w:customStyle="1" w:styleId="ListLabel99">
    <w:name w:val="ListLabel 99"/>
    <w:qFormat/>
    <w:rsid w:val="00D5408F"/>
    <w:rPr>
      <w:rFonts w:ascii="OpenSymbol" w:hAnsi="OpenSymbol" w:cs="OpenSymbol" w:hint="default"/>
    </w:rPr>
  </w:style>
  <w:style w:type="character" w:customStyle="1" w:styleId="ListLabel100">
    <w:name w:val="ListLabel 100"/>
    <w:qFormat/>
    <w:rsid w:val="00D5408F"/>
    <w:rPr>
      <w:rFonts w:ascii="Symbol" w:hAnsi="Symbol" w:cs="Symbol" w:hint="default"/>
    </w:rPr>
  </w:style>
  <w:style w:type="character" w:customStyle="1" w:styleId="ListLabel101">
    <w:name w:val="ListLabel 101"/>
    <w:qFormat/>
    <w:rsid w:val="00D5408F"/>
    <w:rPr>
      <w:rFonts w:ascii="Courier New" w:hAnsi="Courier New" w:cs="Courier New" w:hint="default"/>
    </w:rPr>
  </w:style>
  <w:style w:type="character" w:customStyle="1" w:styleId="ListLabel102">
    <w:name w:val="ListLabel 102"/>
    <w:qFormat/>
    <w:rsid w:val="00D5408F"/>
    <w:rPr>
      <w:rFonts w:ascii="Wingdings" w:hAnsi="Wingdings" w:cs="Wingdings" w:hint="default"/>
    </w:rPr>
  </w:style>
  <w:style w:type="character" w:customStyle="1" w:styleId="ListLabel103">
    <w:name w:val="ListLabel 103"/>
    <w:qFormat/>
    <w:rsid w:val="00D5408F"/>
    <w:rPr>
      <w:rFonts w:ascii="Symbol" w:hAnsi="Symbol" w:cs="Symbol" w:hint="default"/>
    </w:rPr>
  </w:style>
  <w:style w:type="character" w:customStyle="1" w:styleId="ListLabel104">
    <w:name w:val="ListLabel 104"/>
    <w:qFormat/>
    <w:rsid w:val="00D5408F"/>
    <w:rPr>
      <w:rFonts w:ascii="Courier New" w:hAnsi="Courier New" w:cs="Courier New" w:hint="default"/>
    </w:rPr>
  </w:style>
  <w:style w:type="character" w:customStyle="1" w:styleId="ListLabel105">
    <w:name w:val="ListLabel 105"/>
    <w:qFormat/>
    <w:rsid w:val="00D5408F"/>
    <w:rPr>
      <w:rFonts w:ascii="Wingdings" w:hAnsi="Wingdings" w:cs="Wingdings" w:hint="default"/>
    </w:rPr>
  </w:style>
  <w:style w:type="character" w:customStyle="1" w:styleId="ListLabel106">
    <w:name w:val="ListLabel 106"/>
    <w:qFormat/>
    <w:rsid w:val="00D5408F"/>
    <w:rPr>
      <w:rFonts w:ascii="Symbol" w:hAnsi="Symbol" w:cs="Symbol" w:hint="default"/>
    </w:rPr>
  </w:style>
  <w:style w:type="character" w:customStyle="1" w:styleId="ListLabel107">
    <w:name w:val="ListLabel 107"/>
    <w:qFormat/>
    <w:rsid w:val="00D5408F"/>
    <w:rPr>
      <w:rFonts w:ascii="Courier New" w:hAnsi="Courier New" w:cs="Courier New" w:hint="default"/>
    </w:rPr>
  </w:style>
  <w:style w:type="character" w:customStyle="1" w:styleId="ListLabel108">
    <w:name w:val="ListLabel 108"/>
    <w:qFormat/>
    <w:rsid w:val="00D5408F"/>
    <w:rPr>
      <w:rFonts w:ascii="Wingdings" w:hAnsi="Wingdings" w:cs="Wingdings" w:hint="default"/>
    </w:rPr>
  </w:style>
  <w:style w:type="character" w:customStyle="1" w:styleId="ListLabel109">
    <w:name w:val="ListLabel 109"/>
    <w:qFormat/>
    <w:rsid w:val="00D5408F"/>
    <w:rPr>
      <w:rFonts w:ascii="OpenSymbol" w:hAnsi="OpenSymbol" w:cs="OpenSymbol" w:hint="default"/>
      <w:b w:val="0"/>
      <w:bCs w:val="0"/>
    </w:rPr>
  </w:style>
  <w:style w:type="character" w:customStyle="1" w:styleId="ListLabel110">
    <w:name w:val="ListLabel 110"/>
    <w:qFormat/>
    <w:rsid w:val="00D5408F"/>
    <w:rPr>
      <w:rFonts w:ascii="OpenSymbol" w:hAnsi="OpenSymbol" w:cs="OpenSymbol" w:hint="default"/>
    </w:rPr>
  </w:style>
  <w:style w:type="character" w:customStyle="1" w:styleId="ListLabel111">
    <w:name w:val="ListLabel 111"/>
    <w:qFormat/>
    <w:rsid w:val="00D5408F"/>
    <w:rPr>
      <w:rFonts w:ascii="OpenSymbol" w:hAnsi="OpenSymbol" w:cs="OpenSymbol" w:hint="default"/>
    </w:rPr>
  </w:style>
  <w:style w:type="character" w:customStyle="1" w:styleId="ListLabel112">
    <w:name w:val="ListLabel 112"/>
    <w:qFormat/>
    <w:rsid w:val="00D5408F"/>
    <w:rPr>
      <w:rFonts w:ascii="OpenSymbol" w:hAnsi="OpenSymbol" w:cs="OpenSymbol" w:hint="default"/>
    </w:rPr>
  </w:style>
  <w:style w:type="character" w:customStyle="1" w:styleId="ListLabel113">
    <w:name w:val="ListLabel 113"/>
    <w:qFormat/>
    <w:rsid w:val="00D5408F"/>
    <w:rPr>
      <w:rFonts w:ascii="OpenSymbol" w:hAnsi="OpenSymbol" w:cs="OpenSymbol" w:hint="default"/>
    </w:rPr>
  </w:style>
  <w:style w:type="character" w:customStyle="1" w:styleId="ListLabel114">
    <w:name w:val="ListLabel 114"/>
    <w:qFormat/>
    <w:rsid w:val="00D5408F"/>
    <w:rPr>
      <w:rFonts w:ascii="OpenSymbol" w:hAnsi="OpenSymbol" w:cs="OpenSymbol" w:hint="default"/>
    </w:rPr>
  </w:style>
  <w:style w:type="character" w:customStyle="1" w:styleId="ListLabel115">
    <w:name w:val="ListLabel 115"/>
    <w:qFormat/>
    <w:rsid w:val="00D5408F"/>
    <w:rPr>
      <w:rFonts w:ascii="OpenSymbol" w:hAnsi="OpenSymbol" w:cs="OpenSymbol" w:hint="default"/>
    </w:rPr>
  </w:style>
  <w:style w:type="character" w:customStyle="1" w:styleId="ListLabel116">
    <w:name w:val="ListLabel 116"/>
    <w:qFormat/>
    <w:rsid w:val="00D5408F"/>
    <w:rPr>
      <w:rFonts w:ascii="OpenSymbol" w:hAnsi="OpenSymbol" w:cs="OpenSymbol" w:hint="default"/>
    </w:rPr>
  </w:style>
  <w:style w:type="character" w:customStyle="1" w:styleId="ListLabel117">
    <w:name w:val="ListLabel 117"/>
    <w:qFormat/>
    <w:rsid w:val="00D5408F"/>
    <w:rPr>
      <w:rFonts w:ascii="OpenSymbol" w:hAnsi="OpenSymbol" w:cs="OpenSymbol" w:hint="default"/>
    </w:rPr>
  </w:style>
  <w:style w:type="character" w:customStyle="1" w:styleId="ListLabel118">
    <w:name w:val="ListLabel 118"/>
    <w:rsid w:val="00D5408F"/>
    <w:rPr>
      <w:rFonts w:ascii="OpenSymbol" w:hAnsi="OpenSymbol" w:cs="OpenSymbol" w:hint="default"/>
      <w:sz w:val="22"/>
    </w:rPr>
  </w:style>
  <w:style w:type="numbering" w:customStyle="1" w:styleId="WWNum1">
    <w:name w:val="WWNum1"/>
    <w:rsid w:val="00D5408F"/>
    <w:pPr>
      <w:numPr>
        <w:numId w:val="37"/>
      </w:numPr>
    </w:pPr>
  </w:style>
  <w:style w:type="paragraph" w:customStyle="1" w:styleId="xmsobodytext2">
    <w:name w:val="x_msobodytext2"/>
    <w:basedOn w:val="Normal"/>
    <w:rsid w:val="00D5408F"/>
    <w:pPr>
      <w:suppressAutoHyphens w:val="0"/>
      <w:jc w:val="both"/>
    </w:pPr>
    <w:rPr>
      <w:rFonts w:ascii="Comic Sans MS" w:hAnsi="Comic Sans MS" w:cs="Calibri"/>
      <w:color w:val="000000"/>
      <w:sz w:val="21"/>
      <w:szCs w:val="21"/>
      <w:lang w:val="es-CR" w:eastAsia="es-CR"/>
    </w:rPr>
  </w:style>
  <w:style w:type="paragraph" w:customStyle="1" w:styleId="encabezado61">
    <w:name w:val="encabezado6"/>
    <w:basedOn w:val="Normal"/>
    <w:uiPriority w:val="99"/>
    <w:rsid w:val="00D5408F"/>
    <w:pPr>
      <w:suppressAutoHyphens w:val="0"/>
      <w:autoSpaceDE w:val="0"/>
      <w:ind w:right="51"/>
      <w:jc w:val="center"/>
    </w:pPr>
    <w:rPr>
      <w:rFonts w:ascii="Arial" w:hAnsi="Arial" w:cs="Arial"/>
      <w:b/>
      <w:bCs/>
      <w:color w:val="000000"/>
      <w:spacing w:val="-3"/>
      <w:vertAlign w:val="subscript"/>
      <w:lang w:eastAsia="es-ES"/>
    </w:rPr>
  </w:style>
  <w:style w:type="table" w:customStyle="1" w:styleId="Tablaconcuadrcula1clara-nfasis11">
    <w:name w:val="Tabla con cuadrícula 1 clara - Énfasis 11"/>
    <w:basedOn w:val="Tablanormal"/>
    <w:next w:val="Tablaconcuadrcula1clara-nfasis1"/>
    <w:uiPriority w:val="46"/>
    <w:rsid w:val="00D5408F"/>
    <w:rPr>
      <w:lang w:val="es-CR" w:eastAsia="es-CR"/>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concuadrcula4-nfasis12">
    <w:name w:val="Tabla con cuadrícula 4 - Énfasis 12"/>
    <w:basedOn w:val="Tablanormal"/>
    <w:next w:val="Tablaconcuadrcula4-nfasis1"/>
    <w:uiPriority w:val="49"/>
    <w:rsid w:val="00D5408F"/>
    <w:rPr>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xxxmsonormal1">
    <w:name w:val="x_x_x_msonormal"/>
    <w:basedOn w:val="Normal"/>
    <w:uiPriority w:val="99"/>
    <w:qFormat/>
    <w:rsid w:val="00D5408F"/>
    <w:pPr>
      <w:suppressAutoHyphens w:val="0"/>
    </w:pPr>
    <w:rPr>
      <w:rFonts w:ascii="Calibri" w:eastAsia="Calibri" w:hAnsi="Calibri" w:cs="Calibri"/>
      <w:sz w:val="22"/>
      <w:szCs w:val="22"/>
      <w:lang w:val="es-CR" w:eastAsia="es-CR"/>
    </w:rPr>
  </w:style>
  <w:style w:type="character" w:customStyle="1" w:styleId="Mencinsinresolver4">
    <w:name w:val="Mención sin resolver4"/>
    <w:basedOn w:val="Fuentedeprrafopredeter"/>
    <w:uiPriority w:val="99"/>
    <w:unhideWhenUsed/>
    <w:rsid w:val="00D5408F"/>
    <w:rPr>
      <w:color w:val="605E5C"/>
      <w:shd w:val="clear" w:color="auto" w:fill="E1DFDD"/>
    </w:rPr>
  </w:style>
  <w:style w:type="paragraph" w:customStyle="1" w:styleId="Bencabezado0">
    <w:name w:val="B  encabezado"/>
    <w:basedOn w:val="Normal"/>
    <w:link w:val="BencabezadoCar0"/>
    <w:qFormat/>
    <w:rsid w:val="00D5408F"/>
    <w:pPr>
      <w:spacing w:line="480" w:lineRule="auto"/>
      <w:ind w:firstLine="708"/>
      <w:jc w:val="both"/>
    </w:pPr>
    <w:rPr>
      <w:color w:val="000099"/>
      <w:sz w:val="28"/>
      <w:szCs w:val="28"/>
      <w:lang w:val="es-ES_tradnl"/>
    </w:rPr>
  </w:style>
  <w:style w:type="character" w:customStyle="1" w:styleId="BencabezadoCar0">
    <w:name w:val="B  encabezado Car"/>
    <w:link w:val="Bencabezado0"/>
    <w:qFormat/>
    <w:rsid w:val="00D5408F"/>
    <w:rPr>
      <w:color w:val="000099"/>
      <w:sz w:val="28"/>
      <w:szCs w:val="28"/>
      <w:lang w:val="es-ES_tradnl" w:eastAsia="ar-SA"/>
    </w:rPr>
  </w:style>
  <w:style w:type="table" w:styleId="Tablaconcuadrcula1clara">
    <w:name w:val="Grid Table 1 Light"/>
    <w:basedOn w:val="Tablanormal"/>
    <w:uiPriority w:val="46"/>
    <w:rsid w:val="00D5408F"/>
    <w:rPr>
      <w:rFonts w:ascii="Calibri" w:eastAsia="Calibri" w:hAnsi="Calibri" w:cs="Arial"/>
      <w:lang w:val="es-CR" w:eastAsia="es-C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styleId="Tablaconcuadrculaclara">
    <w:name w:val="Grid Table Light"/>
    <w:basedOn w:val="Tablanormal"/>
    <w:uiPriority w:val="99"/>
    <w:rsid w:val="00D5408F"/>
    <w:rPr>
      <w:rFonts w:ascii="Calibri" w:eastAsia="Calibri" w:hAnsi="Calibri" w:cs="Arial"/>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concuadrcula5oscura-nfasis1">
    <w:name w:val="Grid Table 5 Dark Accent 1"/>
    <w:basedOn w:val="Tablanormal"/>
    <w:uiPriority w:val="50"/>
    <w:rsid w:val="00D5408F"/>
    <w:rPr>
      <w:rFonts w:ascii="Calibri" w:eastAsia="Calibri" w:hAnsi="Calibri" w:cs="Arial"/>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concuadrcula5oscura-nfasis6">
    <w:name w:val="Grid Table 5 Dark Accent 6"/>
    <w:basedOn w:val="Tablanormal"/>
    <w:uiPriority w:val="50"/>
    <w:rsid w:val="00D5408F"/>
    <w:rPr>
      <w:rFonts w:ascii="Calibri" w:eastAsia="Calibri" w:hAnsi="Calibri" w:cs="Arial"/>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2EFD9"/>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70AD47"/>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70AD47"/>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70AD47"/>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70AD47"/>
      </w:tcPr>
    </w:tblStylePr>
    <w:tblStylePr w:type="band1Vert">
      <w:tblPr/>
      <w:tcPr>
        <w:shd w:val="clear" w:color="auto" w:fill="C5E0B3"/>
      </w:tcPr>
    </w:tblStylePr>
    <w:tblStylePr w:type="band1Horz">
      <w:tblPr/>
      <w:tcPr>
        <w:shd w:val="clear" w:color="auto" w:fill="C5E0B3"/>
      </w:tcPr>
    </w:tblStylePr>
  </w:style>
  <w:style w:type="table" w:styleId="Tablaconcuadrcula4-nfasis5">
    <w:name w:val="Grid Table 4 Accent 5"/>
    <w:basedOn w:val="Tablanormal"/>
    <w:uiPriority w:val="49"/>
    <w:rsid w:val="00D5408F"/>
    <w:rPr>
      <w:rFonts w:ascii="Calibri" w:eastAsia="Calibri" w:hAnsi="Calibri" w:cs="Arial"/>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numbering" w:customStyle="1" w:styleId="Sinlista22">
    <w:name w:val="Sin lista22"/>
    <w:next w:val="Sinlista"/>
    <w:uiPriority w:val="99"/>
    <w:semiHidden/>
    <w:unhideWhenUsed/>
    <w:rsid w:val="00D5408F"/>
  </w:style>
  <w:style w:type="table" w:customStyle="1" w:styleId="Tablaconcuadrcula23">
    <w:name w:val="Tabla con cuadrícula23"/>
    <w:basedOn w:val="Tablanormal"/>
    <w:next w:val="Tablaconcuadrcula"/>
    <w:uiPriority w:val="59"/>
    <w:rsid w:val="00D5408F"/>
    <w:rPr>
      <w:rFonts w:ascii="Calibri" w:eastAsia="Calibri" w:hAnsi="Calibri"/>
      <w:lang w:val="es-CR" w:eastAsia="es-C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decuadrcula44">
    <w:name w:val="Tabla de cuadrícula 44"/>
    <w:basedOn w:val="Tablanormal"/>
    <w:next w:val="Tabladecuadrcula4"/>
    <w:uiPriority w:val="49"/>
    <w:rsid w:val="00D5408F"/>
    <w:rPr>
      <w:rFonts w:ascii="Calibri" w:eastAsia="Calibri" w:hAnsi="Calibr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styleId="Mencinsinresolver">
    <w:name w:val="Unresolved Mention"/>
    <w:basedOn w:val="Fuentedeprrafopredeter"/>
    <w:uiPriority w:val="99"/>
    <w:unhideWhenUsed/>
    <w:rsid w:val="00D5408F"/>
    <w:rPr>
      <w:color w:val="605E5C"/>
      <w:shd w:val="clear" w:color="auto" w:fill="E1DFDD"/>
    </w:rPr>
  </w:style>
  <w:style w:type="table" w:styleId="Tablaconcuadrcula1clara-nfasis1">
    <w:name w:val="Grid Table 1 Light Accent 1"/>
    <w:basedOn w:val="Tablanormal"/>
    <w:uiPriority w:val="46"/>
    <w:rsid w:val="00D5408F"/>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table" w:styleId="Tablaconcuadrcula4-nfasis1">
    <w:name w:val="Grid Table 4 Accent 1"/>
    <w:basedOn w:val="Tablanormal"/>
    <w:uiPriority w:val="49"/>
    <w:rsid w:val="00D5408F"/>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table" w:customStyle="1" w:styleId="Tablaconcuadrcula71">
    <w:name w:val="Tabla con cuadrícula71"/>
    <w:basedOn w:val="Tablanormal"/>
    <w:rsid w:val="00C4652B"/>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xmsolistparagraph">
    <w:name w:val="x_xmsolistparagraph"/>
    <w:basedOn w:val="Normal"/>
    <w:rsid w:val="00C305C7"/>
    <w:pPr>
      <w:suppressAutoHyphens w:val="0"/>
      <w:spacing w:before="100" w:beforeAutospacing="1" w:after="100" w:afterAutospacing="1"/>
    </w:pPr>
    <w:rPr>
      <w:rFonts w:ascii="Calibri" w:eastAsiaTheme="minorHAnsi" w:hAnsi="Calibri" w:cs="Calibri"/>
      <w:sz w:val="22"/>
      <w:szCs w:val="22"/>
      <w:lang w:val="es-CR" w:eastAsia="es-CR"/>
    </w:rPr>
  </w:style>
  <w:style w:type="numbering" w:customStyle="1" w:styleId="Sinlista7">
    <w:name w:val="Sin lista7"/>
    <w:next w:val="Sinlista"/>
    <w:uiPriority w:val="99"/>
    <w:semiHidden/>
    <w:unhideWhenUsed/>
    <w:rsid w:val="00D76CBC"/>
  </w:style>
  <w:style w:type="numbering" w:customStyle="1" w:styleId="Sinlista16">
    <w:name w:val="Sin lista16"/>
    <w:next w:val="Sinlista"/>
    <w:uiPriority w:val="99"/>
    <w:semiHidden/>
    <w:unhideWhenUsed/>
    <w:rsid w:val="00D76CBC"/>
  </w:style>
  <w:style w:type="table" w:customStyle="1" w:styleId="Tablaconcuadrcula80">
    <w:name w:val="Tabla con cuadrícula8"/>
    <w:basedOn w:val="Tablanormal"/>
    <w:next w:val="Tablaconcuadrcula"/>
    <w:uiPriority w:val="59"/>
    <w:rsid w:val="00D76CBC"/>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3">
    <w:name w:val="Tabla profesional3"/>
    <w:basedOn w:val="Tablanormal"/>
    <w:next w:val="Tablaprofesional"/>
    <w:rsid w:val="00D76CBC"/>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3">
    <w:name w:val="Tabla Web 13"/>
    <w:basedOn w:val="Tablanormal"/>
    <w:rsid w:val="00D76CBC"/>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customStyle="1" w:styleId="Descripcin7">
    <w:name w:val="Descripción7"/>
    <w:basedOn w:val="Normal"/>
    <w:next w:val="Normal"/>
    <w:qFormat/>
    <w:rsid w:val="00D76CBC"/>
    <w:pPr>
      <w:spacing w:after="200"/>
    </w:pPr>
    <w:rPr>
      <w:i/>
      <w:iCs/>
      <w:color w:val="44546A"/>
      <w:sz w:val="18"/>
      <w:szCs w:val="18"/>
      <w:lang w:val="es-ES_tradnl"/>
    </w:rPr>
  </w:style>
  <w:style w:type="numbering" w:customStyle="1" w:styleId="Sinlista113">
    <w:name w:val="Sin lista113"/>
    <w:next w:val="Sinlista"/>
    <w:uiPriority w:val="99"/>
    <w:semiHidden/>
    <w:unhideWhenUsed/>
    <w:rsid w:val="00D76CBC"/>
  </w:style>
  <w:style w:type="character" w:customStyle="1" w:styleId="ListParagraphChar1">
    <w:name w:val="List Paragraph Char1"/>
    <w:aliases w:val="3 Char"/>
    <w:locked/>
    <w:rsid w:val="00D76CBC"/>
    <w:rPr>
      <w:rFonts w:ascii="Calibri" w:hAnsi="Calibri"/>
      <w:sz w:val="22"/>
      <w:szCs w:val="22"/>
      <w:lang w:val="es-ES" w:eastAsia="en-US"/>
    </w:rPr>
  </w:style>
  <w:style w:type="character" w:customStyle="1" w:styleId="CuerpodeltextoArial">
    <w:name w:val="Cuerpo del texto + Arial"/>
    <w:aliases w:val="9,5 pto"/>
    <w:rsid w:val="00D76CBC"/>
    <w:rPr>
      <w:rFonts w:ascii="Arial" w:hAnsi="Arial" w:cs="Arial"/>
      <w:b/>
      <w:bCs/>
      <w:sz w:val="19"/>
      <w:szCs w:val="19"/>
      <w:shd w:val="clear" w:color="auto" w:fill="FFFFFF"/>
    </w:rPr>
  </w:style>
  <w:style w:type="character" w:customStyle="1" w:styleId="Cuerpodeltexto2">
    <w:name w:val="Cuerpo del texto (2)_"/>
    <w:link w:val="Cuerpodeltexto20"/>
    <w:rsid w:val="00D76CBC"/>
    <w:rPr>
      <w:rFonts w:ascii="Microsoft Sans Serif" w:hAnsi="Microsoft Sans Serif"/>
      <w:sz w:val="19"/>
      <w:szCs w:val="19"/>
      <w:shd w:val="clear" w:color="auto" w:fill="FFFFFF"/>
    </w:rPr>
  </w:style>
  <w:style w:type="paragraph" w:customStyle="1" w:styleId="Cuerpodeltexto20">
    <w:name w:val="Cuerpo del texto (2)"/>
    <w:basedOn w:val="Normal"/>
    <w:link w:val="Cuerpodeltexto2"/>
    <w:qFormat/>
    <w:rsid w:val="00D76CBC"/>
    <w:pPr>
      <w:widowControl w:val="0"/>
      <w:shd w:val="clear" w:color="auto" w:fill="FFFFFF"/>
      <w:suppressAutoHyphens w:val="0"/>
      <w:spacing w:before="480" w:after="120" w:line="240" w:lineRule="atLeast"/>
      <w:ind w:hanging="860"/>
      <w:jc w:val="both"/>
    </w:pPr>
    <w:rPr>
      <w:rFonts w:ascii="Microsoft Sans Serif" w:hAnsi="Microsoft Sans Serif"/>
      <w:sz w:val="19"/>
      <w:szCs w:val="19"/>
      <w:lang w:eastAsia="es-ES"/>
    </w:rPr>
  </w:style>
  <w:style w:type="character" w:customStyle="1" w:styleId="CuerpodeltextoNegrita">
    <w:name w:val="Cuerpo del texto + Negrita"/>
    <w:rsid w:val="00D76CBC"/>
    <w:rPr>
      <w:rFonts w:ascii="Microsoft Sans Serif" w:hAnsi="Microsoft Sans Serif" w:cs="Microsoft Sans Serif"/>
      <w:b/>
      <w:bCs/>
      <w:sz w:val="17"/>
      <w:szCs w:val="17"/>
      <w:u w:val="none"/>
      <w:shd w:val="clear" w:color="auto" w:fill="FFFFFF"/>
    </w:rPr>
  </w:style>
  <w:style w:type="character" w:customStyle="1" w:styleId="tgc">
    <w:name w:val="_tgc"/>
    <w:basedOn w:val="Fuentedeprrafopredeter"/>
    <w:rsid w:val="00D76CBC"/>
  </w:style>
  <w:style w:type="character" w:styleId="CitaHTML">
    <w:name w:val="HTML Cite"/>
    <w:uiPriority w:val="99"/>
    <w:unhideWhenUsed/>
    <w:rsid w:val="00D76CBC"/>
    <w:rPr>
      <w:i/>
      <w:iCs/>
    </w:rPr>
  </w:style>
  <w:style w:type="paragraph" w:customStyle="1" w:styleId="mce">
    <w:name w:val="mce"/>
    <w:basedOn w:val="Normal"/>
    <w:qFormat/>
    <w:rsid w:val="00D76CBC"/>
    <w:pPr>
      <w:suppressAutoHyphens w:val="0"/>
      <w:spacing w:before="100" w:beforeAutospacing="1" w:after="100" w:afterAutospacing="1"/>
    </w:pPr>
    <w:rPr>
      <w:lang w:val="es-CR" w:eastAsia="es-CR"/>
    </w:rPr>
  </w:style>
  <w:style w:type="paragraph" w:customStyle="1" w:styleId="e-mail">
    <w:name w:val="e-mail"/>
    <w:basedOn w:val="Normal"/>
    <w:qFormat/>
    <w:rsid w:val="00D76CBC"/>
    <w:pPr>
      <w:suppressAutoHyphens w:val="0"/>
      <w:spacing w:before="100" w:beforeAutospacing="1" w:after="100" w:afterAutospacing="1"/>
    </w:pPr>
    <w:rPr>
      <w:lang w:val="es-CR" w:eastAsia="es-CR"/>
    </w:rPr>
  </w:style>
  <w:style w:type="paragraph" w:customStyle="1" w:styleId="sub-area">
    <w:name w:val="sub-area"/>
    <w:basedOn w:val="Normal"/>
    <w:qFormat/>
    <w:rsid w:val="00D76CBC"/>
    <w:pPr>
      <w:suppressAutoHyphens w:val="0"/>
      <w:spacing w:before="100" w:beforeAutospacing="1" w:after="100" w:afterAutospacing="1"/>
    </w:pPr>
    <w:rPr>
      <w:lang w:val="es-CR" w:eastAsia="es-CR"/>
    </w:rPr>
  </w:style>
  <w:style w:type="paragraph" w:customStyle="1" w:styleId="summary">
    <w:name w:val="summary"/>
    <w:basedOn w:val="Normal"/>
    <w:qFormat/>
    <w:rsid w:val="00D76CBC"/>
    <w:pPr>
      <w:suppressAutoHyphens w:val="0"/>
      <w:spacing w:before="100" w:beforeAutospacing="1" w:after="100" w:afterAutospacing="1"/>
    </w:pPr>
    <w:rPr>
      <w:lang w:val="es-CR" w:eastAsia="es-CR"/>
    </w:rPr>
  </w:style>
  <w:style w:type="table" w:customStyle="1" w:styleId="Tablaconcuadrcula15">
    <w:name w:val="Tabla con cuadrícula15"/>
    <w:basedOn w:val="Tablanormal"/>
    <w:next w:val="Tablaconcuadrcula"/>
    <w:uiPriority w:val="39"/>
    <w:rsid w:val="00D76CBC"/>
    <w:rPr>
      <w:rFonts w:ascii="Arial" w:hAnsi="Arial" w:cs="Arial"/>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2">
    <w:name w:val="Sin lista1112"/>
    <w:next w:val="Sinlista"/>
    <w:uiPriority w:val="99"/>
    <w:semiHidden/>
    <w:unhideWhenUsed/>
    <w:rsid w:val="00D76CBC"/>
  </w:style>
  <w:style w:type="table" w:customStyle="1" w:styleId="Tablaconcuadrcula112">
    <w:name w:val="Tabla con cuadrícula112"/>
    <w:basedOn w:val="Tablanormal"/>
    <w:next w:val="Tablaconcuadrcula"/>
    <w:uiPriority w:val="59"/>
    <w:rsid w:val="00D76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3">
    <w:name w:val="Sin lista23"/>
    <w:next w:val="Sinlista"/>
    <w:uiPriority w:val="99"/>
    <w:semiHidden/>
    <w:rsid w:val="00D76CBC"/>
  </w:style>
  <w:style w:type="table" w:customStyle="1" w:styleId="Tablaconcuadrcula24">
    <w:name w:val="Tabla con cuadrícula24"/>
    <w:basedOn w:val="Tablanormal"/>
    <w:next w:val="Tablaconcuadrcula"/>
    <w:rsid w:val="00D76CBC"/>
    <w:rPr>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elegante2">
    <w:name w:val="Tabla elegante2"/>
    <w:basedOn w:val="Tablanormal"/>
    <w:next w:val="Tablaelegante"/>
    <w:rsid w:val="00D76CBC"/>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2">
    <w:name w:val="Tabla moderna2"/>
    <w:basedOn w:val="Tablanormal"/>
    <w:next w:val="Tablamoderna"/>
    <w:rsid w:val="00D76CBC"/>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decuadrcula5oscura-nfasis5">
    <w:name w:val="Tabla de cuadrícula 5 oscura - Énfasis 5"/>
    <w:basedOn w:val="Tablanormal"/>
    <w:uiPriority w:val="50"/>
    <w:rsid w:val="00D76CBC"/>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styleId="Tabladelista3-nfasis1">
    <w:name w:val="List Table 3 Accent 1"/>
    <w:basedOn w:val="Tablanormal"/>
    <w:uiPriority w:val="48"/>
    <w:rsid w:val="00D76CBC"/>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cuadrcula5oscura-nfasis1">
    <w:name w:val="Tabla de cuadrícula 5 oscura - Énfasis 1"/>
    <w:basedOn w:val="Tablanormal"/>
    <w:uiPriority w:val="50"/>
    <w:rsid w:val="00D76CBC"/>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4-nfasis1">
    <w:name w:val="Tabla de cuadrícula 4 - Énfasis 1"/>
    <w:basedOn w:val="Tablanormal"/>
    <w:uiPriority w:val="49"/>
    <w:rsid w:val="00D76CBC"/>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paragraph" w:customStyle="1" w:styleId="xxxprrafodelista3">
    <w:name w:val="x_x_x_prrafodelista3"/>
    <w:basedOn w:val="Normal"/>
    <w:qFormat/>
    <w:rsid w:val="00D76CBC"/>
    <w:pPr>
      <w:suppressAutoHyphens w:val="0"/>
    </w:pPr>
    <w:rPr>
      <w:rFonts w:ascii="Calibri" w:eastAsia="Calibri" w:hAnsi="Calibri" w:cs="Calibri"/>
      <w:sz w:val="22"/>
      <w:szCs w:val="22"/>
      <w:lang w:val="es-CR" w:eastAsia="es-CR"/>
    </w:rPr>
  </w:style>
  <w:style w:type="character" w:customStyle="1" w:styleId="hgkelc">
    <w:name w:val="hgkelc"/>
    <w:rsid w:val="00D76CBC"/>
  </w:style>
  <w:style w:type="table" w:customStyle="1" w:styleId="Tabladecuadrcula4-nfasis5">
    <w:name w:val="Tabla de cuadrícula 4 - Énfasis 5"/>
    <w:basedOn w:val="Tablanormal"/>
    <w:uiPriority w:val="49"/>
    <w:rsid w:val="00D76CBC"/>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uadrculadetablaclara">
    <w:name w:val="Cuadrícula de tabla clara"/>
    <w:basedOn w:val="Tablanormal"/>
    <w:uiPriority w:val="40"/>
    <w:rsid w:val="00D76CBC"/>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styleId="Tablanormal1">
    <w:name w:val="Plain Table 1"/>
    <w:basedOn w:val="Tablanormal"/>
    <w:uiPriority w:val="41"/>
    <w:rsid w:val="00D76CBC"/>
    <w:rPr>
      <w:rFonts w:ascii="Calibri" w:eastAsia="Calibri" w:hAnsi="Calibri"/>
      <w:lang w:val="es-CR" w:eastAsia="es-C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5">
    <w:name w:val="Tabla de cuadrícula 45"/>
    <w:basedOn w:val="Tablanormal"/>
    <w:next w:val="Tabladecuadrcula4"/>
    <w:uiPriority w:val="49"/>
    <w:rsid w:val="00D76CBC"/>
    <w:rPr>
      <w:rFonts w:ascii="Calibri" w:eastAsia="Calibri" w:hAnsi="Calibr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Ttulo1Car1">
    <w:name w:val="Título 1 Car1"/>
    <w:aliases w:val="Título Principal Car1,1. Texto Base Car1,000000 Car1,CAPITULO 1 Car1,heading 1 Car1"/>
    <w:uiPriority w:val="9"/>
    <w:rsid w:val="00D76CBC"/>
    <w:rPr>
      <w:rFonts w:ascii="Arial" w:hAnsi="Arial" w:cs="Arial"/>
      <w:b/>
      <w:bCs/>
      <w:color w:val="365F91"/>
      <w:sz w:val="28"/>
      <w:szCs w:val="28"/>
      <w:lang w:val="es-CR" w:eastAsia="zh-CN" w:bidi="ar-SA"/>
    </w:rPr>
  </w:style>
  <w:style w:type="character" w:customStyle="1" w:styleId="DescripcinCar">
    <w:name w:val="Descripción Car"/>
    <w:basedOn w:val="Fuentedeprrafopredeter"/>
    <w:link w:val="Descripcin"/>
    <w:rsid w:val="00D76CBC"/>
    <w:rPr>
      <w:rFonts w:ascii="Times New Roman" w:eastAsia="Times New Roman" w:hAnsi="Times New Roman" w:cs="Times New Roman"/>
      <w:i/>
      <w:iCs/>
      <w:color w:val="44546A"/>
      <w:sz w:val="18"/>
      <w:szCs w:val="18"/>
      <w:lang w:val="es-ES_tradnl" w:eastAsia="ar-SA"/>
    </w:rPr>
  </w:style>
  <w:style w:type="character" w:customStyle="1" w:styleId="Estilo1Car">
    <w:name w:val="Estilo1 Car"/>
    <w:basedOn w:val="DescripcinCar"/>
    <w:link w:val="Estilo1"/>
    <w:uiPriority w:val="99"/>
    <w:rsid w:val="00D76CBC"/>
    <w:rPr>
      <w:rFonts w:ascii="Times New Roman" w:eastAsia="Times New Roman" w:hAnsi="Times New Roman" w:cs="Times New Roman"/>
      <w:i w:val="0"/>
      <w:iCs w:val="0"/>
      <w:color w:val="44546A"/>
      <w:sz w:val="24"/>
      <w:szCs w:val="24"/>
      <w:lang w:val="en-US" w:eastAsia="ar-SA"/>
    </w:rPr>
  </w:style>
  <w:style w:type="numbering" w:customStyle="1" w:styleId="Sinlista32">
    <w:name w:val="Sin lista32"/>
    <w:next w:val="Sinlista"/>
    <w:uiPriority w:val="99"/>
    <w:semiHidden/>
    <w:unhideWhenUsed/>
    <w:rsid w:val="00D76CBC"/>
  </w:style>
  <w:style w:type="table" w:customStyle="1" w:styleId="Tablaconcuadrcula31">
    <w:name w:val="Tabla con cuadrícula31"/>
    <w:basedOn w:val="Tablanormal"/>
    <w:next w:val="Tablaconcuadrcula"/>
    <w:uiPriority w:val="39"/>
    <w:rsid w:val="00D76CBC"/>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1">
    <w:name w:val="Tabla profesional11"/>
    <w:basedOn w:val="Tablanormal"/>
    <w:next w:val="Tablaprofesional"/>
    <w:rsid w:val="00D76CBC"/>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0">
    <w:name w:val="Tabla web 12"/>
    <w:basedOn w:val="Tablanormal"/>
    <w:next w:val="Tablaweb10"/>
    <w:rsid w:val="00D76CBC"/>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uadrculaclara-nfasis112">
    <w:name w:val="Cuadrícula clara - Énfasis 112"/>
    <w:basedOn w:val="Tablanormal"/>
    <w:uiPriority w:val="62"/>
    <w:rsid w:val="00D76CBC"/>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inlista11112">
    <w:name w:val="Sin lista11112"/>
    <w:next w:val="Sinlista"/>
    <w:uiPriority w:val="99"/>
    <w:semiHidden/>
    <w:unhideWhenUsed/>
    <w:rsid w:val="00D76CBC"/>
  </w:style>
  <w:style w:type="numbering" w:customStyle="1" w:styleId="Sinlista111112">
    <w:name w:val="Sin lista111112"/>
    <w:next w:val="Sinlista"/>
    <w:uiPriority w:val="99"/>
    <w:semiHidden/>
    <w:unhideWhenUsed/>
    <w:rsid w:val="00D76CBC"/>
  </w:style>
  <w:style w:type="table" w:customStyle="1" w:styleId="Tablaweb22">
    <w:name w:val="Tabla web 22"/>
    <w:basedOn w:val="Tablanormal"/>
    <w:next w:val="Tablaweb2"/>
    <w:rsid w:val="00D76CBC"/>
    <w:rPr>
      <w:lang w:val="es-CR" w:eastAsia="es-C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ombreadomedio112">
    <w:name w:val="Sombreado medio 112"/>
    <w:basedOn w:val="Tablanormal"/>
    <w:rsid w:val="00D76CBC"/>
    <w:rPr>
      <w:rFonts w:ascii="Cambria" w:hAnsi="Cambria"/>
      <w:lang w:val="es-CR" w:eastAsia="es-C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Sombreadomedio212">
    <w:name w:val="Sombreado medio 212"/>
    <w:basedOn w:val="Tablanormal"/>
    <w:rsid w:val="00D76CBC"/>
    <w:rPr>
      <w:rFonts w:ascii="Cambria" w:hAnsi="Cambria"/>
      <w:lang w:val="es-CR" w:eastAsia="es-C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2">
    <w:name w:val="Lista media 112"/>
    <w:basedOn w:val="Tablanormal"/>
    <w:rsid w:val="00D76CBC"/>
    <w:rPr>
      <w:rFonts w:ascii="Cambria" w:hAnsi="Cambria"/>
      <w:color w:val="000000"/>
      <w:lang w:val="es-CR" w:eastAsia="es-CR"/>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Listamedia212">
    <w:name w:val="Lista media 212"/>
    <w:basedOn w:val="Tablanormal"/>
    <w:rsid w:val="00D76CBC"/>
    <w:rPr>
      <w:rFonts w:ascii="Calibri" w:hAnsi="Calibri"/>
      <w:color w:val="000000"/>
      <w:lang w:val="es-CR" w:eastAsia="es-C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ombreadoclaro12">
    <w:name w:val="Sombreado claro12"/>
    <w:basedOn w:val="Tablanormal"/>
    <w:rsid w:val="00D76CBC"/>
    <w:rPr>
      <w:rFonts w:ascii="Cambria" w:hAnsi="Cambria"/>
      <w:color w:val="000000"/>
      <w:lang w:val="es-CR" w:eastAsia="es-CR"/>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Grid1-Accent12">
    <w:name w:val="Medium Grid 1 - Accent 12"/>
    <w:basedOn w:val="Tablanormal"/>
    <w:rsid w:val="00D76CBC"/>
    <w:rPr>
      <w:rFonts w:ascii="Cambria" w:hAnsi="Cambria"/>
      <w:lang w:val="es-CR" w:eastAsia="es-C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Grid3-Accent12">
    <w:name w:val="Medium Grid 3 - Accent 12"/>
    <w:basedOn w:val="Tablanormal"/>
    <w:rsid w:val="00D76CBC"/>
    <w:rPr>
      <w:rFonts w:ascii="Cambria" w:hAnsi="Cambria"/>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claro-nfasis112">
    <w:name w:val="Sombreado claro - Énfasis 112"/>
    <w:basedOn w:val="Tablanormal"/>
    <w:rsid w:val="00D76CBC"/>
    <w:rPr>
      <w:rFonts w:ascii="Cambria" w:hAnsi="Cambria"/>
      <w:color w:val="365F91"/>
      <w:sz w:val="22"/>
      <w:szCs w:val="22"/>
      <w:lang w:val="es-CR"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MediumShading1-Accent12">
    <w:name w:val="Medium Shading 1 - Accent 12"/>
    <w:basedOn w:val="Tablanormal"/>
    <w:rsid w:val="00D76CBC"/>
    <w:rPr>
      <w:rFonts w:ascii="Cambria" w:hAnsi="Cambria"/>
      <w:sz w:val="22"/>
      <w:szCs w:val="22"/>
      <w:lang w:val="es-CR"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numbering" w:customStyle="1" w:styleId="1111111114">
    <w:name w:val="1.1 / 1.1.1 / 1.1.1.14"/>
    <w:basedOn w:val="Sinlista"/>
    <w:next w:val="111111"/>
    <w:uiPriority w:val="99"/>
    <w:unhideWhenUsed/>
    <w:rsid w:val="00D76CBC"/>
    <w:pPr>
      <w:numPr>
        <w:numId w:val="48"/>
      </w:numPr>
    </w:pPr>
  </w:style>
  <w:style w:type="table" w:customStyle="1" w:styleId="Tablaconcuadrcula82">
    <w:name w:val="Tabla con cuadrícula 82"/>
    <w:basedOn w:val="Tablanormal"/>
    <w:next w:val="Tablaconcuadrcula8"/>
    <w:rsid w:val="00D76CBC"/>
    <w:rPr>
      <w:lang w:val="es-CR" w:eastAsia="es-C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concuadrcula1112">
    <w:name w:val="Tabla con cuadrícula1112"/>
    <w:basedOn w:val="Tablanormal"/>
    <w:next w:val="Tablaconcuadrcula"/>
    <w:uiPriority w:val="39"/>
    <w:rsid w:val="00D76CBC"/>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1">
    <w:name w:val="Tabla con cuadrícula211"/>
    <w:basedOn w:val="Tablanormal"/>
    <w:next w:val="Tablaconcuadrcula"/>
    <w:uiPriority w:val="59"/>
    <w:rsid w:val="00D76CBC"/>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11">
    <w:name w:val="Tabla de cuadrícula 411"/>
    <w:basedOn w:val="Tablanormal"/>
    <w:next w:val="Tabladecuadrcula4"/>
    <w:uiPriority w:val="49"/>
    <w:rsid w:val="00D76CBC"/>
    <w:rPr>
      <w:rFonts w:ascii="Calibri" w:eastAsia="Calibri" w:hAnsi="Calibr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markfltek5ajo">
    <w:name w:val="markfltek5ajo"/>
    <w:basedOn w:val="Fuentedeprrafopredeter"/>
    <w:rsid w:val="00D76CBC"/>
  </w:style>
  <w:style w:type="character" w:customStyle="1" w:styleId="markhgn6de4ey">
    <w:name w:val="markhgn6de4ey"/>
    <w:basedOn w:val="Fuentedeprrafopredeter"/>
    <w:rsid w:val="00D76CBC"/>
  </w:style>
  <w:style w:type="table" w:customStyle="1" w:styleId="Tablaconcuadrcula121">
    <w:name w:val="Tabla con cuadrícula121"/>
    <w:basedOn w:val="Tablanormal"/>
    <w:uiPriority w:val="59"/>
    <w:rsid w:val="00D76CBC"/>
    <w:pPr>
      <w:jc w:val="both"/>
    </w:pPr>
    <w:rPr>
      <w:rFonts w:ascii="Calibri" w:eastAsia="Calibri" w:hAnsi="Calibri"/>
      <w:sz w:val="22"/>
      <w:szCs w:val="22"/>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D76CBC"/>
    <w:pPr>
      <w:suppressAutoHyphens w:val="0"/>
      <w:autoSpaceDE w:val="0"/>
      <w:autoSpaceDN w:val="0"/>
    </w:pPr>
    <w:rPr>
      <w:rFonts w:ascii="Arial" w:eastAsia="Calibri" w:hAnsi="Arial" w:cs="Arial"/>
      <w:sz w:val="22"/>
      <w:szCs w:val="22"/>
      <w:lang w:val="es-CR" w:eastAsia="en-US"/>
    </w:rPr>
  </w:style>
  <w:style w:type="character" w:customStyle="1" w:styleId="estilocorreo28">
    <w:name w:val="estilocorreo28"/>
    <w:basedOn w:val="Fuentedeprrafopredeter"/>
    <w:rsid w:val="00D76CBC"/>
    <w:rPr>
      <w:color w:val="000000"/>
    </w:rPr>
  </w:style>
  <w:style w:type="character" w:customStyle="1" w:styleId="EstiloCorreo351">
    <w:name w:val="EstiloCorreo351"/>
    <w:rsid w:val="00D76CBC"/>
    <w:rPr>
      <w:rFonts w:ascii="Arial" w:hAnsi="Arial" w:cs="Arial"/>
      <w:color w:val="000080"/>
      <w:sz w:val="20"/>
      <w:szCs w:val="20"/>
    </w:rPr>
  </w:style>
  <w:style w:type="table" w:customStyle="1" w:styleId="Tablaconcuadrcula161">
    <w:name w:val="Tabla con cuadrícula161"/>
    <w:basedOn w:val="Tablanormal"/>
    <w:uiPriority w:val="39"/>
    <w:rsid w:val="00D76CBC"/>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2">
    <w:name w:val="Tabla con cuadrícula132"/>
    <w:basedOn w:val="Tablanormal"/>
    <w:next w:val="Tablaconcuadrcula"/>
    <w:uiPriority w:val="39"/>
    <w:rsid w:val="00D76CBC"/>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1">
    <w:name w:val="Sin lista121"/>
    <w:next w:val="Sinlista"/>
    <w:uiPriority w:val="99"/>
    <w:semiHidden/>
    <w:unhideWhenUsed/>
    <w:rsid w:val="00D76CBC"/>
  </w:style>
  <w:style w:type="numbering" w:customStyle="1" w:styleId="Sinlista1111111">
    <w:name w:val="Sin lista1111111"/>
    <w:next w:val="Sinlista"/>
    <w:uiPriority w:val="99"/>
    <w:semiHidden/>
    <w:unhideWhenUsed/>
    <w:rsid w:val="00D76CBC"/>
  </w:style>
  <w:style w:type="numbering" w:customStyle="1" w:styleId="Sinlista11111111">
    <w:name w:val="Sin lista11111111"/>
    <w:next w:val="Sinlista"/>
    <w:uiPriority w:val="99"/>
    <w:semiHidden/>
    <w:unhideWhenUsed/>
    <w:rsid w:val="00D76CBC"/>
  </w:style>
  <w:style w:type="character" w:customStyle="1" w:styleId="Ttulo2Car1">
    <w:name w:val="Título 2 Car1"/>
    <w:aliases w:val="Títulos de Hallazgo e Introducción Car1,CAPITULO 2 Car1,H21 Car1,3. Subtitulos Car1,CAPÍTULO Car1,Car10 Car1,TÍTULO CORTE Car1,Heading 2 Char2 Char Car1,Heading 2 Char Char1 Char Car1,Headin Car1,TITULO CORTE Car1,CHICO Car1"/>
    <w:basedOn w:val="Fuentedeprrafopredeter"/>
    <w:uiPriority w:val="9"/>
    <w:rsid w:val="00D76CBC"/>
    <w:rPr>
      <w:rFonts w:ascii="Calibri Light" w:eastAsia="Times New Roman" w:hAnsi="Calibri Light" w:cs="Times New Roman"/>
      <w:color w:val="2F5496"/>
      <w:sz w:val="26"/>
      <w:szCs w:val="26"/>
      <w:lang w:val="es-ES_tradnl" w:eastAsia="ar-SA"/>
    </w:rPr>
  </w:style>
  <w:style w:type="character" w:customStyle="1" w:styleId="Ttulo3Car1">
    <w:name w:val="Título 3 Car1"/>
    <w:aliases w:val="Subtítulos de Hallazgo Car1,Graficos Car1,otros Car1,heading 3 Car1,SUBTÍTULO CORTE Car1,SUBTITULO CORTE Car1,MATÍAS Car1"/>
    <w:basedOn w:val="Fuentedeprrafopredeter"/>
    <w:uiPriority w:val="9"/>
    <w:semiHidden/>
    <w:rsid w:val="00D76CBC"/>
    <w:rPr>
      <w:rFonts w:ascii="Calibri Light" w:eastAsia="Times New Roman" w:hAnsi="Calibri Light" w:cs="Times New Roman"/>
      <w:color w:val="1F3763"/>
      <w:sz w:val="24"/>
      <w:szCs w:val="24"/>
      <w:lang w:val="es-ES_tradnl" w:eastAsia="ar-SA"/>
    </w:rPr>
  </w:style>
  <w:style w:type="paragraph" w:customStyle="1" w:styleId="NormalWeb1">
    <w:name w:val="Normal (Web)1"/>
    <w:basedOn w:val="Normal"/>
    <w:next w:val="NormalWeb"/>
    <w:uiPriority w:val="99"/>
    <w:semiHidden/>
    <w:unhideWhenUsed/>
    <w:qFormat/>
    <w:rsid w:val="00D76CBC"/>
    <w:pPr>
      <w:spacing w:before="100" w:after="100"/>
    </w:pPr>
    <w:rPr>
      <w:rFonts w:ascii="Calibri" w:eastAsia="Calibri" w:hAnsi="Calibri" w:cs="Arial"/>
    </w:rPr>
  </w:style>
  <w:style w:type="paragraph" w:customStyle="1" w:styleId="Ca1">
    <w:name w:val="Ca1"/>
    <w:basedOn w:val="Normal"/>
    <w:next w:val="Textonotapie"/>
    <w:uiPriority w:val="99"/>
    <w:semiHidden/>
    <w:unhideWhenUsed/>
    <w:qFormat/>
    <w:rsid w:val="00D76CBC"/>
    <w:pPr>
      <w:suppressAutoHyphens w:val="0"/>
    </w:pPr>
    <w:rPr>
      <w:rFonts w:ascii="Calibri" w:eastAsia="Calibri" w:hAnsi="Calibri" w:cs="Arial"/>
      <w:sz w:val="22"/>
      <w:szCs w:val="22"/>
      <w:lang w:eastAsia="es-ES"/>
    </w:rPr>
  </w:style>
  <w:style w:type="paragraph" w:customStyle="1" w:styleId="tablecontents0">
    <w:name w:val="tablecontents"/>
    <w:basedOn w:val="Normal"/>
    <w:qFormat/>
    <w:rsid w:val="00D76CBC"/>
    <w:pPr>
      <w:suppressAutoHyphens w:val="0"/>
    </w:pPr>
    <w:rPr>
      <w:rFonts w:ascii="Calibri" w:eastAsia="Calibri" w:hAnsi="Calibri" w:cs="Calibri"/>
      <w:sz w:val="22"/>
      <w:szCs w:val="22"/>
      <w:lang w:val="es-CR" w:eastAsia="es-CR"/>
    </w:rPr>
  </w:style>
  <w:style w:type="paragraph" w:customStyle="1" w:styleId="xtextoindependiente32">
    <w:name w:val="x_textoindependiente32"/>
    <w:basedOn w:val="Normal"/>
    <w:uiPriority w:val="99"/>
    <w:qFormat/>
    <w:rsid w:val="00D76CBC"/>
    <w:pPr>
      <w:suppressAutoHyphens w:val="0"/>
    </w:pPr>
    <w:rPr>
      <w:rFonts w:ascii="Calibri" w:eastAsia="Calibri" w:hAnsi="Calibri" w:cs="Calibri"/>
      <w:sz w:val="22"/>
      <w:szCs w:val="22"/>
      <w:lang w:val="es-CR" w:eastAsia="es-CR"/>
    </w:rPr>
  </w:style>
  <w:style w:type="character" w:customStyle="1" w:styleId="markcejfuu86m">
    <w:name w:val="markcejfuu86m"/>
    <w:qFormat/>
    <w:rsid w:val="00D76CBC"/>
  </w:style>
  <w:style w:type="table" w:customStyle="1" w:styleId="Tablaprofesional111">
    <w:name w:val="Tabla profesional111"/>
    <w:basedOn w:val="Tablanormal"/>
    <w:next w:val="Tablaprofesional"/>
    <w:semiHidden/>
    <w:unhideWhenUsed/>
    <w:rsid w:val="00D76CBC"/>
    <w:pPr>
      <w:suppressAutoHyphens/>
    </w:pPr>
    <w:rPr>
      <w:lang w:val="es-CR" w:eastAsia="es-C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2">
    <w:name w:val="Tabla Web 112"/>
    <w:basedOn w:val="Tablanormal"/>
    <w:rsid w:val="00D76CBC"/>
    <w:rPr>
      <w:lang w:val="es-CR" w:eastAsia="es-CR"/>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WW8Num252">
    <w:name w:val="WW8Num252"/>
    <w:rsid w:val="00D76CBC"/>
  </w:style>
  <w:style w:type="numbering" w:customStyle="1" w:styleId="WW8Num112">
    <w:name w:val="WW8Num112"/>
    <w:qFormat/>
    <w:rsid w:val="00D76CBC"/>
  </w:style>
  <w:style w:type="numbering" w:customStyle="1" w:styleId="WW8Num152">
    <w:name w:val="WW8Num152"/>
    <w:rsid w:val="00D76CBC"/>
  </w:style>
  <w:style w:type="paragraph" w:customStyle="1" w:styleId="NormalWeb2">
    <w:name w:val="Normal (Web)2"/>
    <w:basedOn w:val="Normal"/>
    <w:next w:val="NormalWeb"/>
    <w:uiPriority w:val="99"/>
    <w:semiHidden/>
    <w:unhideWhenUsed/>
    <w:qFormat/>
    <w:rsid w:val="00D76CBC"/>
    <w:rPr>
      <w:rFonts w:ascii="Calibri" w:eastAsia="Calibri" w:hAnsi="Calibri" w:cs="Arial"/>
    </w:rPr>
  </w:style>
  <w:style w:type="paragraph" w:customStyle="1" w:styleId="Ca2">
    <w:name w:val="Ca2"/>
    <w:basedOn w:val="Normal"/>
    <w:next w:val="Textonotapie"/>
    <w:uiPriority w:val="99"/>
    <w:semiHidden/>
    <w:unhideWhenUsed/>
    <w:qFormat/>
    <w:rsid w:val="00D76CBC"/>
    <w:rPr>
      <w:rFonts w:ascii="Calibri" w:eastAsia="Calibri" w:hAnsi="Calibri" w:cs="Arial"/>
      <w:sz w:val="22"/>
      <w:szCs w:val="22"/>
      <w:lang w:eastAsia="es-ES"/>
    </w:rPr>
  </w:style>
  <w:style w:type="character" w:customStyle="1" w:styleId="TextonotapieCar2">
    <w:name w:val="Texto nota pie Car2"/>
    <w:basedOn w:val="Fuentedeprrafopredeter"/>
    <w:uiPriority w:val="99"/>
    <w:rsid w:val="00D76CBC"/>
    <w:rPr>
      <w:rFonts w:ascii="Times New Roman" w:eastAsia="Times New Roman" w:hAnsi="Times New Roman" w:cs="Times New Roman"/>
      <w:sz w:val="20"/>
      <w:szCs w:val="20"/>
      <w:lang w:val="es-ES_tradnl" w:eastAsia="ar-SA"/>
    </w:rPr>
  </w:style>
  <w:style w:type="paragraph" w:customStyle="1" w:styleId="h20">
    <w:name w:val="h2"/>
    <w:basedOn w:val="Normal"/>
    <w:next w:val="Encabezado"/>
    <w:unhideWhenUsed/>
    <w:qFormat/>
    <w:rsid w:val="00D76CBC"/>
    <w:pPr>
      <w:tabs>
        <w:tab w:val="center" w:pos="4680"/>
        <w:tab w:val="right" w:pos="9360"/>
      </w:tabs>
    </w:pPr>
    <w:rPr>
      <w:rFonts w:ascii="Calibri" w:eastAsia="Calibri" w:hAnsi="Calibri" w:cs="Arial"/>
      <w:sz w:val="22"/>
      <w:szCs w:val="22"/>
      <w:lang w:eastAsia="es-ES"/>
    </w:rPr>
  </w:style>
  <w:style w:type="character" w:customStyle="1" w:styleId="EncabezadoCar2">
    <w:name w:val="Encabezado Car2"/>
    <w:aliases w:val="encabezado Car2,h Car2"/>
    <w:basedOn w:val="Fuentedeprrafopredeter"/>
    <w:rsid w:val="00D76CBC"/>
    <w:rPr>
      <w:rFonts w:ascii="Times New Roman" w:eastAsia="Times New Roman" w:hAnsi="Times New Roman" w:cs="Times New Roman"/>
      <w:sz w:val="20"/>
      <w:szCs w:val="20"/>
      <w:lang w:val="es-ES_tradnl" w:eastAsia="ar-SA"/>
    </w:rPr>
  </w:style>
  <w:style w:type="numbering" w:customStyle="1" w:styleId="Sinlista212">
    <w:name w:val="Sin lista212"/>
    <w:next w:val="Sinlista"/>
    <w:uiPriority w:val="99"/>
    <w:semiHidden/>
    <w:unhideWhenUsed/>
    <w:rsid w:val="00D76CBC"/>
  </w:style>
  <w:style w:type="table" w:customStyle="1" w:styleId="Tablaconcuadrcula221">
    <w:name w:val="Tabla con cuadrícula221"/>
    <w:basedOn w:val="Tablanormal"/>
    <w:next w:val="Tablaconcuadrcula"/>
    <w:uiPriority w:val="39"/>
    <w:rsid w:val="00D76CBC"/>
    <w:pPr>
      <w:suppressAutoHyphens/>
    </w:pPr>
    <w:rPr>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1">
    <w:name w:val="Tabla con cuadrícula11111"/>
    <w:basedOn w:val="Tablanormal"/>
    <w:uiPriority w:val="39"/>
    <w:rsid w:val="00D76CBC"/>
    <w:rPr>
      <w:rFonts w:ascii="Calibri" w:eastAsia="NSimSun" w:hAnsi="Calibri" w:cs="Lucida Sans"/>
      <w:kern w:val="2"/>
      <w:szCs w:val="24"/>
      <w:lang w:val="es-CR"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1">
    <w:name w:val="WW8Num2521"/>
    <w:rsid w:val="00D76CBC"/>
  </w:style>
  <w:style w:type="numbering" w:customStyle="1" w:styleId="WW8Num1111">
    <w:name w:val="WW8Num1111"/>
    <w:rsid w:val="00D76CBC"/>
    <w:pPr>
      <w:numPr>
        <w:numId w:val="41"/>
      </w:numPr>
    </w:pPr>
  </w:style>
  <w:style w:type="numbering" w:customStyle="1" w:styleId="WW8Num1521">
    <w:name w:val="WW8Num1521"/>
    <w:rsid w:val="00D76CBC"/>
  </w:style>
  <w:style w:type="character" w:customStyle="1" w:styleId="TextonotapieCar3">
    <w:name w:val="Texto nota pie Car3"/>
    <w:basedOn w:val="Fuentedeprrafopredeter"/>
    <w:uiPriority w:val="99"/>
    <w:rsid w:val="00D76CBC"/>
    <w:rPr>
      <w:rFonts w:ascii="Times New Roman" w:eastAsia="Times New Roman" w:hAnsi="Times New Roman" w:cs="Times New Roman"/>
      <w:sz w:val="20"/>
      <w:szCs w:val="20"/>
      <w:lang w:val="es-ES_tradnl" w:eastAsia="ar-SA"/>
    </w:rPr>
  </w:style>
  <w:style w:type="character" w:customStyle="1" w:styleId="EncabezadoCar3">
    <w:name w:val="Encabezado Car3"/>
    <w:basedOn w:val="Fuentedeprrafopredeter"/>
    <w:uiPriority w:val="99"/>
    <w:rsid w:val="00D76CBC"/>
    <w:rPr>
      <w:rFonts w:ascii="Times New Roman" w:eastAsia="Times New Roman" w:hAnsi="Times New Roman" w:cs="Times New Roman"/>
      <w:sz w:val="20"/>
      <w:szCs w:val="20"/>
      <w:lang w:val="es-ES_tradnl" w:eastAsia="ar-SA"/>
    </w:rPr>
  </w:style>
  <w:style w:type="table" w:customStyle="1" w:styleId="Tablaprofesional21">
    <w:name w:val="Tabla profesional21"/>
    <w:basedOn w:val="Tablanormal"/>
    <w:next w:val="Tablaprofesional"/>
    <w:rsid w:val="00D76CBC"/>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1">
    <w:name w:val="Tabla Web 121"/>
    <w:basedOn w:val="Tablanormal"/>
    <w:rsid w:val="00D76CBC"/>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WW8Num2522">
    <w:name w:val="WW8Num2522"/>
    <w:rsid w:val="00D76CBC"/>
  </w:style>
  <w:style w:type="numbering" w:customStyle="1" w:styleId="WW8Num1522">
    <w:name w:val="WW8Num1522"/>
    <w:rsid w:val="00D76CBC"/>
  </w:style>
  <w:style w:type="numbering" w:customStyle="1" w:styleId="WW8Num1121">
    <w:name w:val="WW8Num1121"/>
    <w:rsid w:val="00D76CBC"/>
    <w:pPr>
      <w:numPr>
        <w:numId w:val="42"/>
      </w:numPr>
    </w:pPr>
  </w:style>
  <w:style w:type="table" w:customStyle="1" w:styleId="Tablaconcuadrcula1211">
    <w:name w:val="Tabla con cuadrícula1211"/>
    <w:basedOn w:val="Tablanormal"/>
    <w:next w:val="Tablaconcuadrcula"/>
    <w:uiPriority w:val="39"/>
    <w:rsid w:val="00D76CBC"/>
    <w:rPr>
      <w:rFonts w:ascii="Calibri" w:eastAsia="NSimSun" w:hAnsi="Calibri" w:cs="Lucida Sans"/>
      <w:kern w:val="2"/>
      <w:szCs w:val="24"/>
      <w:lang w:val="es-CR"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2">
    <w:name w:val="Sin lista312"/>
    <w:next w:val="Sinlista"/>
    <w:uiPriority w:val="99"/>
    <w:semiHidden/>
    <w:unhideWhenUsed/>
    <w:rsid w:val="00D76CBC"/>
  </w:style>
  <w:style w:type="table" w:customStyle="1" w:styleId="Tablaconcuadrcula1311">
    <w:name w:val="Tabla con cuadrícula1311"/>
    <w:basedOn w:val="Tablanormal"/>
    <w:next w:val="Tablaconcuadrcula"/>
    <w:uiPriority w:val="39"/>
    <w:rsid w:val="00D76CBC"/>
    <w:rPr>
      <w:rFonts w:ascii="Calibri" w:eastAsia="NSimSun" w:hAnsi="Calibri" w:cs="Lucida Sans"/>
      <w:kern w:val="2"/>
      <w:szCs w:val="24"/>
      <w:lang w:val="es-CR"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3">
    <w:name w:val="WW8Num2523"/>
    <w:rsid w:val="00D76CBC"/>
  </w:style>
  <w:style w:type="numbering" w:customStyle="1" w:styleId="WW8Num1523">
    <w:name w:val="WW8Num1523"/>
    <w:rsid w:val="00D76CBC"/>
    <w:pPr>
      <w:numPr>
        <w:numId w:val="39"/>
      </w:numPr>
    </w:pPr>
  </w:style>
  <w:style w:type="numbering" w:customStyle="1" w:styleId="WW8Num113">
    <w:name w:val="WW8Num113"/>
    <w:rsid w:val="00D76CBC"/>
    <w:pPr>
      <w:numPr>
        <w:numId w:val="40"/>
      </w:numPr>
    </w:pPr>
  </w:style>
  <w:style w:type="table" w:customStyle="1" w:styleId="Tablaconcuadrcula1clara-nfasis111">
    <w:name w:val="Tabla con cuadrícula 1 clara - Énfasis 111"/>
    <w:basedOn w:val="Tablanormal"/>
    <w:next w:val="Tablaconcuadrcula1clara-nfasis1"/>
    <w:uiPriority w:val="46"/>
    <w:rsid w:val="00D76CBC"/>
    <w:rPr>
      <w:rFonts w:ascii="Calibri" w:eastAsia="Calibri" w:hAnsi="Calibri"/>
      <w:sz w:val="24"/>
      <w:szCs w:val="24"/>
      <w:lang w:val="es-ES_tradnl" w:eastAsia="en-US"/>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clara-nfasis51">
    <w:name w:val="Tabla con cuadrícula 1 clara - Énfasis 51"/>
    <w:basedOn w:val="Tablanormal"/>
    <w:next w:val="Tablaconcuadrcula1clara-nfasis5"/>
    <w:uiPriority w:val="46"/>
    <w:rsid w:val="00D76CBC"/>
    <w:rPr>
      <w:rFonts w:ascii="Calibri" w:eastAsia="Calibri" w:hAnsi="Calibri"/>
      <w:sz w:val="24"/>
      <w:szCs w:val="24"/>
      <w:lang w:val="es-ES_tradnl" w:eastAsia="en-US"/>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concuadrcula1clara-nfasis12">
    <w:name w:val="Tabla con cuadrícula 1 clara - Énfasis 12"/>
    <w:basedOn w:val="Tablanormal"/>
    <w:next w:val="Tablaconcuadrcula1clara-nfasis1"/>
    <w:uiPriority w:val="46"/>
    <w:rsid w:val="00D76CBC"/>
    <w:rPr>
      <w:rFonts w:ascii="Calibri" w:eastAsia="Calibri" w:hAnsi="Calibri"/>
      <w:sz w:val="22"/>
      <w:szCs w:val="22"/>
      <w:lang w:val="es-CR"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aconcuadrcula1clara-nfasis52">
    <w:name w:val="Tabla con cuadrícula 1 clara - Énfasis 52"/>
    <w:basedOn w:val="Tablanormal"/>
    <w:next w:val="Tablaconcuadrcula1clara-nfasis5"/>
    <w:uiPriority w:val="46"/>
    <w:rsid w:val="00D76CBC"/>
    <w:rPr>
      <w:rFonts w:ascii="Calibri" w:eastAsia="Calibri" w:hAnsi="Calibri"/>
      <w:sz w:val="22"/>
      <w:szCs w:val="22"/>
      <w:lang w:val="es-CR"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concuadrcula1clara-nfasis13">
    <w:name w:val="Tabla con cuadrícula 1 clara - Énfasis 13"/>
    <w:basedOn w:val="Tablanormal"/>
    <w:next w:val="Tablaconcuadrcula1clara-nfasis1"/>
    <w:uiPriority w:val="46"/>
    <w:rsid w:val="00D76CBC"/>
    <w:rPr>
      <w:rFonts w:ascii="Calibri" w:eastAsia="Calibri" w:hAnsi="Calibri"/>
      <w:sz w:val="22"/>
      <w:szCs w:val="22"/>
      <w:lang w:val="es-CR"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clara-nfasis53">
    <w:name w:val="Tabla con cuadrícula 1 clara - Énfasis 53"/>
    <w:basedOn w:val="Tablanormal"/>
    <w:next w:val="Tablaconcuadrcula1clara-nfasis5"/>
    <w:uiPriority w:val="46"/>
    <w:rsid w:val="00D76CBC"/>
    <w:rPr>
      <w:rFonts w:ascii="Calibri" w:eastAsia="Calibri" w:hAnsi="Calibri"/>
      <w:sz w:val="22"/>
      <w:szCs w:val="22"/>
      <w:lang w:val="es-CR"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WW8Num110">
    <w:name w:val="WW8Num110"/>
    <w:qFormat/>
    <w:rsid w:val="00D76CBC"/>
    <w:pPr>
      <w:numPr>
        <w:numId w:val="49"/>
      </w:numPr>
    </w:pPr>
  </w:style>
  <w:style w:type="numbering" w:customStyle="1" w:styleId="WW8Num210">
    <w:name w:val="WW8Num210"/>
    <w:qFormat/>
    <w:rsid w:val="00D76CBC"/>
  </w:style>
  <w:style w:type="numbering" w:customStyle="1" w:styleId="WW8Num310">
    <w:name w:val="WW8Num310"/>
    <w:qFormat/>
    <w:rsid w:val="00D76CBC"/>
  </w:style>
  <w:style w:type="numbering" w:customStyle="1" w:styleId="WW8Num410">
    <w:name w:val="WW8Num410"/>
    <w:qFormat/>
    <w:rsid w:val="00D76CBC"/>
  </w:style>
  <w:style w:type="numbering" w:customStyle="1" w:styleId="WW8Num51">
    <w:name w:val="WW8Num51"/>
    <w:qFormat/>
    <w:rsid w:val="00D76CBC"/>
  </w:style>
  <w:style w:type="numbering" w:customStyle="1" w:styleId="WW8Num61">
    <w:name w:val="WW8Num61"/>
    <w:qFormat/>
    <w:rsid w:val="00D76CBC"/>
  </w:style>
  <w:style w:type="numbering" w:customStyle="1" w:styleId="WW8Num71">
    <w:name w:val="WW8Num71"/>
    <w:qFormat/>
    <w:rsid w:val="00D76CBC"/>
  </w:style>
  <w:style w:type="numbering" w:customStyle="1" w:styleId="WW8Num81">
    <w:name w:val="WW8Num81"/>
    <w:qFormat/>
    <w:rsid w:val="00D76CBC"/>
  </w:style>
  <w:style w:type="numbering" w:customStyle="1" w:styleId="WW8Num91">
    <w:name w:val="WW8Num91"/>
    <w:qFormat/>
    <w:rsid w:val="00D76CBC"/>
  </w:style>
  <w:style w:type="numbering" w:customStyle="1" w:styleId="WW8Num101">
    <w:name w:val="WW8Num101"/>
    <w:qFormat/>
    <w:rsid w:val="00D76CBC"/>
  </w:style>
  <w:style w:type="numbering" w:customStyle="1" w:styleId="WW8Num122">
    <w:name w:val="WW8Num122"/>
    <w:qFormat/>
    <w:rsid w:val="00D76CBC"/>
  </w:style>
  <w:style w:type="numbering" w:customStyle="1" w:styleId="WW8Num132">
    <w:name w:val="WW8Num132"/>
    <w:qFormat/>
    <w:rsid w:val="00D76CBC"/>
  </w:style>
  <w:style w:type="numbering" w:customStyle="1" w:styleId="WW8Num142">
    <w:name w:val="WW8Num142"/>
    <w:qFormat/>
    <w:rsid w:val="00D76CBC"/>
  </w:style>
  <w:style w:type="numbering" w:customStyle="1" w:styleId="WW8Num151">
    <w:name w:val="WW8Num151"/>
    <w:qFormat/>
    <w:rsid w:val="00D76CBC"/>
  </w:style>
  <w:style w:type="numbering" w:customStyle="1" w:styleId="WW8Num161">
    <w:name w:val="WW8Num161"/>
    <w:qFormat/>
    <w:rsid w:val="00D76CBC"/>
  </w:style>
  <w:style w:type="numbering" w:customStyle="1" w:styleId="WW8Num171">
    <w:name w:val="WW8Num171"/>
    <w:qFormat/>
    <w:rsid w:val="00D76CBC"/>
  </w:style>
  <w:style w:type="numbering" w:customStyle="1" w:styleId="WW8Num181">
    <w:name w:val="WW8Num181"/>
    <w:qFormat/>
    <w:rsid w:val="00D76CBC"/>
  </w:style>
  <w:style w:type="numbering" w:customStyle="1" w:styleId="WW8Num191">
    <w:name w:val="WW8Num191"/>
    <w:qFormat/>
    <w:rsid w:val="00D76CBC"/>
  </w:style>
  <w:style w:type="numbering" w:customStyle="1" w:styleId="WW8Num201">
    <w:name w:val="WW8Num201"/>
    <w:qFormat/>
    <w:rsid w:val="00D76CBC"/>
  </w:style>
  <w:style w:type="numbering" w:customStyle="1" w:styleId="WW8Num212">
    <w:name w:val="WW8Num212"/>
    <w:qFormat/>
    <w:rsid w:val="00D76CBC"/>
  </w:style>
  <w:style w:type="numbering" w:customStyle="1" w:styleId="WW8Num222">
    <w:name w:val="WW8Num222"/>
    <w:qFormat/>
    <w:rsid w:val="00D76CBC"/>
  </w:style>
  <w:style w:type="numbering" w:customStyle="1" w:styleId="WW8Num232">
    <w:name w:val="WW8Num232"/>
    <w:qFormat/>
    <w:rsid w:val="00D76CBC"/>
  </w:style>
  <w:style w:type="numbering" w:customStyle="1" w:styleId="WW8Num242">
    <w:name w:val="WW8Num242"/>
    <w:qFormat/>
    <w:rsid w:val="00D76CBC"/>
  </w:style>
  <w:style w:type="numbering" w:customStyle="1" w:styleId="WW8Num251">
    <w:name w:val="WW8Num251"/>
    <w:qFormat/>
    <w:rsid w:val="00D76CBC"/>
  </w:style>
  <w:style w:type="numbering" w:customStyle="1" w:styleId="WW8Num261">
    <w:name w:val="WW8Num261"/>
    <w:qFormat/>
    <w:rsid w:val="00D76CBC"/>
  </w:style>
  <w:style w:type="numbering" w:customStyle="1" w:styleId="WW8Num271">
    <w:name w:val="WW8Num271"/>
    <w:qFormat/>
    <w:rsid w:val="00D76CBC"/>
  </w:style>
  <w:style w:type="numbering" w:customStyle="1" w:styleId="WW8Num281">
    <w:name w:val="WW8Num281"/>
    <w:qFormat/>
    <w:rsid w:val="00D76CBC"/>
  </w:style>
  <w:style w:type="numbering" w:customStyle="1" w:styleId="WW8Num291">
    <w:name w:val="WW8Num291"/>
    <w:qFormat/>
    <w:rsid w:val="00D76CBC"/>
  </w:style>
  <w:style w:type="numbering" w:customStyle="1" w:styleId="WW8Num301">
    <w:name w:val="WW8Num301"/>
    <w:qFormat/>
    <w:rsid w:val="00D76CBC"/>
  </w:style>
  <w:style w:type="numbering" w:customStyle="1" w:styleId="WW8Num312">
    <w:name w:val="WW8Num312"/>
    <w:qFormat/>
    <w:rsid w:val="00D76CBC"/>
  </w:style>
  <w:style w:type="numbering" w:customStyle="1" w:styleId="WW8Num322">
    <w:name w:val="WW8Num322"/>
    <w:qFormat/>
    <w:rsid w:val="00D76CBC"/>
  </w:style>
  <w:style w:type="numbering" w:customStyle="1" w:styleId="WW8Num332">
    <w:name w:val="WW8Num332"/>
    <w:qFormat/>
    <w:rsid w:val="00D76CBC"/>
  </w:style>
  <w:style w:type="numbering" w:customStyle="1" w:styleId="WW8Num342">
    <w:name w:val="WW8Num342"/>
    <w:qFormat/>
    <w:rsid w:val="00D76CBC"/>
  </w:style>
  <w:style w:type="numbering" w:customStyle="1" w:styleId="WW8Num351">
    <w:name w:val="WW8Num351"/>
    <w:qFormat/>
    <w:rsid w:val="00D76CBC"/>
  </w:style>
  <w:style w:type="numbering" w:customStyle="1" w:styleId="WW8Num361">
    <w:name w:val="WW8Num361"/>
    <w:qFormat/>
    <w:rsid w:val="00D76CBC"/>
  </w:style>
  <w:style w:type="numbering" w:customStyle="1" w:styleId="WW8Num371">
    <w:name w:val="WW8Num371"/>
    <w:qFormat/>
    <w:rsid w:val="00D76CBC"/>
  </w:style>
  <w:style w:type="numbering" w:customStyle="1" w:styleId="WW8Num381">
    <w:name w:val="WW8Num381"/>
    <w:qFormat/>
    <w:rsid w:val="00D76CBC"/>
  </w:style>
  <w:style w:type="numbering" w:customStyle="1" w:styleId="WW8Num391">
    <w:name w:val="WW8Num391"/>
    <w:qFormat/>
    <w:rsid w:val="00D76CBC"/>
  </w:style>
  <w:style w:type="numbering" w:customStyle="1" w:styleId="WW8Num401">
    <w:name w:val="WW8Num401"/>
    <w:qFormat/>
    <w:rsid w:val="00D76CBC"/>
  </w:style>
  <w:style w:type="numbering" w:customStyle="1" w:styleId="WW8Num411">
    <w:name w:val="WW8Num411"/>
    <w:qFormat/>
    <w:rsid w:val="00D76CBC"/>
  </w:style>
  <w:style w:type="numbering" w:customStyle="1" w:styleId="WW8Num421">
    <w:name w:val="WW8Num421"/>
    <w:qFormat/>
    <w:rsid w:val="00D76CBC"/>
  </w:style>
  <w:style w:type="numbering" w:customStyle="1" w:styleId="WW8Num431">
    <w:name w:val="WW8Num431"/>
    <w:qFormat/>
    <w:rsid w:val="00D76CBC"/>
  </w:style>
  <w:style w:type="numbering" w:customStyle="1" w:styleId="WW8Num441">
    <w:name w:val="WW8Num441"/>
    <w:qFormat/>
    <w:rsid w:val="00D76CBC"/>
  </w:style>
  <w:style w:type="numbering" w:customStyle="1" w:styleId="WW8Num451">
    <w:name w:val="WW8Num451"/>
    <w:qFormat/>
    <w:rsid w:val="00D76CBC"/>
  </w:style>
  <w:style w:type="numbering" w:customStyle="1" w:styleId="WW8Num461">
    <w:name w:val="WW8Num461"/>
    <w:qFormat/>
    <w:rsid w:val="00D76CBC"/>
  </w:style>
  <w:style w:type="numbering" w:customStyle="1" w:styleId="WW8Num471">
    <w:name w:val="WW8Num471"/>
    <w:qFormat/>
    <w:rsid w:val="00D76CBC"/>
  </w:style>
  <w:style w:type="numbering" w:customStyle="1" w:styleId="WW8Num481">
    <w:name w:val="WW8Num481"/>
    <w:qFormat/>
    <w:rsid w:val="00D76CBC"/>
  </w:style>
  <w:style w:type="numbering" w:customStyle="1" w:styleId="WW8Num491">
    <w:name w:val="WW8Num491"/>
    <w:qFormat/>
    <w:rsid w:val="00D76CBC"/>
  </w:style>
  <w:style w:type="character" w:customStyle="1" w:styleId="Fuentedepe1e1e1rrafopredeter">
    <w:name w:val="Fuente de páe1e1e1rrafo predeter."/>
    <w:uiPriority w:val="99"/>
    <w:rsid w:val="00D76CBC"/>
  </w:style>
  <w:style w:type="character" w:customStyle="1" w:styleId="Fuentedepe1e1e1rrafopredeter3">
    <w:name w:val="Fuente de páe1e1e1rrafo predeter.3"/>
    <w:uiPriority w:val="99"/>
    <w:rsid w:val="00D76CBC"/>
  </w:style>
  <w:style w:type="character" w:customStyle="1" w:styleId="Fuentedepe1e1e1rrafopredeter2">
    <w:name w:val="Fuente de páe1e1e1rrafo predeter.2"/>
    <w:uiPriority w:val="99"/>
    <w:rsid w:val="00D76CBC"/>
  </w:style>
  <w:style w:type="character" w:customStyle="1" w:styleId="Fuentedepe1e1e1rrafopredeter1">
    <w:name w:val="Fuente de páe1e1e1rrafo predeter.1"/>
    <w:uiPriority w:val="99"/>
    <w:rsid w:val="00D76CBC"/>
  </w:style>
  <w:style w:type="character" w:customStyle="1" w:styleId="Sedededmbolosdenumeracif3f3f3n">
    <w:name w:val="Síedededmbolos de numeracióf3f3f3n"/>
    <w:uiPriority w:val="99"/>
    <w:rsid w:val="00D76CBC"/>
  </w:style>
  <w:style w:type="character" w:customStyle="1" w:styleId="c9c9c9nfasis1">
    <w:name w:val="Éc9c9c9nfasis1"/>
    <w:uiPriority w:val="99"/>
    <w:rsid w:val="00D76CBC"/>
    <w:rPr>
      <w:i/>
      <w:iCs/>
    </w:rPr>
  </w:style>
  <w:style w:type="paragraph" w:customStyle="1" w:styleId="Tedededtulo1">
    <w:name w:val="Tíedededtulo 1"/>
    <w:uiPriority w:val="99"/>
    <w:rsid w:val="00D76CBC"/>
    <w:pPr>
      <w:keepNext/>
      <w:widowControl w:val="0"/>
      <w:autoSpaceDE w:val="0"/>
      <w:autoSpaceDN w:val="0"/>
      <w:adjustRightInd w:val="0"/>
      <w:spacing w:before="240" w:after="120" w:line="252" w:lineRule="auto"/>
    </w:pPr>
    <w:rPr>
      <w:rFonts w:ascii="Arial" w:hAnsi="Arial" w:cs="Arial"/>
      <w:color w:val="00000A"/>
      <w:sz w:val="28"/>
      <w:szCs w:val="28"/>
      <w:lang w:val="es-CR" w:eastAsia="es-CR"/>
    </w:rPr>
  </w:style>
  <w:style w:type="paragraph" w:customStyle="1" w:styleId="Tedededtulo2">
    <w:name w:val="Tíedededtulo 2"/>
    <w:uiPriority w:val="99"/>
    <w:rsid w:val="00D76CBC"/>
    <w:pPr>
      <w:keepNext/>
      <w:widowControl w:val="0"/>
      <w:autoSpaceDE w:val="0"/>
      <w:autoSpaceDN w:val="0"/>
      <w:adjustRightInd w:val="0"/>
      <w:spacing w:before="240" w:after="60" w:line="100" w:lineRule="atLeast"/>
      <w:jc w:val="center"/>
    </w:pPr>
    <w:rPr>
      <w:rFonts w:ascii="Book Antiqua" w:hAnsi="Book Antiqua" w:cs="Book Antiqua"/>
      <w:b/>
      <w:bCs/>
      <w:i/>
      <w:iCs/>
      <w:color w:val="00000A"/>
      <w:sz w:val="28"/>
      <w:szCs w:val="28"/>
      <w:u w:val="double"/>
      <w:lang w:val="es-CR" w:eastAsia="es-CR"/>
    </w:rPr>
  </w:style>
  <w:style w:type="paragraph" w:customStyle="1" w:styleId="Tedededtulo5">
    <w:name w:val="Tíedededtulo 5"/>
    <w:uiPriority w:val="99"/>
    <w:rsid w:val="00D76CBC"/>
    <w:pPr>
      <w:keepNext/>
      <w:widowControl w:val="0"/>
      <w:autoSpaceDE w:val="0"/>
      <w:autoSpaceDN w:val="0"/>
      <w:adjustRightInd w:val="0"/>
      <w:spacing w:before="240" w:after="120" w:line="252" w:lineRule="auto"/>
    </w:pPr>
    <w:rPr>
      <w:rFonts w:ascii="Arial" w:hAnsi="Arial" w:cs="Arial"/>
      <w:color w:val="00000A"/>
      <w:sz w:val="28"/>
      <w:szCs w:val="28"/>
      <w:lang w:val="es-CR" w:eastAsia="es-CR"/>
    </w:rPr>
  </w:style>
  <w:style w:type="paragraph" w:customStyle="1" w:styleId="Tedededtulo">
    <w:name w:val="Tíedededtulo"/>
    <w:uiPriority w:val="99"/>
    <w:rsid w:val="00D76CBC"/>
    <w:pPr>
      <w:keepNext/>
      <w:widowControl w:val="0"/>
      <w:autoSpaceDE w:val="0"/>
      <w:autoSpaceDN w:val="0"/>
      <w:adjustRightInd w:val="0"/>
      <w:spacing w:before="240" w:after="120" w:line="252" w:lineRule="auto"/>
    </w:pPr>
    <w:rPr>
      <w:rFonts w:ascii="Liberation Sans" w:hAnsi="Liberation Sans" w:cs="Liberation Sans"/>
      <w:color w:val="00000A"/>
      <w:sz w:val="28"/>
      <w:szCs w:val="28"/>
      <w:lang w:val="es-CR" w:eastAsia="es-CR"/>
    </w:rPr>
  </w:style>
  <w:style w:type="paragraph" w:customStyle="1" w:styleId="cdcdcdndice">
    <w:name w:val="Ícdcdcdndice"/>
    <w:uiPriority w:val="99"/>
    <w:rsid w:val="00D76CBC"/>
    <w:pPr>
      <w:widowControl w:val="0"/>
      <w:autoSpaceDE w:val="0"/>
      <w:autoSpaceDN w:val="0"/>
      <w:adjustRightInd w:val="0"/>
      <w:spacing w:after="160" w:line="252" w:lineRule="auto"/>
    </w:pPr>
    <w:rPr>
      <w:rFonts w:ascii="Book Antiqua" w:hAnsi="Book Antiqua" w:cs="Book Antiqua"/>
      <w:color w:val="00000A"/>
      <w:sz w:val="22"/>
      <w:szCs w:val="22"/>
      <w:lang w:val="es-CR" w:eastAsia="es-CR"/>
    </w:rPr>
  </w:style>
  <w:style w:type="paragraph" w:customStyle="1" w:styleId="Tedededtulo3">
    <w:name w:val="Tíedededtulo3"/>
    <w:uiPriority w:val="99"/>
    <w:rsid w:val="00D76CBC"/>
    <w:pPr>
      <w:keepNext/>
      <w:widowControl w:val="0"/>
      <w:autoSpaceDE w:val="0"/>
      <w:autoSpaceDN w:val="0"/>
      <w:adjustRightInd w:val="0"/>
      <w:spacing w:before="240" w:after="120" w:line="252" w:lineRule="auto"/>
    </w:pPr>
    <w:rPr>
      <w:rFonts w:ascii="Liberation Sans" w:hAnsi="Liberation Sans" w:cs="Liberation Sans"/>
      <w:color w:val="00000A"/>
      <w:sz w:val="28"/>
      <w:szCs w:val="28"/>
      <w:lang w:val="es-CR" w:eastAsia="es-CR"/>
    </w:rPr>
  </w:style>
  <w:style w:type="paragraph" w:customStyle="1" w:styleId="Descripcif3f3f3n">
    <w:name w:val="Descripcióf3f3f3n"/>
    <w:uiPriority w:val="99"/>
    <w:rsid w:val="00D76CBC"/>
    <w:pPr>
      <w:widowControl w:val="0"/>
      <w:autoSpaceDE w:val="0"/>
      <w:autoSpaceDN w:val="0"/>
      <w:adjustRightInd w:val="0"/>
      <w:spacing w:before="120" w:after="120" w:line="252" w:lineRule="auto"/>
    </w:pPr>
    <w:rPr>
      <w:rFonts w:ascii="Book Antiqua" w:hAnsi="Book Antiqua" w:cs="Book Antiqua"/>
      <w:i/>
      <w:iCs/>
      <w:color w:val="00000A"/>
      <w:sz w:val="24"/>
      <w:szCs w:val="24"/>
      <w:lang w:val="es-CR" w:eastAsia="es-CR"/>
    </w:rPr>
  </w:style>
  <w:style w:type="paragraph" w:customStyle="1" w:styleId="Tedededtulo20">
    <w:name w:val="Tíedededtulo2"/>
    <w:uiPriority w:val="99"/>
    <w:rsid w:val="00D76CBC"/>
    <w:pPr>
      <w:keepNext/>
      <w:widowControl w:val="0"/>
      <w:autoSpaceDE w:val="0"/>
      <w:autoSpaceDN w:val="0"/>
      <w:adjustRightInd w:val="0"/>
      <w:spacing w:before="240" w:after="120" w:line="252" w:lineRule="auto"/>
    </w:pPr>
    <w:rPr>
      <w:rFonts w:ascii="Liberation Sans" w:hAnsi="Liberation Sans" w:cs="Liberation Sans"/>
      <w:color w:val="00000A"/>
      <w:sz w:val="28"/>
      <w:szCs w:val="28"/>
      <w:lang w:val="es-CR" w:eastAsia="es-CR"/>
    </w:rPr>
  </w:style>
  <w:style w:type="paragraph" w:customStyle="1" w:styleId="Epedededgrafe">
    <w:name w:val="Epíedededgrafe"/>
    <w:uiPriority w:val="99"/>
    <w:rsid w:val="00D76CBC"/>
    <w:pPr>
      <w:widowControl w:val="0"/>
      <w:autoSpaceDE w:val="0"/>
      <w:autoSpaceDN w:val="0"/>
      <w:adjustRightInd w:val="0"/>
      <w:spacing w:before="120" w:after="120" w:line="252" w:lineRule="auto"/>
    </w:pPr>
    <w:rPr>
      <w:rFonts w:ascii="Book Antiqua" w:hAnsi="Book Antiqua" w:cs="Book Antiqua"/>
      <w:i/>
      <w:iCs/>
      <w:color w:val="00000A"/>
      <w:sz w:val="24"/>
      <w:szCs w:val="24"/>
      <w:lang w:val="es-CR" w:eastAsia="es-CR"/>
    </w:rPr>
  </w:style>
  <w:style w:type="paragraph" w:customStyle="1" w:styleId="Subtedededtulo">
    <w:name w:val="Subtíedededtulo"/>
    <w:uiPriority w:val="99"/>
    <w:rsid w:val="00D76CBC"/>
    <w:pPr>
      <w:keepNext/>
      <w:widowControl w:val="0"/>
      <w:autoSpaceDE w:val="0"/>
      <w:autoSpaceDN w:val="0"/>
      <w:adjustRightInd w:val="0"/>
      <w:spacing w:before="240" w:after="120" w:line="252" w:lineRule="auto"/>
      <w:jc w:val="center"/>
    </w:pPr>
    <w:rPr>
      <w:rFonts w:ascii="Arial" w:hAnsi="Arial" w:cs="Arial"/>
      <w:i/>
      <w:iCs/>
      <w:color w:val="00000A"/>
      <w:sz w:val="28"/>
      <w:szCs w:val="28"/>
      <w:lang w:val="es-CR" w:eastAsia="es-CR"/>
    </w:rPr>
  </w:style>
  <w:style w:type="paragraph" w:customStyle="1" w:styleId="Tedededtulo10">
    <w:name w:val="Tíedededtulo1"/>
    <w:uiPriority w:val="99"/>
    <w:rsid w:val="00D76CBC"/>
    <w:pPr>
      <w:keepNext/>
      <w:widowControl w:val="0"/>
      <w:autoSpaceDE w:val="0"/>
      <w:autoSpaceDN w:val="0"/>
      <w:adjustRightInd w:val="0"/>
      <w:spacing w:before="240" w:after="120" w:line="252" w:lineRule="auto"/>
    </w:pPr>
    <w:rPr>
      <w:rFonts w:ascii="Liberation Sans" w:hAnsi="Liberation Sans" w:cs="Liberation Sans"/>
      <w:color w:val="00000A"/>
      <w:sz w:val="28"/>
      <w:szCs w:val="28"/>
      <w:lang w:val="es-CR" w:eastAsia="es-CR"/>
    </w:rPr>
  </w:style>
  <w:style w:type="paragraph" w:customStyle="1" w:styleId="Descripcif3f3f3n1">
    <w:name w:val="Descripcióf3f3f3n1"/>
    <w:uiPriority w:val="99"/>
    <w:rsid w:val="00D76CBC"/>
    <w:pPr>
      <w:widowControl w:val="0"/>
      <w:autoSpaceDE w:val="0"/>
      <w:autoSpaceDN w:val="0"/>
      <w:adjustRightInd w:val="0"/>
      <w:spacing w:before="120" w:after="120" w:line="252" w:lineRule="auto"/>
    </w:pPr>
    <w:rPr>
      <w:rFonts w:ascii="Book Antiqua" w:hAnsi="Book Antiqua" w:cs="Book Antiqua"/>
      <w:i/>
      <w:iCs/>
      <w:color w:val="00000A"/>
      <w:sz w:val="24"/>
      <w:szCs w:val="24"/>
      <w:lang w:val="es-CR" w:eastAsia="es-CR"/>
    </w:rPr>
  </w:style>
  <w:style w:type="paragraph" w:customStyle="1" w:styleId="Epedededgrafe2">
    <w:name w:val="Epíedededgrafe2"/>
    <w:uiPriority w:val="99"/>
    <w:rsid w:val="00D76CBC"/>
    <w:pPr>
      <w:widowControl w:val="0"/>
      <w:autoSpaceDE w:val="0"/>
      <w:autoSpaceDN w:val="0"/>
      <w:adjustRightInd w:val="0"/>
      <w:spacing w:before="120" w:after="120" w:line="252" w:lineRule="auto"/>
    </w:pPr>
    <w:rPr>
      <w:rFonts w:ascii="Book Antiqua" w:hAnsi="Book Antiqua" w:cs="Book Antiqua"/>
      <w:i/>
      <w:iCs/>
      <w:color w:val="00000A"/>
      <w:sz w:val="24"/>
      <w:szCs w:val="24"/>
      <w:lang w:val="es-CR" w:eastAsia="es-CR"/>
    </w:rPr>
  </w:style>
  <w:style w:type="paragraph" w:customStyle="1" w:styleId="Epedededgrafe1">
    <w:name w:val="Epíedededgrafe1"/>
    <w:uiPriority w:val="99"/>
    <w:rsid w:val="00D76CBC"/>
    <w:pPr>
      <w:widowControl w:val="0"/>
      <w:autoSpaceDE w:val="0"/>
      <w:autoSpaceDN w:val="0"/>
      <w:adjustRightInd w:val="0"/>
      <w:jc w:val="center"/>
    </w:pPr>
    <w:rPr>
      <w:rFonts w:ascii="Arial" w:hAnsi="Arial" w:cs="Arial"/>
      <w:b/>
      <w:bCs/>
      <w:color w:val="00000A"/>
      <w:sz w:val="22"/>
      <w:szCs w:val="22"/>
      <w:lang w:val="es-CR" w:eastAsia="es-CR"/>
    </w:rPr>
  </w:style>
  <w:style w:type="paragraph" w:customStyle="1" w:styleId="Tedededtulo21">
    <w:name w:val="Tíedededtulo 21"/>
    <w:uiPriority w:val="99"/>
    <w:rsid w:val="00D76CBC"/>
    <w:pPr>
      <w:keepNext/>
      <w:widowControl w:val="0"/>
      <w:autoSpaceDE w:val="0"/>
      <w:autoSpaceDN w:val="0"/>
      <w:adjustRightInd w:val="0"/>
      <w:spacing w:before="240" w:after="60"/>
      <w:jc w:val="center"/>
    </w:pPr>
    <w:rPr>
      <w:rFonts w:ascii="Arial" w:hAnsi="Arial" w:cs="Arial"/>
      <w:b/>
      <w:bCs/>
      <w:i/>
      <w:iCs/>
      <w:color w:val="00000A"/>
      <w:sz w:val="28"/>
      <w:szCs w:val="28"/>
      <w:u w:val="double"/>
      <w:lang w:val="es-CR" w:eastAsia="es-CR"/>
    </w:rPr>
  </w:style>
  <w:style w:type="paragraph" w:customStyle="1" w:styleId="Tedededtulodelatabla">
    <w:name w:val="Tíedededtulo de la tabla"/>
    <w:uiPriority w:val="99"/>
    <w:rsid w:val="00D76CBC"/>
    <w:pPr>
      <w:widowControl w:val="0"/>
      <w:autoSpaceDE w:val="0"/>
      <w:autoSpaceDN w:val="0"/>
      <w:adjustRightInd w:val="0"/>
      <w:spacing w:after="160" w:line="252" w:lineRule="auto"/>
      <w:jc w:val="center"/>
    </w:pPr>
    <w:rPr>
      <w:rFonts w:ascii="Arial" w:hAnsi="Arial" w:cs="Arial"/>
      <w:b/>
      <w:bCs/>
      <w:color w:val="00000A"/>
      <w:sz w:val="22"/>
      <w:szCs w:val="22"/>
      <w:lang w:val="es-CR" w:eastAsia="es-CR"/>
    </w:rPr>
  </w:style>
  <w:style w:type="paragraph" w:customStyle="1" w:styleId="Estilo2PLA">
    <w:name w:val="Estilo2 PLA"/>
    <w:basedOn w:val="AAgestin"/>
    <w:link w:val="Estilo2PLACar"/>
    <w:qFormat/>
    <w:rsid w:val="00D76CBC"/>
    <w:rPr>
      <w:b/>
      <w:bCs/>
      <w:u w:val="single"/>
    </w:rPr>
  </w:style>
  <w:style w:type="character" w:customStyle="1" w:styleId="Estilo2PLACar">
    <w:name w:val="Estilo2 PLA Car"/>
    <w:basedOn w:val="AAgestinCar"/>
    <w:link w:val="Estilo2PLA"/>
    <w:rsid w:val="00D76CBC"/>
    <w:rPr>
      <w:b/>
      <w:bCs/>
      <w:color w:val="000099"/>
      <w:sz w:val="26"/>
      <w:szCs w:val="26"/>
      <w:u w:val="single"/>
      <w:lang w:val="es-ES_tradnl" w:eastAsia="ar-SA"/>
    </w:rPr>
  </w:style>
  <w:style w:type="table" w:customStyle="1" w:styleId="Tabladelista4-nfasis31">
    <w:name w:val="Tabla de lista 4 - Énfasis 31"/>
    <w:basedOn w:val="Tablanormal"/>
    <w:next w:val="Tabladelista4-nfasis3"/>
    <w:uiPriority w:val="49"/>
    <w:rsid w:val="00D76CBC"/>
    <w:rPr>
      <w:rFonts w:ascii="Calibri" w:eastAsia="Calibri" w:hAnsi="Calibri"/>
      <w:sz w:val="24"/>
      <w:szCs w:val="24"/>
      <w:lang w:val="es-ES_tradnl"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paragraph" w:customStyle="1" w:styleId="Textosinformato3">
    <w:name w:val="Texto sin formato3"/>
    <w:basedOn w:val="Normal"/>
    <w:uiPriority w:val="99"/>
    <w:qFormat/>
    <w:rsid w:val="00D76CBC"/>
    <w:pPr>
      <w:suppressAutoHyphens w:val="0"/>
      <w:overflowPunct w:val="0"/>
      <w:autoSpaceDE w:val="0"/>
      <w:autoSpaceDN w:val="0"/>
    </w:pPr>
    <w:rPr>
      <w:rFonts w:ascii="Courier New" w:eastAsia="Calibri" w:hAnsi="Courier New" w:cs="Courier New"/>
      <w:sz w:val="20"/>
      <w:szCs w:val="20"/>
      <w:lang w:val="es-CR" w:eastAsia="es-ES"/>
    </w:rPr>
  </w:style>
  <w:style w:type="paragraph" w:customStyle="1" w:styleId="EmptyLayoutCell">
    <w:name w:val="EmptyLayoutCell"/>
    <w:basedOn w:val="Normal"/>
    <w:uiPriority w:val="99"/>
    <w:qFormat/>
    <w:rsid w:val="00D76CBC"/>
    <w:pPr>
      <w:suppressAutoHyphens w:val="0"/>
    </w:pPr>
    <w:rPr>
      <w:sz w:val="2"/>
      <w:szCs w:val="20"/>
      <w:lang w:val="en-US" w:eastAsia="en-US"/>
    </w:rPr>
  </w:style>
  <w:style w:type="paragraph" w:customStyle="1" w:styleId="Cuerpo2">
    <w:name w:val="Cuerpo 2"/>
    <w:uiPriority w:val="99"/>
    <w:qFormat/>
    <w:rsid w:val="00D76CBC"/>
    <w:pPr>
      <w:suppressAutoHyphens/>
      <w:spacing w:line="288" w:lineRule="auto"/>
      <w:jc w:val="both"/>
    </w:pPr>
    <w:rPr>
      <w:rFonts w:ascii="Helvetica Neue" w:eastAsia="Arial Unicode MS" w:hAnsi="Helvetica Neue" w:cs="Arial Unicode MS"/>
      <w:color w:val="000000"/>
      <w:lang w:eastAsia="zh-CN"/>
    </w:rPr>
  </w:style>
  <w:style w:type="paragraph" w:customStyle="1" w:styleId="WW-Textoindependiente21">
    <w:name w:val="WW-Texto independiente 21"/>
    <w:basedOn w:val="Normal"/>
    <w:qFormat/>
    <w:rsid w:val="00D76CBC"/>
    <w:pPr>
      <w:suppressAutoHyphens w:val="0"/>
      <w:overflowPunct w:val="0"/>
      <w:autoSpaceDE w:val="0"/>
      <w:autoSpaceDN w:val="0"/>
      <w:adjustRightInd w:val="0"/>
      <w:spacing w:line="480" w:lineRule="auto"/>
      <w:jc w:val="both"/>
    </w:pPr>
    <w:rPr>
      <w:rFonts w:ascii="Arial" w:hAnsi="Arial"/>
      <w:color w:val="000000"/>
      <w:szCs w:val="20"/>
      <w:lang w:eastAsia="es-ES"/>
    </w:rPr>
  </w:style>
  <w:style w:type="paragraph" w:customStyle="1" w:styleId="xxmsolistparagraph0">
    <w:name w:val="x_x_msolistparagraph"/>
    <w:basedOn w:val="Normal"/>
    <w:uiPriority w:val="99"/>
    <w:qFormat/>
    <w:rsid w:val="00D76CBC"/>
    <w:pPr>
      <w:suppressAutoHyphens w:val="0"/>
      <w:spacing w:before="100" w:beforeAutospacing="1" w:after="100" w:afterAutospacing="1"/>
    </w:pPr>
    <w:rPr>
      <w:lang w:val="es-CR" w:eastAsia="es-CR"/>
    </w:rPr>
  </w:style>
  <w:style w:type="paragraph" w:customStyle="1" w:styleId="yiv33492148default">
    <w:name w:val="yiv33492148default"/>
    <w:basedOn w:val="Normal"/>
    <w:uiPriority w:val="99"/>
    <w:qFormat/>
    <w:rsid w:val="00D76CBC"/>
    <w:pPr>
      <w:suppressAutoHyphens w:val="0"/>
      <w:spacing w:before="100" w:beforeAutospacing="1" w:after="100" w:afterAutospacing="1"/>
    </w:pPr>
    <w:rPr>
      <w:lang w:val="es-CR" w:eastAsia="es-CR"/>
    </w:rPr>
  </w:style>
  <w:style w:type="paragraph" w:customStyle="1" w:styleId="CarCar3CarCar">
    <w:name w:val="Car Car3 Car Car"/>
    <w:basedOn w:val="Normal"/>
    <w:uiPriority w:val="99"/>
    <w:semiHidden/>
    <w:qFormat/>
    <w:rsid w:val="00D76CBC"/>
    <w:pPr>
      <w:suppressAutoHyphens w:val="0"/>
      <w:spacing w:after="160" w:line="240" w:lineRule="exact"/>
    </w:pPr>
    <w:rPr>
      <w:rFonts w:ascii="Verdana" w:hAnsi="Verdana"/>
      <w:sz w:val="20"/>
      <w:szCs w:val="21"/>
      <w:lang w:val="en-AU" w:eastAsia="en-US"/>
    </w:rPr>
  </w:style>
  <w:style w:type="paragraph" w:customStyle="1" w:styleId="PIESAGRARIO">
    <w:name w:val="PIES AGRARIO======"/>
    <w:basedOn w:val="Normal"/>
    <w:uiPriority w:val="99"/>
    <w:qFormat/>
    <w:rsid w:val="00D76CBC"/>
    <w:pPr>
      <w:tabs>
        <w:tab w:val="left" w:pos="400"/>
      </w:tabs>
      <w:suppressAutoHyphens w:val="0"/>
      <w:autoSpaceDE w:val="0"/>
      <w:autoSpaceDN w:val="0"/>
      <w:adjustRightInd w:val="0"/>
      <w:spacing w:line="288" w:lineRule="auto"/>
      <w:jc w:val="both"/>
    </w:pPr>
    <w:rPr>
      <w:rFonts w:ascii="Arial" w:eastAsia="Calibri" w:hAnsi="Arial" w:cs="Arial"/>
      <w:color w:val="000000"/>
      <w:sz w:val="18"/>
      <w:szCs w:val="18"/>
      <w:lang w:val="es-ES_tradnl" w:eastAsia="en-US"/>
    </w:rPr>
  </w:style>
  <w:style w:type="character" w:customStyle="1" w:styleId="CuerpodeltextoNegrita1">
    <w:name w:val="Cuerpo del texto + Negrita1"/>
    <w:basedOn w:val="Cuerpodeltexto"/>
    <w:uiPriority w:val="99"/>
    <w:rsid w:val="00D76CBC"/>
    <w:rPr>
      <w:rFonts w:ascii="Calibri" w:hAnsi="Calibri" w:cs="Calibri"/>
      <w:b/>
      <w:bCs/>
      <w:spacing w:val="0"/>
      <w:sz w:val="22"/>
      <w:szCs w:val="22"/>
      <w:shd w:val="clear" w:color="auto" w:fill="FFFFFF"/>
    </w:rPr>
  </w:style>
  <w:style w:type="character" w:customStyle="1" w:styleId="e24kjd">
    <w:name w:val="e24kjd"/>
    <w:basedOn w:val="Fuentedeprrafopredeter"/>
    <w:rsid w:val="00D76CBC"/>
  </w:style>
  <w:style w:type="character" w:customStyle="1" w:styleId="gmail-il">
    <w:name w:val="gmail-il"/>
    <w:basedOn w:val="Fuentedeprrafopredeter"/>
    <w:rsid w:val="00D76CBC"/>
  </w:style>
  <w:style w:type="table" w:customStyle="1" w:styleId="Tablaclsica21">
    <w:name w:val="Tabla clásica 21"/>
    <w:basedOn w:val="Tablanormal"/>
    <w:next w:val="Tablaclsica2"/>
    <w:unhideWhenUsed/>
    <w:rsid w:val="00D76CBC"/>
    <w:rPr>
      <w:lang w:val="es-ES_tradnl" w:eastAsia="en-US"/>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ombreadoclaro-nfasis1">
    <w:name w:val="Light Shading Accent 1"/>
    <w:basedOn w:val="Tablanormal"/>
    <w:uiPriority w:val="60"/>
    <w:unhideWhenUsed/>
    <w:rsid w:val="00D76CBC"/>
    <w:rPr>
      <w:color w:val="365F91"/>
      <w:lang w:val="es-ES_tradnl"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21">
    <w:name w:val="Sombreado medio 1 - Énfasis 21"/>
    <w:basedOn w:val="Tablanormal"/>
    <w:next w:val="Sombreadomedio1-nfasis2"/>
    <w:uiPriority w:val="63"/>
    <w:unhideWhenUsed/>
    <w:rsid w:val="00D76CBC"/>
    <w:rPr>
      <w:lang w:val="es-ES_tradnl" w:eastAsia="en-US"/>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uadrculavistosa-nfasis51">
    <w:name w:val="Cuadrícula vistosa - Énfasis 51"/>
    <w:basedOn w:val="Tablanormal"/>
    <w:next w:val="Cuadrculavistosa-nfasis5"/>
    <w:uiPriority w:val="73"/>
    <w:unhideWhenUsed/>
    <w:rsid w:val="00D76CBC"/>
    <w:rPr>
      <w:color w:val="000000"/>
      <w:lang w:val="es-ES_tradnl" w:eastAsia="en-US"/>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aconcuadrculaclara1">
    <w:name w:val="Tabla con cuadrícula clara1"/>
    <w:basedOn w:val="Tablanormal"/>
    <w:next w:val="Tablaconcuadrculaclara"/>
    <w:uiPriority w:val="99"/>
    <w:rsid w:val="00D76CBC"/>
    <w:rPr>
      <w:rFonts w:ascii="Calibri" w:eastAsia="Calibri" w:hAnsi="Calibri"/>
      <w:lang w:val="es-ES_tradnl"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4-nfasis13">
    <w:name w:val="Tabla con cuadrícula 4 - Énfasis 13"/>
    <w:basedOn w:val="Tablanormal"/>
    <w:next w:val="Tablaconcuadrcula4-nfasis1"/>
    <w:uiPriority w:val="49"/>
    <w:rsid w:val="00D76CBC"/>
    <w:rPr>
      <w:rFonts w:ascii="Calibri" w:eastAsia="Calibri" w:hAnsi="Calibri"/>
      <w:lang w:val="es-ES_tradnl"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1">
    <w:name w:val="Tabla con cuadrícula 4 - Énfasis 21"/>
    <w:basedOn w:val="Tablanormal"/>
    <w:next w:val="Tablaconcuadrcula4-nfasis2"/>
    <w:uiPriority w:val="49"/>
    <w:rsid w:val="00D76CBC"/>
    <w:rPr>
      <w:rFonts w:ascii="Calibri" w:eastAsia="Calibri" w:hAnsi="Calibri"/>
      <w:sz w:val="24"/>
      <w:szCs w:val="24"/>
      <w:lang w:val="es-ES_tradnl" w:eastAsia="en-US"/>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styleId="Tablaconcuadrcula2-nfasis5">
    <w:name w:val="Grid Table 2 Accent 5"/>
    <w:basedOn w:val="Tablanormal"/>
    <w:uiPriority w:val="47"/>
    <w:rsid w:val="00D76CBC"/>
    <w:rPr>
      <w:rFonts w:ascii="Calibri" w:eastAsia="Calibri" w:hAnsi="Calibri"/>
      <w:lang w:val="es-ES_tradnl" w:eastAsia="en-US"/>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41">
    <w:name w:val="Tabla de lista 41"/>
    <w:basedOn w:val="Tablanormal"/>
    <w:uiPriority w:val="49"/>
    <w:rsid w:val="00D76CBC"/>
    <w:rPr>
      <w:rFonts w:ascii="Calibri" w:eastAsia="Calibri" w:hAnsi="Calibri"/>
      <w:sz w:val="22"/>
      <w:szCs w:val="22"/>
      <w:lang w:val="es-ES_tradnl"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clara-nfasis311">
    <w:name w:val="Tabla con cuadrícula 1 clara - Énfasis 311"/>
    <w:basedOn w:val="Tablanormal"/>
    <w:uiPriority w:val="46"/>
    <w:rsid w:val="00D76CBC"/>
    <w:rPr>
      <w:rFonts w:ascii="Calibri" w:eastAsia="Calibri" w:hAnsi="Calibri"/>
      <w:sz w:val="24"/>
      <w:szCs w:val="24"/>
      <w:lang w:val="es-ES_tradnl" w:eastAsia="en-US"/>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decuadrcula4-nfasis21">
    <w:name w:val="Tabla de cuadrícula 4 - Énfasis 21"/>
    <w:basedOn w:val="Tablanormal"/>
    <w:uiPriority w:val="49"/>
    <w:rsid w:val="00D76CBC"/>
    <w:rPr>
      <w:rFonts w:ascii="Calibri" w:eastAsia="Calibri" w:hAnsi="Calibri"/>
      <w:sz w:val="24"/>
      <w:szCs w:val="24"/>
      <w:lang w:val="es-ES_tradnl" w:eastAsia="en-US"/>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41">
    <w:name w:val="Tabla con cuadrícula41"/>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1">
    <w:name w:val="Tabla con cuadrícula51"/>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1">
    <w:name w:val="Tabla con cuadrícula61"/>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2">
    <w:name w:val="Tabla con cuadrícula72"/>
    <w:basedOn w:val="Tablanormal"/>
    <w:uiPriority w:val="5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311">
    <w:name w:val="Tabla de lista 4 - Énfasis 311"/>
    <w:basedOn w:val="Tablanormal"/>
    <w:uiPriority w:val="49"/>
    <w:rsid w:val="00D76CBC"/>
    <w:rPr>
      <w:rFonts w:ascii="Calibri" w:eastAsia="Calibri" w:hAnsi="Calibri"/>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31">
    <w:name w:val="Tabla de lista 3 - Énfasis 31"/>
    <w:basedOn w:val="Tablanormal"/>
    <w:uiPriority w:val="48"/>
    <w:rsid w:val="00D76CBC"/>
    <w:rPr>
      <w:rFonts w:ascii="Calibri" w:eastAsia="Calibri" w:hAnsi="Calibri"/>
      <w:lang w:val="es-ES_tradnl" w:eastAsia="en-US"/>
    </w:rPr>
    <w:tblPr>
      <w:tblStyleRowBandSize w:val="1"/>
      <w:tblStyleColBandSize w:val="1"/>
      <w:tblInd w:w="0" w:type="nil"/>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laconcuadrcula6concolores-nfasis31">
    <w:name w:val="Tabla con cuadrícula 6 con colores - Énfasis 31"/>
    <w:basedOn w:val="Tablanormal"/>
    <w:uiPriority w:val="51"/>
    <w:rsid w:val="00D76CBC"/>
    <w:rPr>
      <w:rFonts w:ascii="Calibri" w:eastAsia="Calibri" w:hAnsi="Calibri"/>
      <w:color w:val="7B7B7B"/>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1clara-nfasis3111">
    <w:name w:val="Tabla con cuadrícula 1 clara - Énfasis 3111"/>
    <w:basedOn w:val="Tablanormal"/>
    <w:uiPriority w:val="46"/>
    <w:rsid w:val="00D76CBC"/>
    <w:rPr>
      <w:rFonts w:ascii="Calibri" w:eastAsia="Calibri" w:hAnsi="Calibri"/>
      <w:lang w:val="es-ES_tradnl" w:eastAsia="en-US"/>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concuadrcula810">
    <w:name w:val="Tabla con cuadrícula81"/>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
    <w:name w:val="Tabla con cuadrícula9"/>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11">
    <w:name w:val="Tabla con cuadrícula 1 clara - Énfasis 1111"/>
    <w:basedOn w:val="Tablanormal"/>
    <w:uiPriority w:val="46"/>
    <w:rsid w:val="00D76CBC"/>
    <w:pPr>
      <w:jc w:val="both"/>
    </w:pPr>
    <w:rPr>
      <w:rFonts w:ascii="Calibri" w:eastAsia="Calibri" w:hAnsi="Calibri"/>
      <w:sz w:val="24"/>
      <w:szCs w:val="24"/>
      <w:lang w:val="es-ES_tradnl" w:eastAsia="en-US"/>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0">
    <w:name w:val="Tabla con cuadrícula10"/>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1">
    <w:name w:val="Tabla con cuadrícula141"/>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1">
    <w:name w:val="Tabla con cuadrícula151"/>
    <w:basedOn w:val="Tablanormal"/>
    <w:uiPriority w:val="39"/>
    <w:rsid w:val="00D76CBC"/>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
    <w:name w:val="Tabla con cuadrícula16"/>
    <w:basedOn w:val="Tablanormal"/>
    <w:uiPriority w:val="39"/>
    <w:rsid w:val="00D76CBC"/>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
    <w:name w:val="Tabla con cuadrícula17"/>
    <w:basedOn w:val="Tablanormal"/>
    <w:uiPriority w:val="39"/>
    <w:rsid w:val="00D76CBC"/>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
    <w:name w:val="Tabla con cuadrícula18"/>
    <w:basedOn w:val="Tablanormal"/>
    <w:uiPriority w:val="39"/>
    <w:rsid w:val="00D76CBC"/>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qFormat/>
    <w:rsid w:val="00D76CB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9">
    <w:name w:val="Tabla con cuadrícula19"/>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
    <w:name w:val="Tabla con cuadrícula20"/>
    <w:basedOn w:val="Tablanormal"/>
    <w:uiPriority w:val="39"/>
    <w:rsid w:val="00D76CBC"/>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
    <w:name w:val="Tabla con cuadrícula110"/>
    <w:basedOn w:val="Tablanormal"/>
    <w:uiPriority w:val="39"/>
    <w:rsid w:val="00D76CBC"/>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
    <w:name w:val="Table Normal2"/>
    <w:uiPriority w:val="2"/>
    <w:semiHidden/>
    <w:qFormat/>
    <w:rsid w:val="00D76CB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eNormal3">
    <w:name w:val="Table Normal3"/>
    <w:uiPriority w:val="2"/>
    <w:semiHidden/>
    <w:qFormat/>
    <w:rsid w:val="00D76CB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121">
    <w:name w:val="Tabla con cuadrícula1121"/>
    <w:basedOn w:val="Tablanormal"/>
    <w:uiPriority w:val="39"/>
    <w:rsid w:val="00D76CBC"/>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
    <w:name w:val="Table Normal4"/>
    <w:uiPriority w:val="2"/>
    <w:semiHidden/>
    <w:qFormat/>
    <w:rsid w:val="00D76CB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231">
    <w:name w:val="Tabla con cuadrícula231"/>
    <w:basedOn w:val="Tablanormal"/>
    <w:uiPriority w:val="39"/>
    <w:rsid w:val="00D76CBC"/>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
    <w:name w:val="Tabla con cuadrícula113"/>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41">
    <w:name w:val="Tabla con cuadrícula241"/>
    <w:basedOn w:val="Tablanormal"/>
    <w:rsid w:val="00D76CBC"/>
    <w:pPr>
      <w:jc w:val="both"/>
    </w:pPr>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3111">
    <w:name w:val="Tabla de lista 4 - Énfasis 3111"/>
    <w:basedOn w:val="Tablanormal"/>
    <w:uiPriority w:val="49"/>
    <w:rsid w:val="00D76CBC"/>
    <w:pPr>
      <w:jc w:val="both"/>
    </w:pPr>
    <w:rPr>
      <w:rFonts w:ascii="Calibri" w:eastAsia="Calibri" w:hAnsi="Calibri"/>
      <w:sz w:val="24"/>
      <w:szCs w:val="24"/>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311">
    <w:name w:val="Tabla de lista 3 - Énfasis 311"/>
    <w:basedOn w:val="Tablanormal"/>
    <w:uiPriority w:val="48"/>
    <w:rsid w:val="00D76CBC"/>
    <w:pPr>
      <w:jc w:val="both"/>
    </w:pPr>
    <w:rPr>
      <w:rFonts w:ascii="Calibri" w:eastAsia="Calibri" w:hAnsi="Calibri"/>
      <w:sz w:val="24"/>
      <w:szCs w:val="24"/>
      <w:lang w:val="es-ES_tradnl" w:eastAsia="en-US"/>
    </w:rPr>
    <w:tblPr>
      <w:tblStyleRowBandSize w:val="1"/>
      <w:tblStyleColBandSize w:val="1"/>
      <w:tblInd w:w="0" w:type="nil"/>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laconcuadrcula6concolores-nfasis311">
    <w:name w:val="Tabla con cuadrícula 6 con colores - Énfasis 311"/>
    <w:basedOn w:val="Tablanormal"/>
    <w:uiPriority w:val="51"/>
    <w:rsid w:val="00D76CBC"/>
    <w:pPr>
      <w:jc w:val="both"/>
    </w:pPr>
    <w:rPr>
      <w:rFonts w:ascii="Calibri" w:eastAsia="Calibri" w:hAnsi="Calibri"/>
      <w:color w:val="7B7B7B"/>
      <w:sz w:val="24"/>
      <w:szCs w:val="24"/>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1clara-nfasis312">
    <w:name w:val="Tabla con cuadrícula 1 clara - Énfasis 312"/>
    <w:basedOn w:val="Tablanormal"/>
    <w:uiPriority w:val="46"/>
    <w:rsid w:val="00D76CBC"/>
    <w:pPr>
      <w:jc w:val="both"/>
    </w:pPr>
    <w:rPr>
      <w:rFonts w:ascii="Calibri" w:eastAsia="Calibri" w:hAnsi="Calibri"/>
      <w:sz w:val="24"/>
      <w:szCs w:val="24"/>
      <w:lang w:val="es-ES_tradnl" w:eastAsia="en-US"/>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concuadrcula1clara-nfasis112">
    <w:name w:val="Tabla con cuadrícula 1 clara - Énfasis 112"/>
    <w:basedOn w:val="Tablanormal"/>
    <w:uiPriority w:val="46"/>
    <w:rsid w:val="00D76CBC"/>
    <w:pPr>
      <w:jc w:val="both"/>
    </w:pPr>
    <w:rPr>
      <w:rFonts w:ascii="Calibri" w:eastAsia="Calibri" w:hAnsi="Calibri"/>
      <w:sz w:val="24"/>
      <w:szCs w:val="24"/>
      <w:lang w:val="es-ES_tradnl" w:eastAsia="en-US"/>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clara11">
    <w:name w:val="Tabla con cuadrícula clara11"/>
    <w:basedOn w:val="Tablanormal"/>
    <w:uiPriority w:val="40"/>
    <w:rsid w:val="00D76CBC"/>
    <w:rPr>
      <w:rFonts w:ascii="Calibri" w:eastAsia="Calibri" w:hAnsi="Calibri"/>
      <w:sz w:val="24"/>
      <w:szCs w:val="24"/>
      <w:lang w:val="es-ES_tradnl"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25">
    <w:name w:val="Tabla con cuadrícula25"/>
    <w:basedOn w:val="Tablanormal"/>
    <w:uiPriority w:val="39"/>
    <w:rsid w:val="00D76CBC"/>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
    <w:name w:val="Tabla con cuadrícula114"/>
    <w:basedOn w:val="Tablanormal"/>
    <w:uiPriority w:val="39"/>
    <w:rsid w:val="00D76CBC"/>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22">
    <w:name w:val="Tabla clásica 22"/>
    <w:basedOn w:val="Tablanormal"/>
    <w:rsid w:val="00D76CBC"/>
    <w:rPr>
      <w:lang w:val="es-ES_tradnl" w:eastAsia="en-US"/>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ombreadomedio1-nfasis22">
    <w:name w:val="Sombreado medio 1 - Énfasis 22"/>
    <w:basedOn w:val="Tablanormal"/>
    <w:uiPriority w:val="63"/>
    <w:rsid w:val="00D76CBC"/>
    <w:rPr>
      <w:lang w:val="es-ES_tradnl" w:eastAsia="en-US"/>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uadrculavistosa-nfasis52">
    <w:name w:val="Cuadrícula vistosa - Énfasis 52"/>
    <w:basedOn w:val="Tablanormal"/>
    <w:uiPriority w:val="73"/>
    <w:rsid w:val="00D76CBC"/>
    <w:rPr>
      <w:color w:val="000000"/>
      <w:lang w:val="es-ES_tradnl" w:eastAsia="en-US"/>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Sombreadoclaro-nfasis1111">
    <w:name w:val="Sombreado claro - Énfasis 1111"/>
    <w:basedOn w:val="Tablanormal"/>
    <w:uiPriority w:val="60"/>
    <w:rsid w:val="00D76CBC"/>
    <w:rPr>
      <w:color w:val="365F91"/>
      <w:lang w:val="es-ES_tradnl"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26">
    <w:name w:val="Tabla con cuadrícula26"/>
    <w:basedOn w:val="Tablanormal"/>
    <w:uiPriority w:val="39"/>
    <w:rsid w:val="00D76CBC"/>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
    <w:name w:val="Tabla con cuadrícula115"/>
    <w:basedOn w:val="Tablanormal"/>
    <w:uiPriority w:val="39"/>
    <w:rsid w:val="00D76CBC"/>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qFormat/>
    <w:rsid w:val="00D76CB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27">
    <w:name w:val="Tabla con cuadrícula27"/>
    <w:basedOn w:val="Tablanormal"/>
    <w:uiPriority w:val="59"/>
    <w:rsid w:val="00D76CBC"/>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
    <w:name w:val="Tabla con cuadrícula116"/>
    <w:basedOn w:val="Tablanormal"/>
    <w:uiPriority w:val="39"/>
    <w:rsid w:val="00D76CBC"/>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qFormat/>
    <w:rsid w:val="00D76CB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delista4-nfasis51">
    <w:name w:val="Tabla de lista 4 - Énfasis 51"/>
    <w:basedOn w:val="Tablanormal"/>
    <w:next w:val="Tabladelista4-nfasis5"/>
    <w:uiPriority w:val="49"/>
    <w:rsid w:val="00D76CBC"/>
    <w:rPr>
      <w:rFonts w:ascii="Calibri" w:eastAsia="Calibri" w:hAnsi="Calibri"/>
      <w:sz w:val="24"/>
      <w:szCs w:val="24"/>
      <w:lang w:val="es-ES_tradnl"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character" w:customStyle="1" w:styleId="WW8Num6z4">
    <w:name w:val="WW8Num6z4"/>
    <w:uiPriority w:val="99"/>
    <w:rsid w:val="00D76CBC"/>
  </w:style>
  <w:style w:type="character" w:customStyle="1" w:styleId="WW8Num8z4">
    <w:name w:val="WW8Num8z4"/>
    <w:rsid w:val="00D76CBC"/>
  </w:style>
  <w:style w:type="character" w:customStyle="1" w:styleId="WW8Num8z5">
    <w:name w:val="WW8Num8z5"/>
    <w:rsid w:val="00D76CBC"/>
  </w:style>
  <w:style w:type="character" w:customStyle="1" w:styleId="WW8Num8z6">
    <w:name w:val="WW8Num8z6"/>
    <w:rsid w:val="00D76CBC"/>
  </w:style>
  <w:style w:type="character" w:customStyle="1" w:styleId="WW8Num8z7">
    <w:name w:val="WW8Num8z7"/>
    <w:rsid w:val="00D76CBC"/>
  </w:style>
  <w:style w:type="character" w:customStyle="1" w:styleId="WW8Num8z8">
    <w:name w:val="WW8Num8z8"/>
    <w:rsid w:val="00D76CBC"/>
  </w:style>
  <w:style w:type="character" w:customStyle="1" w:styleId="WW8Num14z4">
    <w:name w:val="WW8Num14z4"/>
    <w:rsid w:val="00D76CBC"/>
  </w:style>
  <w:style w:type="character" w:customStyle="1" w:styleId="WW8Num14z5">
    <w:name w:val="WW8Num14z5"/>
    <w:rsid w:val="00D76CBC"/>
  </w:style>
  <w:style w:type="character" w:customStyle="1" w:styleId="WW8Num14z6">
    <w:name w:val="WW8Num14z6"/>
    <w:rsid w:val="00D76CBC"/>
  </w:style>
  <w:style w:type="character" w:customStyle="1" w:styleId="WW8Num14z7">
    <w:name w:val="WW8Num14z7"/>
    <w:rsid w:val="00D76CBC"/>
  </w:style>
  <w:style w:type="character" w:customStyle="1" w:styleId="WW8Num14z8">
    <w:name w:val="WW8Num14z8"/>
    <w:rsid w:val="00D76CBC"/>
  </w:style>
  <w:style w:type="character" w:customStyle="1" w:styleId="WW8Num43z3">
    <w:name w:val="WW8Num43z3"/>
    <w:uiPriority w:val="99"/>
    <w:rsid w:val="00D76CBC"/>
  </w:style>
  <w:style w:type="character" w:customStyle="1" w:styleId="WW8Num43z4">
    <w:name w:val="WW8Num43z4"/>
    <w:uiPriority w:val="99"/>
    <w:rsid w:val="00D76CBC"/>
  </w:style>
  <w:style w:type="character" w:customStyle="1" w:styleId="WW8Num43z5">
    <w:name w:val="WW8Num43z5"/>
    <w:uiPriority w:val="99"/>
    <w:rsid w:val="00D76CBC"/>
  </w:style>
  <w:style w:type="character" w:customStyle="1" w:styleId="WW8Num43z6">
    <w:name w:val="WW8Num43z6"/>
    <w:uiPriority w:val="99"/>
    <w:rsid w:val="00D76CBC"/>
  </w:style>
  <w:style w:type="character" w:customStyle="1" w:styleId="WW8Num43z7">
    <w:name w:val="WW8Num43z7"/>
    <w:uiPriority w:val="99"/>
    <w:rsid w:val="00D76CBC"/>
  </w:style>
  <w:style w:type="character" w:customStyle="1" w:styleId="WW8Num43z8">
    <w:name w:val="WW8Num43z8"/>
    <w:uiPriority w:val="99"/>
    <w:rsid w:val="00D76CBC"/>
  </w:style>
  <w:style w:type="character" w:customStyle="1" w:styleId="WW8Num44z4">
    <w:name w:val="WW8Num44z4"/>
    <w:rsid w:val="00D76CBC"/>
  </w:style>
  <w:style w:type="character" w:customStyle="1" w:styleId="WW8Num44z5">
    <w:name w:val="WW8Num44z5"/>
    <w:rsid w:val="00D76CBC"/>
  </w:style>
  <w:style w:type="character" w:customStyle="1" w:styleId="WW8Num44z6">
    <w:name w:val="WW8Num44z6"/>
    <w:rsid w:val="00D76CBC"/>
  </w:style>
  <w:style w:type="character" w:customStyle="1" w:styleId="WW8Num44z7">
    <w:name w:val="WW8Num44z7"/>
    <w:rsid w:val="00D76CBC"/>
  </w:style>
  <w:style w:type="character" w:customStyle="1" w:styleId="WW8Num44z8">
    <w:name w:val="WW8Num44z8"/>
    <w:rsid w:val="00D76CBC"/>
  </w:style>
  <w:style w:type="character" w:customStyle="1" w:styleId="WW8Num47z2">
    <w:name w:val="WW8Num47z2"/>
    <w:uiPriority w:val="99"/>
    <w:rsid w:val="00D76CBC"/>
  </w:style>
  <w:style w:type="character" w:customStyle="1" w:styleId="WW8Num47z4">
    <w:name w:val="WW8Num47z4"/>
    <w:rsid w:val="00D76CBC"/>
  </w:style>
  <w:style w:type="character" w:customStyle="1" w:styleId="WW8Num47z5">
    <w:name w:val="WW8Num47z5"/>
    <w:rsid w:val="00D76CBC"/>
  </w:style>
  <w:style w:type="character" w:customStyle="1" w:styleId="WW8Num47z6">
    <w:name w:val="WW8Num47z6"/>
    <w:rsid w:val="00D76CBC"/>
  </w:style>
  <w:style w:type="character" w:customStyle="1" w:styleId="WW8Num47z7">
    <w:name w:val="WW8Num47z7"/>
    <w:rsid w:val="00D76CBC"/>
  </w:style>
  <w:style w:type="character" w:customStyle="1" w:styleId="WW8Num47z8">
    <w:name w:val="WW8Num47z8"/>
    <w:rsid w:val="00D76CBC"/>
  </w:style>
  <w:style w:type="character" w:customStyle="1" w:styleId="WW8Num48z4">
    <w:name w:val="WW8Num48z4"/>
    <w:rsid w:val="00D76CBC"/>
  </w:style>
  <w:style w:type="character" w:customStyle="1" w:styleId="WW8Num48z5">
    <w:name w:val="WW8Num48z5"/>
    <w:rsid w:val="00D76CBC"/>
  </w:style>
  <w:style w:type="character" w:customStyle="1" w:styleId="WW8Num48z6">
    <w:name w:val="WW8Num48z6"/>
    <w:rsid w:val="00D76CBC"/>
  </w:style>
  <w:style w:type="character" w:customStyle="1" w:styleId="WW8Num48z7">
    <w:name w:val="WW8Num48z7"/>
    <w:rsid w:val="00D76CBC"/>
  </w:style>
  <w:style w:type="character" w:customStyle="1" w:styleId="WW8Num48z8">
    <w:name w:val="WW8Num48z8"/>
    <w:rsid w:val="00D76CBC"/>
  </w:style>
  <w:style w:type="character" w:customStyle="1" w:styleId="WW8Num50z0">
    <w:name w:val="WW8Num50z0"/>
    <w:uiPriority w:val="99"/>
    <w:rsid w:val="00D76CBC"/>
    <w:rPr>
      <w:rFonts w:ascii="Symbol" w:hAnsi="Symbol" w:cs="Symbol" w:hint="default"/>
      <w:sz w:val="20"/>
    </w:rPr>
  </w:style>
  <w:style w:type="character" w:customStyle="1" w:styleId="WW8Num50z1">
    <w:name w:val="WW8Num50z1"/>
    <w:uiPriority w:val="99"/>
    <w:rsid w:val="00D76CBC"/>
    <w:rPr>
      <w:rFonts w:ascii="Courier New" w:hAnsi="Courier New" w:cs="Courier New" w:hint="default"/>
      <w:sz w:val="20"/>
    </w:rPr>
  </w:style>
  <w:style w:type="character" w:customStyle="1" w:styleId="WW8Num50z2">
    <w:name w:val="WW8Num50z2"/>
    <w:uiPriority w:val="99"/>
    <w:rsid w:val="00D76CBC"/>
    <w:rPr>
      <w:rFonts w:ascii="Wingdings" w:hAnsi="Wingdings" w:cs="Wingdings" w:hint="default"/>
      <w:sz w:val="20"/>
    </w:rPr>
  </w:style>
  <w:style w:type="character" w:customStyle="1" w:styleId="WW8Num51z0">
    <w:name w:val="WW8Num51z0"/>
    <w:uiPriority w:val="99"/>
    <w:rsid w:val="00D76CBC"/>
    <w:rPr>
      <w:b w:val="0"/>
      <w:sz w:val="22"/>
      <w:szCs w:val="22"/>
    </w:rPr>
  </w:style>
  <w:style w:type="character" w:customStyle="1" w:styleId="WW8Num51z1">
    <w:name w:val="WW8Num51z1"/>
    <w:uiPriority w:val="99"/>
    <w:rsid w:val="00D76CBC"/>
  </w:style>
  <w:style w:type="character" w:customStyle="1" w:styleId="WW8Num51z2">
    <w:name w:val="WW8Num51z2"/>
    <w:uiPriority w:val="99"/>
    <w:rsid w:val="00D76CBC"/>
  </w:style>
  <w:style w:type="character" w:customStyle="1" w:styleId="WW8Num51z3">
    <w:name w:val="WW8Num51z3"/>
    <w:uiPriority w:val="99"/>
    <w:rsid w:val="00D76CBC"/>
  </w:style>
  <w:style w:type="character" w:customStyle="1" w:styleId="WW8Num51z4">
    <w:name w:val="WW8Num51z4"/>
    <w:uiPriority w:val="99"/>
    <w:rsid w:val="00D76CBC"/>
  </w:style>
  <w:style w:type="character" w:customStyle="1" w:styleId="WW8Num51z5">
    <w:name w:val="WW8Num51z5"/>
    <w:uiPriority w:val="99"/>
    <w:rsid w:val="00D76CBC"/>
  </w:style>
  <w:style w:type="character" w:customStyle="1" w:styleId="WW8Num51z6">
    <w:name w:val="WW8Num51z6"/>
    <w:uiPriority w:val="99"/>
    <w:rsid w:val="00D76CBC"/>
  </w:style>
  <w:style w:type="character" w:customStyle="1" w:styleId="WW8Num51z7">
    <w:name w:val="WW8Num51z7"/>
    <w:uiPriority w:val="99"/>
    <w:rsid w:val="00D76CBC"/>
  </w:style>
  <w:style w:type="character" w:customStyle="1" w:styleId="WW8Num51z8">
    <w:name w:val="WW8Num51z8"/>
    <w:uiPriority w:val="99"/>
    <w:rsid w:val="00D76CBC"/>
  </w:style>
  <w:style w:type="character" w:customStyle="1" w:styleId="WW8Num52z4">
    <w:name w:val="WW8Num52z4"/>
    <w:rsid w:val="00D76CBC"/>
  </w:style>
  <w:style w:type="character" w:customStyle="1" w:styleId="WW8Num52z5">
    <w:name w:val="WW8Num52z5"/>
    <w:rsid w:val="00D76CBC"/>
  </w:style>
  <w:style w:type="character" w:customStyle="1" w:styleId="WW8Num52z6">
    <w:name w:val="WW8Num52z6"/>
    <w:rsid w:val="00D76CBC"/>
  </w:style>
  <w:style w:type="character" w:customStyle="1" w:styleId="WW8Num52z7">
    <w:name w:val="WW8Num52z7"/>
    <w:rsid w:val="00D76CBC"/>
  </w:style>
  <w:style w:type="character" w:customStyle="1" w:styleId="WW8Num52z8">
    <w:name w:val="WW8Num52z8"/>
    <w:rsid w:val="00D76CBC"/>
  </w:style>
  <w:style w:type="character" w:customStyle="1" w:styleId="WW8Num53z0">
    <w:name w:val="WW8Num53z0"/>
    <w:uiPriority w:val="99"/>
    <w:rsid w:val="00D76CBC"/>
  </w:style>
  <w:style w:type="character" w:customStyle="1" w:styleId="WW8Num53z1">
    <w:name w:val="WW8Num53z1"/>
    <w:uiPriority w:val="99"/>
    <w:rsid w:val="00D76CBC"/>
  </w:style>
  <w:style w:type="character" w:customStyle="1" w:styleId="WW8Num53z2">
    <w:name w:val="WW8Num53z2"/>
    <w:rsid w:val="00D76CBC"/>
  </w:style>
  <w:style w:type="character" w:customStyle="1" w:styleId="WW8Num53z3">
    <w:name w:val="WW8Num53z3"/>
    <w:uiPriority w:val="99"/>
    <w:rsid w:val="00D76CBC"/>
  </w:style>
  <w:style w:type="character" w:customStyle="1" w:styleId="WW8Num53z4">
    <w:name w:val="WW8Num53z4"/>
    <w:rsid w:val="00D76CBC"/>
  </w:style>
  <w:style w:type="character" w:customStyle="1" w:styleId="WW8Num53z5">
    <w:name w:val="WW8Num53z5"/>
    <w:rsid w:val="00D76CBC"/>
  </w:style>
  <w:style w:type="character" w:customStyle="1" w:styleId="WW8Num53z6">
    <w:name w:val="WW8Num53z6"/>
    <w:rsid w:val="00D76CBC"/>
  </w:style>
  <w:style w:type="character" w:customStyle="1" w:styleId="WW8Num53z7">
    <w:name w:val="WW8Num53z7"/>
    <w:rsid w:val="00D76CBC"/>
  </w:style>
  <w:style w:type="character" w:customStyle="1" w:styleId="WW8Num53z8">
    <w:name w:val="WW8Num53z8"/>
    <w:rsid w:val="00D76CBC"/>
  </w:style>
  <w:style w:type="character" w:customStyle="1" w:styleId="WW8Num54z0">
    <w:name w:val="WW8Num54z0"/>
    <w:uiPriority w:val="99"/>
    <w:rsid w:val="00D76CBC"/>
    <w:rPr>
      <w:rFonts w:cs="Times New Roman"/>
    </w:rPr>
  </w:style>
  <w:style w:type="character" w:customStyle="1" w:styleId="WW8Num55z0">
    <w:name w:val="WW8Num55z0"/>
    <w:uiPriority w:val="99"/>
    <w:rsid w:val="00D76CBC"/>
    <w:rPr>
      <w:rFonts w:cs="Times New Roman"/>
    </w:rPr>
  </w:style>
  <w:style w:type="character" w:customStyle="1" w:styleId="WW8Num56z0">
    <w:name w:val="WW8Num56z0"/>
    <w:uiPriority w:val="99"/>
    <w:rsid w:val="00D76CBC"/>
    <w:rPr>
      <w:rFonts w:cs="Times New Roman"/>
    </w:rPr>
  </w:style>
  <w:style w:type="character" w:customStyle="1" w:styleId="WW8Num57z0">
    <w:name w:val="WW8Num57z0"/>
    <w:uiPriority w:val="99"/>
    <w:rsid w:val="00D76CBC"/>
    <w:rPr>
      <w:rFonts w:cs="Times New Roman"/>
    </w:rPr>
  </w:style>
  <w:style w:type="character" w:customStyle="1" w:styleId="WW8Num58z0">
    <w:name w:val="WW8Num58z0"/>
    <w:uiPriority w:val="99"/>
    <w:rsid w:val="00D76CBC"/>
  </w:style>
  <w:style w:type="character" w:customStyle="1" w:styleId="WW8Num58z1">
    <w:name w:val="WW8Num58z1"/>
    <w:uiPriority w:val="99"/>
    <w:rsid w:val="00D76CBC"/>
  </w:style>
  <w:style w:type="character" w:customStyle="1" w:styleId="WW8Num58z2">
    <w:name w:val="WW8Num58z2"/>
    <w:uiPriority w:val="99"/>
    <w:rsid w:val="00D76CBC"/>
  </w:style>
  <w:style w:type="character" w:customStyle="1" w:styleId="WW8Num58z3">
    <w:name w:val="WW8Num58z3"/>
    <w:uiPriority w:val="99"/>
    <w:rsid w:val="00D76CBC"/>
  </w:style>
  <w:style w:type="character" w:customStyle="1" w:styleId="WW8Num58z4">
    <w:name w:val="WW8Num58z4"/>
    <w:uiPriority w:val="99"/>
    <w:rsid w:val="00D76CBC"/>
  </w:style>
  <w:style w:type="character" w:customStyle="1" w:styleId="WW8Num58z5">
    <w:name w:val="WW8Num58z5"/>
    <w:uiPriority w:val="99"/>
    <w:rsid w:val="00D76CBC"/>
  </w:style>
  <w:style w:type="character" w:customStyle="1" w:styleId="WW8Num58z6">
    <w:name w:val="WW8Num58z6"/>
    <w:uiPriority w:val="99"/>
    <w:rsid w:val="00D76CBC"/>
  </w:style>
  <w:style w:type="character" w:customStyle="1" w:styleId="WW8Num58z7">
    <w:name w:val="WW8Num58z7"/>
    <w:uiPriority w:val="99"/>
    <w:rsid w:val="00D76CBC"/>
  </w:style>
  <w:style w:type="character" w:customStyle="1" w:styleId="WW8Num58z8">
    <w:name w:val="WW8Num58z8"/>
    <w:uiPriority w:val="99"/>
    <w:rsid w:val="00D76CBC"/>
  </w:style>
  <w:style w:type="character" w:customStyle="1" w:styleId="WW8Num59z0">
    <w:name w:val="WW8Num59z0"/>
    <w:uiPriority w:val="99"/>
    <w:rsid w:val="00D76CBC"/>
  </w:style>
  <w:style w:type="character" w:customStyle="1" w:styleId="WW8Num59z1">
    <w:name w:val="WW8Num59z1"/>
    <w:uiPriority w:val="99"/>
    <w:rsid w:val="00D76CBC"/>
  </w:style>
  <w:style w:type="character" w:customStyle="1" w:styleId="WW8Num59z2">
    <w:name w:val="WW8Num59z2"/>
    <w:uiPriority w:val="99"/>
    <w:rsid w:val="00D76CBC"/>
  </w:style>
  <w:style w:type="character" w:customStyle="1" w:styleId="WW8Num59z3">
    <w:name w:val="WW8Num59z3"/>
    <w:uiPriority w:val="99"/>
    <w:rsid w:val="00D76CBC"/>
  </w:style>
  <w:style w:type="character" w:customStyle="1" w:styleId="WW8Num59z4">
    <w:name w:val="WW8Num59z4"/>
    <w:uiPriority w:val="99"/>
    <w:rsid w:val="00D76CBC"/>
  </w:style>
  <w:style w:type="character" w:customStyle="1" w:styleId="WW8Num59z5">
    <w:name w:val="WW8Num59z5"/>
    <w:uiPriority w:val="99"/>
    <w:rsid w:val="00D76CBC"/>
  </w:style>
  <w:style w:type="character" w:customStyle="1" w:styleId="WW8Num59z6">
    <w:name w:val="WW8Num59z6"/>
    <w:uiPriority w:val="99"/>
    <w:rsid w:val="00D76CBC"/>
  </w:style>
  <w:style w:type="character" w:customStyle="1" w:styleId="WW8Num59z7">
    <w:name w:val="WW8Num59z7"/>
    <w:uiPriority w:val="99"/>
    <w:rsid w:val="00D76CBC"/>
  </w:style>
  <w:style w:type="character" w:customStyle="1" w:styleId="WW8Num59z8">
    <w:name w:val="WW8Num59z8"/>
    <w:uiPriority w:val="99"/>
    <w:rsid w:val="00D76CBC"/>
  </w:style>
  <w:style w:type="character" w:customStyle="1" w:styleId="WW8Num60z0">
    <w:name w:val="WW8Num60z0"/>
    <w:uiPriority w:val="99"/>
    <w:rsid w:val="00D76CBC"/>
  </w:style>
  <w:style w:type="character" w:customStyle="1" w:styleId="WW8Num60z1">
    <w:name w:val="WW8Num60z1"/>
    <w:uiPriority w:val="99"/>
    <w:rsid w:val="00D76CBC"/>
  </w:style>
  <w:style w:type="character" w:customStyle="1" w:styleId="WW8Num60z2">
    <w:name w:val="WW8Num60z2"/>
    <w:uiPriority w:val="99"/>
    <w:rsid w:val="00D76CBC"/>
  </w:style>
  <w:style w:type="character" w:customStyle="1" w:styleId="WW8Num60z3">
    <w:name w:val="WW8Num60z3"/>
    <w:rsid w:val="00D76CBC"/>
  </w:style>
  <w:style w:type="character" w:customStyle="1" w:styleId="WW8Num60z4">
    <w:name w:val="WW8Num60z4"/>
    <w:rsid w:val="00D76CBC"/>
  </w:style>
  <w:style w:type="character" w:customStyle="1" w:styleId="WW8Num60z5">
    <w:name w:val="WW8Num60z5"/>
    <w:rsid w:val="00D76CBC"/>
  </w:style>
  <w:style w:type="character" w:customStyle="1" w:styleId="WW8Num60z6">
    <w:name w:val="WW8Num60z6"/>
    <w:rsid w:val="00D76CBC"/>
  </w:style>
  <w:style w:type="character" w:customStyle="1" w:styleId="WW8Num60z7">
    <w:name w:val="WW8Num60z7"/>
    <w:rsid w:val="00D76CBC"/>
  </w:style>
  <w:style w:type="character" w:customStyle="1" w:styleId="WW8Num60z8">
    <w:name w:val="WW8Num60z8"/>
    <w:rsid w:val="00D76CBC"/>
  </w:style>
  <w:style w:type="character" w:customStyle="1" w:styleId="WW8Num61z0">
    <w:name w:val="WW8Num61z0"/>
    <w:uiPriority w:val="99"/>
    <w:rsid w:val="00D76CBC"/>
  </w:style>
  <w:style w:type="character" w:customStyle="1" w:styleId="WW8Num61z1">
    <w:name w:val="WW8Num61z1"/>
    <w:uiPriority w:val="99"/>
    <w:rsid w:val="00D76CBC"/>
  </w:style>
  <w:style w:type="character" w:customStyle="1" w:styleId="WW8Num61z2">
    <w:name w:val="WW8Num61z2"/>
    <w:uiPriority w:val="99"/>
    <w:rsid w:val="00D76CBC"/>
  </w:style>
  <w:style w:type="character" w:customStyle="1" w:styleId="WW8Num61z3">
    <w:name w:val="WW8Num61z3"/>
    <w:uiPriority w:val="99"/>
    <w:rsid w:val="00D76CBC"/>
  </w:style>
  <w:style w:type="character" w:customStyle="1" w:styleId="WW8Num61z4">
    <w:name w:val="WW8Num61z4"/>
    <w:uiPriority w:val="99"/>
    <w:rsid w:val="00D76CBC"/>
  </w:style>
  <w:style w:type="character" w:customStyle="1" w:styleId="WW8Num61z5">
    <w:name w:val="WW8Num61z5"/>
    <w:uiPriority w:val="99"/>
    <w:rsid w:val="00D76CBC"/>
  </w:style>
  <w:style w:type="character" w:customStyle="1" w:styleId="WW8Num61z6">
    <w:name w:val="WW8Num61z6"/>
    <w:uiPriority w:val="99"/>
    <w:rsid w:val="00D76CBC"/>
  </w:style>
  <w:style w:type="character" w:customStyle="1" w:styleId="WW8Num61z7">
    <w:name w:val="WW8Num61z7"/>
    <w:uiPriority w:val="99"/>
    <w:rsid w:val="00D76CBC"/>
  </w:style>
  <w:style w:type="character" w:customStyle="1" w:styleId="WW8Num61z8">
    <w:name w:val="WW8Num61z8"/>
    <w:uiPriority w:val="99"/>
    <w:rsid w:val="00D76CBC"/>
  </w:style>
  <w:style w:type="character" w:customStyle="1" w:styleId="WW8Num62z0">
    <w:name w:val="WW8Num62z0"/>
    <w:uiPriority w:val="99"/>
    <w:rsid w:val="00D76CBC"/>
  </w:style>
  <w:style w:type="character" w:customStyle="1" w:styleId="WW8Num62z1">
    <w:name w:val="WW8Num62z1"/>
    <w:uiPriority w:val="99"/>
    <w:rsid w:val="00D76CBC"/>
  </w:style>
  <w:style w:type="character" w:customStyle="1" w:styleId="WW8Num62z2">
    <w:name w:val="WW8Num62z2"/>
    <w:rsid w:val="00D76CBC"/>
  </w:style>
  <w:style w:type="character" w:customStyle="1" w:styleId="WW8Num62z3">
    <w:name w:val="WW8Num62z3"/>
    <w:rsid w:val="00D76CBC"/>
  </w:style>
  <w:style w:type="character" w:customStyle="1" w:styleId="WW8Num62z4">
    <w:name w:val="WW8Num62z4"/>
    <w:uiPriority w:val="99"/>
    <w:rsid w:val="00D76CBC"/>
  </w:style>
  <w:style w:type="character" w:customStyle="1" w:styleId="WW8Num62z5">
    <w:name w:val="WW8Num62z5"/>
    <w:rsid w:val="00D76CBC"/>
  </w:style>
  <w:style w:type="character" w:customStyle="1" w:styleId="WW8Num62z6">
    <w:name w:val="WW8Num62z6"/>
    <w:rsid w:val="00D76CBC"/>
  </w:style>
  <w:style w:type="character" w:customStyle="1" w:styleId="WW8Num62z7">
    <w:name w:val="WW8Num62z7"/>
    <w:rsid w:val="00D76CBC"/>
  </w:style>
  <w:style w:type="character" w:customStyle="1" w:styleId="WW8Num62z8">
    <w:name w:val="WW8Num62z8"/>
    <w:rsid w:val="00D76CBC"/>
  </w:style>
  <w:style w:type="character" w:customStyle="1" w:styleId="WW8Num63z0">
    <w:name w:val="WW8Num63z0"/>
    <w:uiPriority w:val="99"/>
    <w:rsid w:val="00D76CBC"/>
  </w:style>
  <w:style w:type="character" w:customStyle="1" w:styleId="WW8Num63z1">
    <w:name w:val="WW8Num63z1"/>
    <w:uiPriority w:val="99"/>
    <w:rsid w:val="00D76CBC"/>
  </w:style>
  <w:style w:type="character" w:customStyle="1" w:styleId="WW8Num63z2">
    <w:name w:val="WW8Num63z2"/>
    <w:uiPriority w:val="99"/>
    <w:rsid w:val="00D76CBC"/>
  </w:style>
  <w:style w:type="character" w:customStyle="1" w:styleId="WW8Num63z3">
    <w:name w:val="WW8Num63z3"/>
    <w:uiPriority w:val="99"/>
    <w:rsid w:val="00D76CBC"/>
  </w:style>
  <w:style w:type="character" w:customStyle="1" w:styleId="WW8Num63z4">
    <w:name w:val="WW8Num63z4"/>
    <w:uiPriority w:val="99"/>
    <w:rsid w:val="00D76CBC"/>
  </w:style>
  <w:style w:type="character" w:customStyle="1" w:styleId="WW8Num63z5">
    <w:name w:val="WW8Num63z5"/>
    <w:uiPriority w:val="99"/>
    <w:rsid w:val="00D76CBC"/>
  </w:style>
  <w:style w:type="character" w:customStyle="1" w:styleId="WW8Num63z6">
    <w:name w:val="WW8Num63z6"/>
    <w:uiPriority w:val="99"/>
    <w:rsid w:val="00D76CBC"/>
  </w:style>
  <w:style w:type="character" w:customStyle="1" w:styleId="WW8Num63z7">
    <w:name w:val="WW8Num63z7"/>
    <w:uiPriority w:val="99"/>
    <w:rsid w:val="00D76CBC"/>
  </w:style>
  <w:style w:type="character" w:customStyle="1" w:styleId="WW8Num63z8">
    <w:name w:val="WW8Num63z8"/>
    <w:uiPriority w:val="99"/>
    <w:rsid w:val="00D76CBC"/>
  </w:style>
  <w:style w:type="character" w:customStyle="1" w:styleId="WW8Num64z0">
    <w:name w:val="WW8Num64z0"/>
    <w:uiPriority w:val="99"/>
    <w:rsid w:val="00D76CBC"/>
  </w:style>
  <w:style w:type="character" w:customStyle="1" w:styleId="WW8Num64z1">
    <w:name w:val="WW8Num64z1"/>
    <w:uiPriority w:val="99"/>
    <w:rsid w:val="00D76CBC"/>
  </w:style>
  <w:style w:type="character" w:customStyle="1" w:styleId="WW8Num64z2">
    <w:name w:val="WW8Num64z2"/>
    <w:uiPriority w:val="99"/>
    <w:rsid w:val="00D76CBC"/>
  </w:style>
  <w:style w:type="character" w:customStyle="1" w:styleId="WW8Num64z3">
    <w:name w:val="WW8Num64z3"/>
    <w:rsid w:val="00D76CBC"/>
  </w:style>
  <w:style w:type="character" w:customStyle="1" w:styleId="WW8Num64z4">
    <w:name w:val="WW8Num64z4"/>
    <w:rsid w:val="00D76CBC"/>
  </w:style>
  <w:style w:type="character" w:customStyle="1" w:styleId="WW8Num64z5">
    <w:name w:val="WW8Num64z5"/>
    <w:rsid w:val="00D76CBC"/>
  </w:style>
  <w:style w:type="character" w:customStyle="1" w:styleId="WW8Num64z6">
    <w:name w:val="WW8Num64z6"/>
    <w:rsid w:val="00D76CBC"/>
  </w:style>
  <w:style w:type="character" w:customStyle="1" w:styleId="WW8Num64z7">
    <w:name w:val="WW8Num64z7"/>
    <w:rsid w:val="00D76CBC"/>
  </w:style>
  <w:style w:type="character" w:customStyle="1" w:styleId="WW8Num64z8">
    <w:name w:val="WW8Num64z8"/>
    <w:rsid w:val="00D76CBC"/>
  </w:style>
  <w:style w:type="character" w:customStyle="1" w:styleId="WW8Num65z0">
    <w:name w:val="WW8Num65z0"/>
    <w:uiPriority w:val="99"/>
    <w:rsid w:val="00D76CBC"/>
  </w:style>
  <w:style w:type="character" w:customStyle="1" w:styleId="WW8Num65z1">
    <w:name w:val="WW8Num65z1"/>
    <w:uiPriority w:val="99"/>
    <w:rsid w:val="00D76CBC"/>
  </w:style>
  <w:style w:type="character" w:customStyle="1" w:styleId="WW8Num65z2">
    <w:name w:val="WW8Num65z2"/>
    <w:uiPriority w:val="99"/>
    <w:rsid w:val="00D76CBC"/>
  </w:style>
  <w:style w:type="character" w:customStyle="1" w:styleId="WW8Num65z3">
    <w:name w:val="WW8Num65z3"/>
    <w:rsid w:val="00D76CBC"/>
  </w:style>
  <w:style w:type="character" w:customStyle="1" w:styleId="WW8Num65z4">
    <w:name w:val="WW8Num65z4"/>
    <w:rsid w:val="00D76CBC"/>
  </w:style>
  <w:style w:type="character" w:customStyle="1" w:styleId="WW8Num65z5">
    <w:name w:val="WW8Num65z5"/>
    <w:rsid w:val="00D76CBC"/>
  </w:style>
  <w:style w:type="character" w:customStyle="1" w:styleId="WW8Num65z6">
    <w:name w:val="WW8Num65z6"/>
    <w:rsid w:val="00D76CBC"/>
  </w:style>
  <w:style w:type="character" w:customStyle="1" w:styleId="WW8Num65z7">
    <w:name w:val="WW8Num65z7"/>
    <w:rsid w:val="00D76CBC"/>
  </w:style>
  <w:style w:type="character" w:customStyle="1" w:styleId="WW8Num65z8">
    <w:name w:val="WW8Num65z8"/>
    <w:rsid w:val="00D76CBC"/>
  </w:style>
  <w:style w:type="character" w:customStyle="1" w:styleId="WW8Num66z0">
    <w:name w:val="WW8Num66z0"/>
    <w:uiPriority w:val="99"/>
    <w:rsid w:val="00D76CBC"/>
  </w:style>
  <w:style w:type="character" w:customStyle="1" w:styleId="WW8Num66z1">
    <w:name w:val="WW8Num66z1"/>
    <w:uiPriority w:val="99"/>
    <w:rsid w:val="00D76CBC"/>
  </w:style>
  <w:style w:type="character" w:customStyle="1" w:styleId="WW8Num66z2">
    <w:name w:val="WW8Num66z2"/>
    <w:uiPriority w:val="99"/>
    <w:rsid w:val="00D76CBC"/>
  </w:style>
  <w:style w:type="character" w:customStyle="1" w:styleId="WW8Num66z3">
    <w:name w:val="WW8Num66z3"/>
    <w:uiPriority w:val="99"/>
    <w:rsid w:val="00D76CBC"/>
  </w:style>
  <w:style w:type="character" w:customStyle="1" w:styleId="WW8Num66z4">
    <w:name w:val="WW8Num66z4"/>
    <w:rsid w:val="00D76CBC"/>
  </w:style>
  <w:style w:type="character" w:customStyle="1" w:styleId="WW8Num66z5">
    <w:name w:val="WW8Num66z5"/>
    <w:rsid w:val="00D76CBC"/>
  </w:style>
  <w:style w:type="character" w:customStyle="1" w:styleId="WW8Num66z6">
    <w:name w:val="WW8Num66z6"/>
    <w:rsid w:val="00D76CBC"/>
  </w:style>
  <w:style w:type="character" w:customStyle="1" w:styleId="WW8Num66z7">
    <w:name w:val="WW8Num66z7"/>
    <w:rsid w:val="00D76CBC"/>
  </w:style>
  <w:style w:type="character" w:customStyle="1" w:styleId="WW8Num66z8">
    <w:name w:val="WW8Num66z8"/>
    <w:rsid w:val="00D76CBC"/>
  </w:style>
  <w:style w:type="character" w:customStyle="1" w:styleId="WW8Num67z0">
    <w:name w:val="WW8Num67z0"/>
    <w:uiPriority w:val="99"/>
    <w:rsid w:val="00D76CBC"/>
  </w:style>
  <w:style w:type="character" w:customStyle="1" w:styleId="WW8Num67z1">
    <w:name w:val="WW8Num67z1"/>
    <w:uiPriority w:val="99"/>
    <w:rsid w:val="00D76CBC"/>
  </w:style>
  <w:style w:type="character" w:customStyle="1" w:styleId="WW8Num67z2">
    <w:name w:val="WW8Num67z2"/>
    <w:uiPriority w:val="99"/>
    <w:rsid w:val="00D76CBC"/>
  </w:style>
  <w:style w:type="character" w:customStyle="1" w:styleId="WW8Num67z3">
    <w:name w:val="WW8Num67z3"/>
    <w:uiPriority w:val="99"/>
    <w:rsid w:val="00D76CBC"/>
  </w:style>
  <w:style w:type="character" w:customStyle="1" w:styleId="WW8Num67z4">
    <w:name w:val="WW8Num67z4"/>
    <w:uiPriority w:val="99"/>
    <w:rsid w:val="00D76CBC"/>
  </w:style>
  <w:style w:type="character" w:customStyle="1" w:styleId="WW8Num67z5">
    <w:name w:val="WW8Num67z5"/>
    <w:uiPriority w:val="99"/>
    <w:rsid w:val="00D76CBC"/>
  </w:style>
  <w:style w:type="character" w:customStyle="1" w:styleId="WW8Num67z6">
    <w:name w:val="WW8Num67z6"/>
    <w:uiPriority w:val="99"/>
    <w:rsid w:val="00D76CBC"/>
  </w:style>
  <w:style w:type="character" w:customStyle="1" w:styleId="WW8Num67z7">
    <w:name w:val="WW8Num67z7"/>
    <w:uiPriority w:val="99"/>
    <w:rsid w:val="00D76CBC"/>
  </w:style>
  <w:style w:type="character" w:customStyle="1" w:styleId="WW8Num67z8">
    <w:name w:val="WW8Num67z8"/>
    <w:uiPriority w:val="99"/>
    <w:rsid w:val="00D76CBC"/>
  </w:style>
  <w:style w:type="character" w:customStyle="1" w:styleId="WW8Num68z0">
    <w:name w:val="WW8Num68z0"/>
    <w:uiPriority w:val="99"/>
    <w:rsid w:val="00D76CBC"/>
  </w:style>
  <w:style w:type="character" w:customStyle="1" w:styleId="WW8Num68z1">
    <w:name w:val="WW8Num68z1"/>
    <w:uiPriority w:val="99"/>
    <w:rsid w:val="00D76CBC"/>
  </w:style>
  <w:style w:type="character" w:customStyle="1" w:styleId="WW8Num68z2">
    <w:name w:val="WW8Num68z2"/>
    <w:uiPriority w:val="99"/>
    <w:rsid w:val="00D76CBC"/>
  </w:style>
  <w:style w:type="character" w:customStyle="1" w:styleId="WW8Num68z3">
    <w:name w:val="WW8Num68z3"/>
    <w:uiPriority w:val="99"/>
    <w:rsid w:val="00D76CBC"/>
  </w:style>
  <w:style w:type="character" w:customStyle="1" w:styleId="WW8Num68z4">
    <w:name w:val="WW8Num68z4"/>
    <w:uiPriority w:val="99"/>
    <w:rsid w:val="00D76CBC"/>
  </w:style>
  <w:style w:type="character" w:customStyle="1" w:styleId="WW8Num68z5">
    <w:name w:val="WW8Num68z5"/>
    <w:uiPriority w:val="99"/>
    <w:rsid w:val="00D76CBC"/>
  </w:style>
  <w:style w:type="character" w:customStyle="1" w:styleId="WW8Num68z6">
    <w:name w:val="WW8Num68z6"/>
    <w:uiPriority w:val="99"/>
    <w:rsid w:val="00D76CBC"/>
  </w:style>
  <w:style w:type="character" w:customStyle="1" w:styleId="WW8Num68z7">
    <w:name w:val="WW8Num68z7"/>
    <w:uiPriority w:val="99"/>
    <w:rsid w:val="00D76CBC"/>
  </w:style>
  <w:style w:type="character" w:customStyle="1" w:styleId="WW8Num68z8">
    <w:name w:val="WW8Num68z8"/>
    <w:uiPriority w:val="99"/>
    <w:rsid w:val="00D76CBC"/>
  </w:style>
  <w:style w:type="character" w:customStyle="1" w:styleId="WW8Num69z0">
    <w:name w:val="WW8Num69z0"/>
    <w:uiPriority w:val="99"/>
    <w:rsid w:val="00D76CBC"/>
  </w:style>
  <w:style w:type="character" w:customStyle="1" w:styleId="WW8Num69z1">
    <w:name w:val="WW8Num69z1"/>
    <w:rsid w:val="00D76CBC"/>
  </w:style>
  <w:style w:type="character" w:customStyle="1" w:styleId="WW8Num69z2">
    <w:name w:val="WW8Num69z2"/>
    <w:rsid w:val="00D76CBC"/>
  </w:style>
  <w:style w:type="character" w:customStyle="1" w:styleId="WW8Num69z3">
    <w:name w:val="WW8Num69z3"/>
    <w:rsid w:val="00D76CBC"/>
  </w:style>
  <w:style w:type="character" w:customStyle="1" w:styleId="WW8Num69z4">
    <w:name w:val="WW8Num69z4"/>
    <w:rsid w:val="00D76CBC"/>
  </w:style>
  <w:style w:type="character" w:customStyle="1" w:styleId="WW8Num69z5">
    <w:name w:val="WW8Num69z5"/>
    <w:rsid w:val="00D76CBC"/>
  </w:style>
  <w:style w:type="character" w:customStyle="1" w:styleId="WW8Num69z6">
    <w:name w:val="WW8Num69z6"/>
    <w:rsid w:val="00D76CBC"/>
  </w:style>
  <w:style w:type="character" w:customStyle="1" w:styleId="WW8Num69z7">
    <w:name w:val="WW8Num69z7"/>
    <w:rsid w:val="00D76CBC"/>
  </w:style>
  <w:style w:type="character" w:customStyle="1" w:styleId="WW8Num69z8">
    <w:name w:val="WW8Num69z8"/>
    <w:rsid w:val="00D76CBC"/>
  </w:style>
  <w:style w:type="character" w:customStyle="1" w:styleId="WW8Num70z0">
    <w:name w:val="WW8Num70z0"/>
    <w:uiPriority w:val="99"/>
    <w:rsid w:val="00D76CBC"/>
  </w:style>
  <w:style w:type="character" w:customStyle="1" w:styleId="WW8Num70z1">
    <w:name w:val="WW8Num70z1"/>
    <w:uiPriority w:val="99"/>
    <w:rsid w:val="00D76CBC"/>
  </w:style>
  <w:style w:type="character" w:customStyle="1" w:styleId="WW8Num70z2">
    <w:name w:val="WW8Num70z2"/>
    <w:uiPriority w:val="99"/>
    <w:rsid w:val="00D76CBC"/>
  </w:style>
  <w:style w:type="character" w:customStyle="1" w:styleId="WW8Num70z3">
    <w:name w:val="WW8Num70z3"/>
    <w:uiPriority w:val="99"/>
    <w:rsid w:val="00D76CBC"/>
  </w:style>
  <w:style w:type="character" w:customStyle="1" w:styleId="WW8Num70z4">
    <w:name w:val="WW8Num70z4"/>
    <w:uiPriority w:val="99"/>
    <w:rsid w:val="00D76CBC"/>
  </w:style>
  <w:style w:type="character" w:customStyle="1" w:styleId="WW8Num70z5">
    <w:name w:val="WW8Num70z5"/>
    <w:uiPriority w:val="99"/>
    <w:rsid w:val="00D76CBC"/>
  </w:style>
  <w:style w:type="character" w:customStyle="1" w:styleId="WW8Num70z6">
    <w:name w:val="WW8Num70z6"/>
    <w:uiPriority w:val="99"/>
    <w:rsid w:val="00D76CBC"/>
  </w:style>
  <w:style w:type="character" w:customStyle="1" w:styleId="WW8Num70z7">
    <w:name w:val="WW8Num70z7"/>
    <w:uiPriority w:val="99"/>
    <w:rsid w:val="00D76CBC"/>
  </w:style>
  <w:style w:type="character" w:customStyle="1" w:styleId="WW8Num70z8">
    <w:name w:val="WW8Num70z8"/>
    <w:uiPriority w:val="99"/>
    <w:rsid w:val="00D76CBC"/>
  </w:style>
  <w:style w:type="character" w:customStyle="1" w:styleId="WW8Num71z0">
    <w:name w:val="WW8Num71z0"/>
    <w:uiPriority w:val="99"/>
    <w:rsid w:val="00D76CBC"/>
  </w:style>
  <w:style w:type="character" w:customStyle="1" w:styleId="WW8Num71z1">
    <w:name w:val="WW8Num71z1"/>
    <w:uiPriority w:val="99"/>
    <w:rsid w:val="00D76CBC"/>
  </w:style>
  <w:style w:type="character" w:customStyle="1" w:styleId="WW8Num71z2">
    <w:name w:val="WW8Num71z2"/>
    <w:rsid w:val="00D76CBC"/>
  </w:style>
  <w:style w:type="character" w:customStyle="1" w:styleId="WW8Num71z3">
    <w:name w:val="WW8Num71z3"/>
    <w:uiPriority w:val="99"/>
    <w:rsid w:val="00D76CBC"/>
  </w:style>
  <w:style w:type="character" w:customStyle="1" w:styleId="WW8Num71z4">
    <w:name w:val="WW8Num71z4"/>
    <w:rsid w:val="00D76CBC"/>
  </w:style>
  <w:style w:type="character" w:customStyle="1" w:styleId="WW8Num71z5">
    <w:name w:val="WW8Num71z5"/>
    <w:rsid w:val="00D76CBC"/>
  </w:style>
  <w:style w:type="character" w:customStyle="1" w:styleId="WW8Num71z6">
    <w:name w:val="WW8Num71z6"/>
    <w:rsid w:val="00D76CBC"/>
  </w:style>
  <w:style w:type="character" w:customStyle="1" w:styleId="WW8Num71z7">
    <w:name w:val="WW8Num71z7"/>
    <w:rsid w:val="00D76CBC"/>
  </w:style>
  <w:style w:type="character" w:customStyle="1" w:styleId="WW8Num71z8">
    <w:name w:val="WW8Num71z8"/>
    <w:rsid w:val="00D76CBC"/>
  </w:style>
  <w:style w:type="character" w:customStyle="1" w:styleId="WW8Num72z0">
    <w:name w:val="WW8Num72z0"/>
    <w:uiPriority w:val="99"/>
    <w:rsid w:val="00D76CBC"/>
  </w:style>
  <w:style w:type="character" w:customStyle="1" w:styleId="WW8Num72z1">
    <w:name w:val="WW8Num72z1"/>
    <w:uiPriority w:val="99"/>
    <w:rsid w:val="00D76CBC"/>
  </w:style>
  <w:style w:type="character" w:customStyle="1" w:styleId="WW8Num72z2">
    <w:name w:val="WW8Num72z2"/>
    <w:uiPriority w:val="99"/>
    <w:rsid w:val="00D76CBC"/>
  </w:style>
  <w:style w:type="character" w:customStyle="1" w:styleId="WW8Num72z3">
    <w:name w:val="WW8Num72z3"/>
    <w:uiPriority w:val="99"/>
    <w:rsid w:val="00D76CBC"/>
  </w:style>
  <w:style w:type="character" w:customStyle="1" w:styleId="WW8Num72z4">
    <w:name w:val="WW8Num72z4"/>
    <w:rsid w:val="00D76CBC"/>
  </w:style>
  <w:style w:type="character" w:customStyle="1" w:styleId="WW8Num72z5">
    <w:name w:val="WW8Num72z5"/>
    <w:rsid w:val="00D76CBC"/>
  </w:style>
  <w:style w:type="character" w:customStyle="1" w:styleId="WW8Num72z6">
    <w:name w:val="WW8Num72z6"/>
    <w:rsid w:val="00D76CBC"/>
  </w:style>
  <w:style w:type="character" w:customStyle="1" w:styleId="WW8Num72z7">
    <w:name w:val="WW8Num72z7"/>
    <w:rsid w:val="00D76CBC"/>
  </w:style>
  <w:style w:type="character" w:customStyle="1" w:styleId="WW8Num72z8">
    <w:name w:val="WW8Num72z8"/>
    <w:rsid w:val="00D76CBC"/>
  </w:style>
  <w:style w:type="character" w:customStyle="1" w:styleId="WW8Num73z0">
    <w:name w:val="WW8Num73z0"/>
    <w:uiPriority w:val="99"/>
    <w:rsid w:val="00D76CBC"/>
  </w:style>
  <w:style w:type="character" w:customStyle="1" w:styleId="WW8Num73z1">
    <w:name w:val="WW8Num73z1"/>
    <w:uiPriority w:val="99"/>
    <w:rsid w:val="00D76CBC"/>
  </w:style>
  <w:style w:type="character" w:customStyle="1" w:styleId="WW8Num73z2">
    <w:name w:val="WW8Num73z2"/>
    <w:uiPriority w:val="99"/>
    <w:rsid w:val="00D76CBC"/>
  </w:style>
  <w:style w:type="character" w:customStyle="1" w:styleId="WW8Num73z3">
    <w:name w:val="WW8Num73z3"/>
    <w:uiPriority w:val="99"/>
    <w:rsid w:val="00D76CBC"/>
  </w:style>
  <w:style w:type="character" w:customStyle="1" w:styleId="WW8Num73z4">
    <w:name w:val="WW8Num73z4"/>
    <w:uiPriority w:val="99"/>
    <w:rsid w:val="00D76CBC"/>
  </w:style>
  <w:style w:type="character" w:customStyle="1" w:styleId="WW8Num73z5">
    <w:name w:val="WW8Num73z5"/>
    <w:uiPriority w:val="99"/>
    <w:rsid w:val="00D76CBC"/>
  </w:style>
  <w:style w:type="character" w:customStyle="1" w:styleId="WW8Num73z6">
    <w:name w:val="WW8Num73z6"/>
    <w:uiPriority w:val="99"/>
    <w:rsid w:val="00D76CBC"/>
  </w:style>
  <w:style w:type="character" w:customStyle="1" w:styleId="WW8Num73z7">
    <w:name w:val="WW8Num73z7"/>
    <w:uiPriority w:val="99"/>
    <w:rsid w:val="00D76CBC"/>
  </w:style>
  <w:style w:type="character" w:customStyle="1" w:styleId="WW8Num73z8">
    <w:name w:val="WW8Num73z8"/>
    <w:uiPriority w:val="99"/>
    <w:rsid w:val="00D76CBC"/>
  </w:style>
  <w:style w:type="character" w:customStyle="1" w:styleId="WW8Num74z0">
    <w:name w:val="WW8Num74z0"/>
    <w:uiPriority w:val="99"/>
    <w:rsid w:val="00D76CBC"/>
  </w:style>
  <w:style w:type="character" w:customStyle="1" w:styleId="WW8Num74z1">
    <w:name w:val="WW8Num74z1"/>
    <w:uiPriority w:val="99"/>
    <w:rsid w:val="00D76CBC"/>
  </w:style>
  <w:style w:type="character" w:customStyle="1" w:styleId="WW8Num74z2">
    <w:name w:val="WW8Num74z2"/>
    <w:uiPriority w:val="99"/>
    <w:rsid w:val="00D76CBC"/>
  </w:style>
  <w:style w:type="character" w:customStyle="1" w:styleId="WW8Num74z3">
    <w:name w:val="WW8Num74z3"/>
    <w:uiPriority w:val="99"/>
    <w:rsid w:val="00D76CBC"/>
  </w:style>
  <w:style w:type="character" w:customStyle="1" w:styleId="WW8Num74z4">
    <w:name w:val="WW8Num74z4"/>
    <w:uiPriority w:val="99"/>
    <w:rsid w:val="00D76CBC"/>
  </w:style>
  <w:style w:type="character" w:customStyle="1" w:styleId="WW8Num74z5">
    <w:name w:val="WW8Num74z5"/>
    <w:uiPriority w:val="99"/>
    <w:rsid w:val="00D76CBC"/>
  </w:style>
  <w:style w:type="character" w:customStyle="1" w:styleId="WW8Num74z6">
    <w:name w:val="WW8Num74z6"/>
    <w:uiPriority w:val="99"/>
    <w:rsid w:val="00D76CBC"/>
  </w:style>
  <w:style w:type="character" w:customStyle="1" w:styleId="WW8Num74z7">
    <w:name w:val="WW8Num74z7"/>
    <w:uiPriority w:val="99"/>
    <w:rsid w:val="00D76CBC"/>
  </w:style>
  <w:style w:type="character" w:customStyle="1" w:styleId="WW8Num74z8">
    <w:name w:val="WW8Num74z8"/>
    <w:uiPriority w:val="99"/>
    <w:rsid w:val="00D76CBC"/>
  </w:style>
  <w:style w:type="character" w:customStyle="1" w:styleId="WW8Num75z0">
    <w:name w:val="WW8Num75z0"/>
    <w:uiPriority w:val="99"/>
    <w:rsid w:val="00D76CBC"/>
    <w:rPr>
      <w:rFonts w:ascii="Wingdings" w:hAnsi="Wingdings" w:cs="Wingdings" w:hint="default"/>
    </w:rPr>
  </w:style>
  <w:style w:type="character" w:customStyle="1" w:styleId="WW8Num75z1">
    <w:name w:val="WW8Num75z1"/>
    <w:uiPriority w:val="99"/>
    <w:rsid w:val="00D76CBC"/>
    <w:rPr>
      <w:rFonts w:ascii="Courier New" w:hAnsi="Courier New" w:cs="Courier New" w:hint="default"/>
    </w:rPr>
  </w:style>
  <w:style w:type="character" w:customStyle="1" w:styleId="WW8Num75z3">
    <w:name w:val="WW8Num75z3"/>
    <w:rsid w:val="00D76CBC"/>
    <w:rPr>
      <w:rFonts w:ascii="Symbol" w:hAnsi="Symbol" w:cs="Symbol" w:hint="default"/>
    </w:rPr>
  </w:style>
  <w:style w:type="character" w:customStyle="1" w:styleId="WW8Num76z0">
    <w:name w:val="WW8Num76z0"/>
    <w:uiPriority w:val="99"/>
    <w:rsid w:val="00D76CBC"/>
  </w:style>
  <w:style w:type="character" w:customStyle="1" w:styleId="WW8Num76z1">
    <w:name w:val="WW8Num76z1"/>
    <w:uiPriority w:val="99"/>
    <w:rsid w:val="00D76CBC"/>
  </w:style>
  <w:style w:type="character" w:customStyle="1" w:styleId="WW8Num76z2">
    <w:name w:val="WW8Num76z2"/>
    <w:uiPriority w:val="99"/>
    <w:rsid w:val="00D76CBC"/>
  </w:style>
  <w:style w:type="character" w:customStyle="1" w:styleId="WW8Num76z3">
    <w:name w:val="WW8Num76z3"/>
    <w:rsid w:val="00D76CBC"/>
  </w:style>
  <w:style w:type="character" w:customStyle="1" w:styleId="WW8Num76z4">
    <w:name w:val="WW8Num76z4"/>
    <w:rsid w:val="00D76CBC"/>
  </w:style>
  <w:style w:type="character" w:customStyle="1" w:styleId="WW8Num76z5">
    <w:name w:val="WW8Num76z5"/>
    <w:rsid w:val="00D76CBC"/>
  </w:style>
  <w:style w:type="character" w:customStyle="1" w:styleId="WW8Num76z6">
    <w:name w:val="WW8Num76z6"/>
    <w:rsid w:val="00D76CBC"/>
  </w:style>
  <w:style w:type="character" w:customStyle="1" w:styleId="WW8Num76z7">
    <w:name w:val="WW8Num76z7"/>
    <w:rsid w:val="00D76CBC"/>
  </w:style>
  <w:style w:type="character" w:customStyle="1" w:styleId="WW8Num76z8">
    <w:name w:val="WW8Num76z8"/>
    <w:rsid w:val="00D76CBC"/>
  </w:style>
  <w:style w:type="character" w:customStyle="1" w:styleId="WW8NumSt1z1">
    <w:name w:val="WW8NumSt1z1"/>
    <w:rsid w:val="00D76CBC"/>
    <w:rPr>
      <w:rFonts w:ascii="Symbol" w:hAnsi="Symbol" w:cs="Symbol"/>
      <w:sz w:val="24"/>
      <w:szCs w:val="24"/>
    </w:rPr>
  </w:style>
  <w:style w:type="character" w:customStyle="1" w:styleId="Hipervnculo1">
    <w:name w:val="Hipervínculo1"/>
    <w:uiPriority w:val="99"/>
    <w:qFormat/>
    <w:rsid w:val="00D76CBC"/>
    <w:rPr>
      <w:rFonts w:cs="Arial"/>
      <w:color w:val="0000FF"/>
      <w:u w:val="single"/>
      <w:shd w:val="clear" w:color="auto" w:fill="FFFFFF"/>
    </w:rPr>
  </w:style>
  <w:style w:type="character" w:customStyle="1" w:styleId="WW-Destacado">
    <w:name w:val="WW-Destacado"/>
    <w:rsid w:val="00D76CBC"/>
    <w:rPr>
      <w:rFonts w:ascii="Symbol" w:hAnsi="Symbol" w:cs="Symbol"/>
      <w:i/>
      <w:iCs/>
    </w:rPr>
  </w:style>
  <w:style w:type="paragraph" w:customStyle="1" w:styleId="Cabeceraypie">
    <w:name w:val="Cabecera y pie"/>
    <w:basedOn w:val="Normal"/>
    <w:uiPriority w:val="99"/>
    <w:qFormat/>
    <w:rsid w:val="00D76CBC"/>
    <w:pPr>
      <w:suppressLineNumbers/>
      <w:tabs>
        <w:tab w:val="center" w:pos="4986"/>
        <w:tab w:val="right" w:pos="9972"/>
      </w:tabs>
    </w:pPr>
    <w:rPr>
      <w:rFonts w:ascii="Century Schoolbook" w:hAnsi="Century Schoolbook" w:cs="Century Schoolbook"/>
      <w:i/>
      <w:szCs w:val="20"/>
      <w:lang w:val="es-CR" w:eastAsia="zh-CN"/>
    </w:rPr>
  </w:style>
  <w:style w:type="paragraph" w:customStyle="1" w:styleId="Sangra3detindependiente3">
    <w:name w:val="Sangría 3 de t. independiente3"/>
    <w:basedOn w:val="Normal"/>
    <w:uiPriority w:val="99"/>
    <w:rsid w:val="00D76CBC"/>
    <w:pPr>
      <w:ind w:left="-70"/>
      <w:jc w:val="both"/>
    </w:pPr>
    <w:rPr>
      <w:rFonts w:ascii="Tahoma" w:hAnsi="Tahoma" w:cs="Tahoma"/>
      <w:iCs/>
      <w:szCs w:val="20"/>
      <w:lang w:val="es-CR" w:eastAsia="zh-CN"/>
    </w:rPr>
  </w:style>
  <w:style w:type="paragraph" w:customStyle="1" w:styleId="WW-Cuerpodetexto1">
    <w:name w:val="WW-Cuerpo de texto1"/>
    <w:uiPriority w:val="99"/>
    <w:rsid w:val="00D76CBC"/>
    <w:pPr>
      <w:suppressAutoHyphens/>
      <w:autoSpaceDE w:val="0"/>
      <w:spacing w:after="120"/>
    </w:pPr>
    <w:rPr>
      <w:rFonts w:ascii="Arial" w:hAnsi="Arial" w:cs="Arial"/>
      <w:sz w:val="24"/>
      <w:szCs w:val="24"/>
      <w:lang w:val="es-CR" w:eastAsia="zh-CN"/>
    </w:rPr>
  </w:style>
  <w:style w:type="character" w:customStyle="1" w:styleId="FechaCar1">
    <w:name w:val="Fecha Car1"/>
    <w:uiPriority w:val="99"/>
    <w:rsid w:val="00D76CBC"/>
    <w:rPr>
      <w:rFonts w:ascii="Century Schoolbook" w:hAnsi="Century Schoolbook" w:cs="Century Schoolbook"/>
      <w:i/>
      <w:sz w:val="24"/>
      <w:lang w:eastAsia="zh-CN"/>
    </w:rPr>
  </w:style>
  <w:style w:type="table" w:customStyle="1" w:styleId="Tablanormal41">
    <w:name w:val="Tabla normal 41"/>
    <w:basedOn w:val="Tablanormal"/>
    <w:next w:val="Tablanormal4"/>
    <w:uiPriority w:val="44"/>
    <w:rsid w:val="00D76CBC"/>
    <w:pPr>
      <w:ind w:left="567"/>
    </w:pPr>
    <w:rPr>
      <w:rFonts w:ascii="Calibri" w:eastAsia="Calibri" w:hAnsi="Calibri"/>
      <w:sz w:val="24"/>
      <w:szCs w:val="24"/>
      <w:lang w:val="es-ES_tradnl"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o-nfasis21">
    <w:name w:val="Tabla con cuadrícula 1 Claro - Énfasis 21"/>
    <w:basedOn w:val="Tablanormal"/>
    <w:next w:val="Tablaconcuadrcula1Claro-nfasis2"/>
    <w:uiPriority w:val="46"/>
    <w:rsid w:val="00D76CBC"/>
    <w:pPr>
      <w:ind w:left="567"/>
    </w:pPr>
    <w:rPr>
      <w:rFonts w:ascii="Calibri" w:eastAsia="Calibri" w:hAnsi="Calibri"/>
      <w:sz w:val="24"/>
      <w:szCs w:val="24"/>
      <w:lang w:val="es-ES_tradnl" w:eastAsia="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aconcuadrcula6concolores-nfasis21">
    <w:name w:val="Tabla con cuadrícula 6 con colores - Énfasis 21"/>
    <w:basedOn w:val="Tablanormal"/>
    <w:next w:val="Tablaconcuadrcula6concolores-nfasis2"/>
    <w:uiPriority w:val="51"/>
    <w:rsid w:val="00D76CBC"/>
    <w:pPr>
      <w:ind w:left="567"/>
    </w:pPr>
    <w:rPr>
      <w:rFonts w:ascii="Calibri" w:eastAsia="Calibri" w:hAnsi="Calibri"/>
      <w:color w:val="C45911"/>
      <w:sz w:val="24"/>
      <w:szCs w:val="24"/>
      <w:lang w:val="es-ES_tradnl"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5oscura-nfasis21">
    <w:name w:val="Tabla con cuadrícula 5 oscura - Énfasis 21"/>
    <w:basedOn w:val="Tablanormal"/>
    <w:next w:val="Tablaconcuadrcula5oscura-nfasis2"/>
    <w:uiPriority w:val="50"/>
    <w:rsid w:val="00D76CBC"/>
    <w:pPr>
      <w:ind w:left="567"/>
    </w:pPr>
    <w:rPr>
      <w:rFonts w:ascii="Calibri" w:eastAsia="Calibri" w:hAnsi="Calibri"/>
      <w:sz w:val="24"/>
      <w:szCs w:val="24"/>
      <w:lang w:val="es-ES_tradnl"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adelista2-nfasis61">
    <w:name w:val="Tabla de lista 2 - Énfasis 61"/>
    <w:basedOn w:val="Tablanormal"/>
    <w:next w:val="Tabladelista2-nfasis6"/>
    <w:uiPriority w:val="47"/>
    <w:rsid w:val="00D76CBC"/>
    <w:pPr>
      <w:ind w:left="567"/>
    </w:pPr>
    <w:rPr>
      <w:rFonts w:ascii="Calibri" w:eastAsia="Calibri" w:hAnsi="Calibri"/>
      <w:sz w:val="24"/>
      <w:szCs w:val="24"/>
      <w:lang w:val="es-ES_tradnl" w:eastAsia="en-US"/>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clara-nfasis61">
    <w:name w:val="Tabla con cuadrícula 1 clara - Énfasis 61"/>
    <w:basedOn w:val="Tablanormal"/>
    <w:next w:val="Tablaconcuadrcula1clara-nfasis6"/>
    <w:uiPriority w:val="46"/>
    <w:rsid w:val="00D76CBC"/>
    <w:pPr>
      <w:ind w:left="567"/>
    </w:pPr>
    <w:rPr>
      <w:rFonts w:ascii="Calibri" w:eastAsia="Calibri" w:hAnsi="Calibr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paragraph" w:customStyle="1" w:styleId="yiv5838832968ydp40e23aa4encabezadodela">
    <w:name w:val="yiv5838832968ydp40e23aa4encabezadodela"/>
    <w:basedOn w:val="Normal"/>
    <w:rsid w:val="00D76CBC"/>
    <w:pPr>
      <w:suppressAutoHyphens w:val="0"/>
      <w:spacing w:before="100" w:beforeAutospacing="1" w:after="100" w:afterAutospacing="1"/>
    </w:pPr>
    <w:rPr>
      <w:lang w:eastAsia="es-ES"/>
    </w:rPr>
  </w:style>
  <w:style w:type="paragraph" w:customStyle="1" w:styleId="ydp5a53a1fdyiv9367547119xmsonormal">
    <w:name w:val="ydp5a53a1fdyiv9367547119x_msonormal"/>
    <w:basedOn w:val="Normal"/>
    <w:rsid w:val="00D76CBC"/>
    <w:pPr>
      <w:suppressAutoHyphens w:val="0"/>
      <w:spacing w:before="100" w:beforeAutospacing="1" w:after="100" w:afterAutospacing="1"/>
    </w:pPr>
    <w:rPr>
      <w:rFonts w:eastAsia="Calibri"/>
      <w:lang w:val="es-CR" w:eastAsia="es-CR"/>
    </w:rPr>
  </w:style>
  <w:style w:type="paragraph" w:customStyle="1" w:styleId="EstiloPLA">
    <w:name w:val="Estilo PLA"/>
    <w:basedOn w:val="AAgestin"/>
    <w:link w:val="EstiloPLACar"/>
    <w:qFormat/>
    <w:rsid w:val="00D76CBC"/>
    <w:rPr>
      <w:b/>
      <w:bCs/>
      <w:u w:val="single"/>
    </w:rPr>
  </w:style>
  <w:style w:type="character" w:customStyle="1" w:styleId="EstiloPLACar">
    <w:name w:val="Estilo PLA Car"/>
    <w:basedOn w:val="AAgestinCar"/>
    <w:link w:val="EstiloPLA"/>
    <w:rsid w:val="00D76CBC"/>
    <w:rPr>
      <w:b/>
      <w:bCs/>
      <w:color w:val="000099"/>
      <w:sz w:val="26"/>
      <w:szCs w:val="26"/>
      <w:u w:val="single"/>
      <w:lang w:val="es-ES_tradnl" w:eastAsia="ar-SA"/>
    </w:rPr>
  </w:style>
  <w:style w:type="paragraph" w:customStyle="1" w:styleId="Prrafodelista1000">
    <w:name w:val="Párrafo de lista100"/>
    <w:basedOn w:val="Normal"/>
    <w:uiPriority w:val="34"/>
    <w:qFormat/>
    <w:rsid w:val="00D76CBC"/>
    <w:pPr>
      <w:suppressAutoHyphens w:val="0"/>
      <w:spacing w:after="200" w:line="360" w:lineRule="auto"/>
      <w:ind w:left="720"/>
      <w:contextualSpacing/>
      <w:jc w:val="both"/>
    </w:pPr>
    <w:rPr>
      <w:rFonts w:ascii="Book Antiqua" w:eastAsia="Calibri" w:hAnsi="Book Antiqua" w:cs="Arial"/>
      <w:szCs w:val="22"/>
      <w:lang w:val="es-CR" w:eastAsia="en-US"/>
    </w:rPr>
  </w:style>
  <w:style w:type="table" w:customStyle="1" w:styleId="TableGrid0">
    <w:name w:val="Table Grid0"/>
    <w:rsid w:val="00D76CBC"/>
    <w:rPr>
      <w:rFonts w:ascii="Calibri" w:hAnsi="Calibri"/>
      <w:sz w:val="22"/>
      <w:szCs w:val="22"/>
      <w:lang w:val="es-ES_tradnl" w:eastAsia="en-US"/>
    </w:rPr>
    <w:tblPr>
      <w:tblCellMar>
        <w:top w:w="0" w:type="dxa"/>
        <w:left w:w="0" w:type="dxa"/>
        <w:bottom w:w="0" w:type="dxa"/>
        <w:right w:w="0" w:type="dxa"/>
      </w:tblCellMar>
    </w:tblPr>
  </w:style>
  <w:style w:type="table" w:customStyle="1" w:styleId="NormalTable0">
    <w:name w:val="Normal Table0"/>
    <w:uiPriority w:val="2"/>
    <w:semiHidden/>
    <w:qFormat/>
    <w:rsid w:val="00D76CBC"/>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Sinlista42">
    <w:name w:val="Sin lista42"/>
    <w:next w:val="Sinlista"/>
    <w:uiPriority w:val="99"/>
    <w:semiHidden/>
    <w:rsid w:val="00D76CBC"/>
  </w:style>
  <w:style w:type="table" w:customStyle="1" w:styleId="Tablaconcuadrcula28">
    <w:name w:val="Tabla con cuadrícula28"/>
    <w:basedOn w:val="Tablanormal"/>
    <w:next w:val="Tablaconcuadrcula"/>
    <w:rsid w:val="00D76CBC"/>
    <w:rPr>
      <w:rFonts w:ascii="Liberation Serif" w:eastAsia="SimSun" w:hAnsi="Liberation Serif" w:cs="Lucida Sans"/>
      <w:szCs w:val="24"/>
      <w:lang w:val="es-CR"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1">
    <w:name w:val="Sin lista131"/>
    <w:next w:val="Sinlista"/>
    <w:uiPriority w:val="99"/>
    <w:semiHidden/>
    <w:unhideWhenUsed/>
    <w:rsid w:val="00D76CBC"/>
  </w:style>
  <w:style w:type="table" w:customStyle="1" w:styleId="Tablaconcuadrcula117">
    <w:name w:val="Tabla con cuadrícula117"/>
    <w:basedOn w:val="Tablanormal"/>
    <w:next w:val="Tablaconcuadrcula"/>
    <w:uiPriority w:val="39"/>
    <w:rsid w:val="00D76CB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1">
    <w:name w:val="Sin lista221"/>
    <w:next w:val="Sinlista"/>
    <w:semiHidden/>
    <w:rsid w:val="00D76CBC"/>
  </w:style>
  <w:style w:type="table" w:customStyle="1" w:styleId="Tablaelegante11">
    <w:name w:val="Tabla elegante11"/>
    <w:basedOn w:val="Tablanormal"/>
    <w:next w:val="Tablaelegante"/>
    <w:rsid w:val="00D76CBC"/>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1">
    <w:name w:val="Tabla moderna11"/>
    <w:basedOn w:val="Tablanormal"/>
    <w:next w:val="Tablamoderna"/>
    <w:rsid w:val="00D76CBC"/>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decuadrcula5oscura-nfasis51">
    <w:name w:val="Tabla de cuadrícula 5 oscura - Énfasis 51"/>
    <w:basedOn w:val="Tablanormal"/>
    <w:next w:val="Tablaconcuadrcula5oscura-nfasis5"/>
    <w:uiPriority w:val="50"/>
    <w:rsid w:val="00D76CBC"/>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1">
    <w:name w:val="Tabla de lista 3 - Énfasis 11"/>
    <w:basedOn w:val="Tablanormal"/>
    <w:next w:val="Tabladelista3-nfasis1"/>
    <w:uiPriority w:val="48"/>
    <w:rsid w:val="00D76CBC"/>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cuadrcula5oscura-nfasis11">
    <w:name w:val="Tabla de cuadrícula 5 oscura - Énfasis 11"/>
    <w:basedOn w:val="Tablanormal"/>
    <w:next w:val="Tablaconcuadrcula5oscura-nfasis1"/>
    <w:uiPriority w:val="50"/>
    <w:rsid w:val="00D76CBC"/>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4-nfasis11">
    <w:name w:val="Tabla de cuadrícula 4 - Énfasis 11"/>
    <w:basedOn w:val="Tablanormal"/>
    <w:next w:val="Tablaconcuadrcula4-nfasis1"/>
    <w:uiPriority w:val="49"/>
    <w:rsid w:val="00D76CBC"/>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51">
    <w:name w:val="Tabla de cuadrícula 4 - Énfasis 51"/>
    <w:basedOn w:val="Tablanormal"/>
    <w:next w:val="Tablaconcuadrcula4-nfasis5"/>
    <w:uiPriority w:val="49"/>
    <w:rsid w:val="00D76CBC"/>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1">
    <w:name w:val="TableGrid1"/>
    <w:rsid w:val="00D76CBC"/>
    <w:rPr>
      <w:rFonts w:ascii="Calibri" w:hAnsi="Calibri"/>
      <w:sz w:val="22"/>
      <w:szCs w:val="22"/>
      <w:lang w:val="es-CR" w:eastAsia="es-CR"/>
    </w:rPr>
    <w:tblPr>
      <w:tblCellMar>
        <w:top w:w="0" w:type="dxa"/>
        <w:left w:w="0" w:type="dxa"/>
        <w:bottom w:w="0" w:type="dxa"/>
        <w:right w:w="0" w:type="dxa"/>
      </w:tblCellMar>
    </w:tblPr>
  </w:style>
  <w:style w:type="table" w:customStyle="1" w:styleId="Tablaconcuadrcula5oscura-nfasis51">
    <w:name w:val="Tabla con cuadrícula 5 oscura - Énfasis 51"/>
    <w:basedOn w:val="Tablanormal"/>
    <w:next w:val="Tablaconcuadrcula5oscura-nfasis5"/>
    <w:uiPriority w:val="50"/>
    <w:rsid w:val="00D76CBC"/>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5oscura-nfasis11">
    <w:name w:val="Tabla con cuadrícula 5 oscura - Énfasis 11"/>
    <w:basedOn w:val="Tablanormal"/>
    <w:next w:val="Tablaconcuadrcula5oscura-nfasis1"/>
    <w:uiPriority w:val="50"/>
    <w:rsid w:val="00D76CBC"/>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concuadrcula4-nfasis51">
    <w:name w:val="Tabla con cuadrícula 4 - Énfasis 51"/>
    <w:basedOn w:val="Tablanormal"/>
    <w:next w:val="Tablaconcuadrcula4-nfasis5"/>
    <w:uiPriority w:val="49"/>
    <w:rsid w:val="00D76CBC"/>
    <w:rPr>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6concolores-nfasis13">
    <w:name w:val="Tabla con cuadrícula 6 con colores - Énfasis 13"/>
    <w:basedOn w:val="Tablanormal"/>
    <w:next w:val="Tablaconcuadrcula6concolores-nfasis1"/>
    <w:uiPriority w:val="51"/>
    <w:rsid w:val="00D76CBC"/>
    <w:rPr>
      <w:color w:val="2F5496"/>
      <w:lang w:val="es-CR" w:eastAsia="es-C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clara1">
    <w:name w:val="Tabla con cuadrícula 1 clara1"/>
    <w:basedOn w:val="Tablanormal"/>
    <w:next w:val="Tablaconcuadrcula1clara"/>
    <w:uiPriority w:val="46"/>
    <w:rsid w:val="00D76CBC"/>
    <w:rPr>
      <w:lang w:val="es-CR" w:eastAsia="es-C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Cuadrculadetablaclara1">
    <w:name w:val="Cuadrícula de tabla clara1"/>
    <w:basedOn w:val="Tablanormal"/>
    <w:uiPriority w:val="40"/>
    <w:rsid w:val="00D76CBC"/>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TtuloTDC1">
    <w:name w:val="Título TDC1"/>
    <w:basedOn w:val="Normal"/>
    <w:uiPriority w:val="39"/>
    <w:qFormat/>
    <w:rsid w:val="00D76CBC"/>
    <w:pPr>
      <w:keepNext/>
      <w:suppressAutoHyphens w:val="0"/>
      <w:spacing w:before="480" w:line="276" w:lineRule="auto"/>
    </w:pPr>
    <w:rPr>
      <w:rFonts w:ascii="Calibri Light" w:eastAsia="Calibri" w:hAnsi="Calibri Light" w:cs="Calibri Light"/>
      <w:b/>
      <w:bCs/>
      <w:color w:val="2F5496"/>
      <w:sz w:val="28"/>
      <w:szCs w:val="28"/>
      <w:lang w:val="es-MX" w:eastAsia="en-US"/>
    </w:rPr>
  </w:style>
  <w:style w:type="character" w:customStyle="1" w:styleId="estilocorreo897">
    <w:name w:val="estilocorreo897"/>
    <w:basedOn w:val="Fuentedeprrafopredeter"/>
    <w:semiHidden/>
    <w:rsid w:val="00D76CBC"/>
    <w:rPr>
      <w:rFonts w:ascii="Calibri" w:hAnsi="Calibri" w:cs="Calibri" w:hint="default"/>
      <w:color w:val="auto"/>
    </w:rPr>
  </w:style>
  <w:style w:type="character" w:customStyle="1" w:styleId="estilocorreo2497">
    <w:name w:val="estilocorreo2497"/>
    <w:basedOn w:val="Fuentedeprrafopredeter"/>
    <w:semiHidden/>
    <w:rsid w:val="00D76CBC"/>
    <w:rPr>
      <w:rFonts w:ascii="Calibri" w:hAnsi="Calibri" w:cs="Calibri" w:hint="default"/>
      <w:color w:val="1F497D"/>
    </w:rPr>
  </w:style>
  <w:style w:type="character" w:customStyle="1" w:styleId="estilocorreo2498">
    <w:name w:val="estilocorreo2498"/>
    <w:basedOn w:val="Fuentedeprrafopredeter"/>
    <w:semiHidden/>
    <w:rsid w:val="00D76CBC"/>
    <w:rPr>
      <w:rFonts w:ascii="Calibri" w:hAnsi="Calibri" w:cs="Calibri" w:hint="default"/>
      <w:color w:val="auto"/>
    </w:rPr>
  </w:style>
  <w:style w:type="numbering" w:customStyle="1" w:styleId="Sinlista51">
    <w:name w:val="Sin lista51"/>
    <w:next w:val="Sinlista"/>
    <w:uiPriority w:val="99"/>
    <w:semiHidden/>
    <w:unhideWhenUsed/>
    <w:rsid w:val="00D76CBC"/>
  </w:style>
  <w:style w:type="numbering" w:customStyle="1" w:styleId="Sinlista141">
    <w:name w:val="Sin lista141"/>
    <w:next w:val="Sinlista"/>
    <w:uiPriority w:val="99"/>
    <w:semiHidden/>
    <w:unhideWhenUsed/>
    <w:rsid w:val="00D76CBC"/>
  </w:style>
  <w:style w:type="numbering" w:customStyle="1" w:styleId="Sinlista1121">
    <w:name w:val="Sin lista1121"/>
    <w:next w:val="Sinlista"/>
    <w:uiPriority w:val="99"/>
    <w:semiHidden/>
    <w:unhideWhenUsed/>
    <w:rsid w:val="00D76CBC"/>
  </w:style>
  <w:style w:type="numbering" w:customStyle="1" w:styleId="Sinlista231">
    <w:name w:val="Sin lista231"/>
    <w:next w:val="Sinlista"/>
    <w:semiHidden/>
    <w:rsid w:val="00D76CBC"/>
  </w:style>
  <w:style w:type="numbering" w:customStyle="1" w:styleId="Sinlista321">
    <w:name w:val="Sin lista321"/>
    <w:next w:val="Sinlista"/>
    <w:uiPriority w:val="99"/>
    <w:semiHidden/>
    <w:unhideWhenUsed/>
    <w:rsid w:val="00D76CBC"/>
  </w:style>
  <w:style w:type="numbering" w:customStyle="1" w:styleId="Sinlista11121">
    <w:name w:val="Sin lista11121"/>
    <w:next w:val="Sinlista"/>
    <w:uiPriority w:val="99"/>
    <w:semiHidden/>
    <w:unhideWhenUsed/>
    <w:rsid w:val="00D76CBC"/>
  </w:style>
  <w:style w:type="numbering" w:customStyle="1" w:styleId="Sinlista111121">
    <w:name w:val="Sin lista111121"/>
    <w:next w:val="Sinlista"/>
    <w:uiPriority w:val="99"/>
    <w:semiHidden/>
    <w:unhideWhenUsed/>
    <w:rsid w:val="00D76CBC"/>
  </w:style>
  <w:style w:type="numbering" w:customStyle="1" w:styleId="11111111112">
    <w:name w:val="1.1 / 1.1.1 / 1.1.1.112"/>
    <w:basedOn w:val="Sinlista"/>
    <w:next w:val="111111"/>
    <w:unhideWhenUsed/>
    <w:rsid w:val="00D76CBC"/>
    <w:pPr>
      <w:numPr>
        <w:numId w:val="44"/>
      </w:numPr>
    </w:pPr>
  </w:style>
  <w:style w:type="numbering" w:customStyle="1" w:styleId="Sinlista1211">
    <w:name w:val="Sin lista1211"/>
    <w:next w:val="Sinlista"/>
    <w:uiPriority w:val="99"/>
    <w:semiHidden/>
    <w:unhideWhenUsed/>
    <w:rsid w:val="00D76CBC"/>
  </w:style>
  <w:style w:type="numbering" w:customStyle="1" w:styleId="Sinlista1111121">
    <w:name w:val="Sin lista1111121"/>
    <w:next w:val="Sinlista"/>
    <w:uiPriority w:val="99"/>
    <w:semiHidden/>
    <w:unhideWhenUsed/>
    <w:rsid w:val="00D76CBC"/>
  </w:style>
  <w:style w:type="numbering" w:customStyle="1" w:styleId="Sinlista1111112">
    <w:name w:val="Sin lista1111112"/>
    <w:next w:val="Sinlista"/>
    <w:uiPriority w:val="99"/>
    <w:semiHidden/>
    <w:unhideWhenUsed/>
    <w:rsid w:val="00D76CBC"/>
  </w:style>
  <w:style w:type="numbering" w:customStyle="1" w:styleId="WW8Num2524">
    <w:name w:val="WW8Num2524"/>
    <w:rsid w:val="00D76CBC"/>
  </w:style>
  <w:style w:type="numbering" w:customStyle="1" w:styleId="WW8Num114">
    <w:name w:val="WW8Num114"/>
    <w:qFormat/>
    <w:rsid w:val="00D76CBC"/>
  </w:style>
  <w:style w:type="numbering" w:customStyle="1" w:styleId="WW8Num1524">
    <w:name w:val="WW8Num1524"/>
    <w:rsid w:val="00D76CBC"/>
  </w:style>
  <w:style w:type="numbering" w:customStyle="1" w:styleId="Sinlista2111">
    <w:name w:val="Sin lista2111"/>
    <w:next w:val="Sinlista"/>
    <w:uiPriority w:val="99"/>
    <w:semiHidden/>
    <w:unhideWhenUsed/>
    <w:rsid w:val="00D76CBC"/>
  </w:style>
  <w:style w:type="numbering" w:customStyle="1" w:styleId="WW8Num25211">
    <w:name w:val="WW8Num25211"/>
    <w:rsid w:val="00D76CBC"/>
  </w:style>
  <w:style w:type="numbering" w:customStyle="1" w:styleId="WW8Num11111">
    <w:name w:val="WW8Num11111"/>
    <w:rsid w:val="00D76CBC"/>
  </w:style>
  <w:style w:type="numbering" w:customStyle="1" w:styleId="WW8Num15211">
    <w:name w:val="WW8Num15211"/>
    <w:rsid w:val="00D76CBC"/>
    <w:pPr>
      <w:numPr>
        <w:numId w:val="38"/>
      </w:numPr>
    </w:pPr>
  </w:style>
  <w:style w:type="numbering" w:customStyle="1" w:styleId="WW8Num25221">
    <w:name w:val="WW8Num25221"/>
    <w:rsid w:val="00D76CBC"/>
  </w:style>
  <w:style w:type="numbering" w:customStyle="1" w:styleId="WW8Num15221">
    <w:name w:val="WW8Num15221"/>
    <w:rsid w:val="00D76CBC"/>
  </w:style>
  <w:style w:type="numbering" w:customStyle="1" w:styleId="WW8Num11211">
    <w:name w:val="WW8Num11211"/>
    <w:rsid w:val="00D76CBC"/>
    <w:pPr>
      <w:numPr>
        <w:numId w:val="45"/>
      </w:numPr>
    </w:pPr>
  </w:style>
  <w:style w:type="numbering" w:customStyle="1" w:styleId="Sinlista3111">
    <w:name w:val="Sin lista3111"/>
    <w:next w:val="Sinlista"/>
    <w:uiPriority w:val="99"/>
    <w:semiHidden/>
    <w:unhideWhenUsed/>
    <w:rsid w:val="00D76CBC"/>
  </w:style>
  <w:style w:type="numbering" w:customStyle="1" w:styleId="WW8Num25231">
    <w:name w:val="WW8Num25231"/>
    <w:rsid w:val="00D76CBC"/>
  </w:style>
  <w:style w:type="numbering" w:customStyle="1" w:styleId="WW8Num15231">
    <w:name w:val="WW8Num15231"/>
    <w:rsid w:val="00D76CBC"/>
  </w:style>
  <w:style w:type="numbering" w:customStyle="1" w:styleId="WW8Num1131">
    <w:name w:val="WW8Num1131"/>
    <w:rsid w:val="00D76CBC"/>
  </w:style>
  <w:style w:type="numbering" w:customStyle="1" w:styleId="WW8Num1101">
    <w:name w:val="WW8Num1101"/>
    <w:qFormat/>
    <w:rsid w:val="00D76CBC"/>
  </w:style>
  <w:style w:type="numbering" w:customStyle="1" w:styleId="WW8Num2101">
    <w:name w:val="WW8Num2101"/>
    <w:qFormat/>
    <w:rsid w:val="00D76CBC"/>
  </w:style>
  <w:style w:type="numbering" w:customStyle="1" w:styleId="WW8Num3101">
    <w:name w:val="WW8Num3101"/>
    <w:qFormat/>
    <w:rsid w:val="00D76CBC"/>
  </w:style>
  <w:style w:type="numbering" w:customStyle="1" w:styleId="WW8Num4101">
    <w:name w:val="WW8Num4101"/>
    <w:qFormat/>
    <w:rsid w:val="00D76CBC"/>
  </w:style>
  <w:style w:type="numbering" w:customStyle="1" w:styleId="WW8Num511">
    <w:name w:val="WW8Num511"/>
    <w:qFormat/>
    <w:rsid w:val="00D76CBC"/>
  </w:style>
  <w:style w:type="numbering" w:customStyle="1" w:styleId="WW8Num611">
    <w:name w:val="WW8Num611"/>
    <w:qFormat/>
    <w:rsid w:val="00D76CBC"/>
  </w:style>
  <w:style w:type="numbering" w:customStyle="1" w:styleId="WW8Num711">
    <w:name w:val="WW8Num711"/>
    <w:qFormat/>
    <w:rsid w:val="00D76CBC"/>
  </w:style>
  <w:style w:type="numbering" w:customStyle="1" w:styleId="WW8Num811">
    <w:name w:val="WW8Num811"/>
    <w:qFormat/>
    <w:rsid w:val="00D76CBC"/>
  </w:style>
  <w:style w:type="numbering" w:customStyle="1" w:styleId="WW8Num911">
    <w:name w:val="WW8Num911"/>
    <w:qFormat/>
    <w:rsid w:val="00D76CBC"/>
  </w:style>
  <w:style w:type="numbering" w:customStyle="1" w:styleId="WW8Num1011">
    <w:name w:val="WW8Num1011"/>
    <w:qFormat/>
    <w:rsid w:val="00D76CBC"/>
  </w:style>
  <w:style w:type="numbering" w:customStyle="1" w:styleId="WW8Num1211">
    <w:name w:val="WW8Num1211"/>
    <w:qFormat/>
    <w:rsid w:val="00D76CBC"/>
  </w:style>
  <w:style w:type="numbering" w:customStyle="1" w:styleId="WW8Num1311">
    <w:name w:val="WW8Num1311"/>
    <w:qFormat/>
    <w:rsid w:val="00D76CBC"/>
  </w:style>
  <w:style w:type="numbering" w:customStyle="1" w:styleId="WW8Num1411">
    <w:name w:val="WW8Num1411"/>
    <w:qFormat/>
    <w:rsid w:val="00D76CBC"/>
  </w:style>
  <w:style w:type="numbering" w:customStyle="1" w:styleId="WW8Num1511">
    <w:name w:val="WW8Num1511"/>
    <w:qFormat/>
    <w:rsid w:val="00D76CBC"/>
  </w:style>
  <w:style w:type="numbering" w:customStyle="1" w:styleId="WW8Num1611">
    <w:name w:val="WW8Num1611"/>
    <w:qFormat/>
    <w:rsid w:val="00D76CBC"/>
  </w:style>
  <w:style w:type="numbering" w:customStyle="1" w:styleId="WW8Num1711">
    <w:name w:val="WW8Num1711"/>
    <w:qFormat/>
    <w:rsid w:val="00D76CBC"/>
  </w:style>
  <w:style w:type="numbering" w:customStyle="1" w:styleId="WW8Num1811">
    <w:name w:val="WW8Num1811"/>
    <w:qFormat/>
    <w:rsid w:val="00D76CBC"/>
  </w:style>
  <w:style w:type="numbering" w:customStyle="1" w:styleId="WW8Num1911">
    <w:name w:val="WW8Num1911"/>
    <w:qFormat/>
    <w:rsid w:val="00D76CBC"/>
  </w:style>
  <w:style w:type="numbering" w:customStyle="1" w:styleId="WW8Num2011">
    <w:name w:val="WW8Num2011"/>
    <w:qFormat/>
    <w:rsid w:val="00D76CBC"/>
  </w:style>
  <w:style w:type="numbering" w:customStyle="1" w:styleId="WW8Num2111">
    <w:name w:val="WW8Num2111"/>
    <w:qFormat/>
    <w:rsid w:val="00D76CBC"/>
  </w:style>
  <w:style w:type="numbering" w:customStyle="1" w:styleId="WW8Num2211">
    <w:name w:val="WW8Num2211"/>
    <w:qFormat/>
    <w:rsid w:val="00D76CBC"/>
  </w:style>
  <w:style w:type="numbering" w:customStyle="1" w:styleId="WW8Num2311">
    <w:name w:val="WW8Num2311"/>
    <w:qFormat/>
    <w:rsid w:val="00D76CBC"/>
  </w:style>
  <w:style w:type="numbering" w:customStyle="1" w:styleId="WW8Num2411">
    <w:name w:val="WW8Num2411"/>
    <w:qFormat/>
    <w:rsid w:val="00D76CBC"/>
  </w:style>
  <w:style w:type="numbering" w:customStyle="1" w:styleId="WW8Num2511">
    <w:name w:val="WW8Num2511"/>
    <w:qFormat/>
    <w:rsid w:val="00D76CBC"/>
  </w:style>
  <w:style w:type="numbering" w:customStyle="1" w:styleId="WW8Num2611">
    <w:name w:val="WW8Num2611"/>
    <w:qFormat/>
    <w:rsid w:val="00D76CBC"/>
  </w:style>
  <w:style w:type="numbering" w:customStyle="1" w:styleId="WW8Num2711">
    <w:name w:val="WW8Num2711"/>
    <w:qFormat/>
    <w:rsid w:val="00D76CBC"/>
  </w:style>
  <w:style w:type="numbering" w:customStyle="1" w:styleId="WW8Num2811">
    <w:name w:val="WW8Num2811"/>
    <w:qFormat/>
    <w:rsid w:val="00D76CBC"/>
  </w:style>
  <w:style w:type="numbering" w:customStyle="1" w:styleId="WW8Num2911">
    <w:name w:val="WW8Num2911"/>
    <w:qFormat/>
    <w:rsid w:val="00D76CBC"/>
  </w:style>
  <w:style w:type="numbering" w:customStyle="1" w:styleId="WW8Num3011">
    <w:name w:val="WW8Num3011"/>
    <w:qFormat/>
    <w:rsid w:val="00D76CBC"/>
  </w:style>
  <w:style w:type="numbering" w:customStyle="1" w:styleId="WW8Num3111">
    <w:name w:val="WW8Num3111"/>
    <w:qFormat/>
    <w:rsid w:val="00D76CBC"/>
  </w:style>
  <w:style w:type="numbering" w:customStyle="1" w:styleId="WW8Num3211">
    <w:name w:val="WW8Num3211"/>
    <w:qFormat/>
    <w:rsid w:val="00D76CBC"/>
  </w:style>
  <w:style w:type="numbering" w:customStyle="1" w:styleId="WW8Num3311">
    <w:name w:val="WW8Num3311"/>
    <w:qFormat/>
    <w:rsid w:val="00D76CBC"/>
  </w:style>
  <w:style w:type="numbering" w:customStyle="1" w:styleId="WW8Num3411">
    <w:name w:val="WW8Num3411"/>
    <w:qFormat/>
    <w:rsid w:val="00D76CBC"/>
  </w:style>
  <w:style w:type="numbering" w:customStyle="1" w:styleId="WW8Num3511">
    <w:name w:val="WW8Num3511"/>
    <w:qFormat/>
    <w:rsid w:val="00D76CBC"/>
  </w:style>
  <w:style w:type="numbering" w:customStyle="1" w:styleId="WW8Num3611">
    <w:name w:val="WW8Num3611"/>
    <w:qFormat/>
    <w:rsid w:val="00D76CBC"/>
  </w:style>
  <w:style w:type="numbering" w:customStyle="1" w:styleId="WW8Num3711">
    <w:name w:val="WW8Num3711"/>
    <w:qFormat/>
    <w:rsid w:val="00D76CBC"/>
  </w:style>
  <w:style w:type="numbering" w:customStyle="1" w:styleId="WW8Num3811">
    <w:name w:val="WW8Num3811"/>
    <w:qFormat/>
    <w:rsid w:val="00D76CBC"/>
  </w:style>
  <w:style w:type="numbering" w:customStyle="1" w:styleId="WW8Num3911">
    <w:name w:val="WW8Num3911"/>
    <w:qFormat/>
    <w:rsid w:val="00D76CBC"/>
  </w:style>
  <w:style w:type="numbering" w:customStyle="1" w:styleId="WW8Num4011">
    <w:name w:val="WW8Num4011"/>
    <w:qFormat/>
    <w:rsid w:val="00D76CBC"/>
  </w:style>
  <w:style w:type="numbering" w:customStyle="1" w:styleId="WW8Num4111">
    <w:name w:val="WW8Num4111"/>
    <w:qFormat/>
    <w:rsid w:val="00D76CBC"/>
  </w:style>
  <w:style w:type="numbering" w:customStyle="1" w:styleId="WW8Num4211">
    <w:name w:val="WW8Num4211"/>
    <w:qFormat/>
    <w:rsid w:val="00D76CBC"/>
  </w:style>
  <w:style w:type="numbering" w:customStyle="1" w:styleId="WW8Num4311">
    <w:name w:val="WW8Num4311"/>
    <w:qFormat/>
    <w:rsid w:val="00D76CBC"/>
  </w:style>
  <w:style w:type="numbering" w:customStyle="1" w:styleId="WW8Num4411">
    <w:name w:val="WW8Num4411"/>
    <w:qFormat/>
    <w:rsid w:val="00D76CBC"/>
  </w:style>
  <w:style w:type="numbering" w:customStyle="1" w:styleId="WW8Num4511">
    <w:name w:val="WW8Num4511"/>
    <w:qFormat/>
    <w:rsid w:val="00D76CBC"/>
  </w:style>
  <w:style w:type="numbering" w:customStyle="1" w:styleId="WW8Num4611">
    <w:name w:val="WW8Num4611"/>
    <w:qFormat/>
    <w:rsid w:val="00D76CBC"/>
  </w:style>
  <w:style w:type="numbering" w:customStyle="1" w:styleId="WW8Num4711">
    <w:name w:val="WW8Num4711"/>
    <w:qFormat/>
    <w:rsid w:val="00D76CBC"/>
  </w:style>
  <w:style w:type="numbering" w:customStyle="1" w:styleId="WW8Num4811">
    <w:name w:val="WW8Num4811"/>
    <w:qFormat/>
    <w:rsid w:val="00D76CBC"/>
  </w:style>
  <w:style w:type="numbering" w:customStyle="1" w:styleId="WW8Num4911">
    <w:name w:val="WW8Num4911"/>
    <w:qFormat/>
    <w:rsid w:val="00D76CBC"/>
  </w:style>
  <w:style w:type="paragraph" w:styleId="Descripcin">
    <w:name w:val="caption"/>
    <w:basedOn w:val="Normal"/>
    <w:next w:val="Normal"/>
    <w:link w:val="DescripcinCar"/>
    <w:unhideWhenUsed/>
    <w:qFormat/>
    <w:rsid w:val="00D76CBC"/>
    <w:pPr>
      <w:spacing w:after="200"/>
    </w:pPr>
    <w:rPr>
      <w:i/>
      <w:iCs/>
      <w:color w:val="44546A"/>
      <w:sz w:val="18"/>
      <w:szCs w:val="18"/>
      <w:lang w:val="es-ES_tradnl"/>
    </w:rPr>
  </w:style>
  <w:style w:type="table" w:styleId="Tablaconcuadrcula1clara-nfasis5">
    <w:name w:val="Grid Table 1 Light Accent 5"/>
    <w:basedOn w:val="Tablanormal"/>
    <w:uiPriority w:val="46"/>
    <w:rsid w:val="00D76CBC"/>
    <w:tblPr>
      <w:tblStyleRowBandSize w:val="1"/>
      <w:tblStyleColBandSize w:val="1"/>
      <w:tblBorders>
        <w:top w:val="single" w:sz="4" w:space="0" w:color="B6DDE8" w:themeColor="accent5" w:themeTint="66"/>
        <w:left w:val="single" w:sz="4" w:space="0" w:color="B6DDE8" w:themeColor="accent5" w:themeTint="66"/>
        <w:bottom w:val="single" w:sz="4" w:space="0" w:color="B6DDE8" w:themeColor="accent5" w:themeTint="66"/>
        <w:right w:val="single" w:sz="4" w:space="0" w:color="B6DDE8" w:themeColor="accent5" w:themeTint="66"/>
        <w:insideH w:val="single" w:sz="4" w:space="0" w:color="B6DDE8" w:themeColor="accent5" w:themeTint="66"/>
        <w:insideV w:val="single" w:sz="4" w:space="0" w:color="B6DDE8" w:themeColor="accent5" w:themeTint="66"/>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2" w:space="0" w:color="92CDDC" w:themeColor="accent5" w:themeTint="99"/>
        </w:tcBorders>
      </w:tcPr>
    </w:tblStylePr>
    <w:tblStylePr w:type="firstCol">
      <w:rPr>
        <w:b/>
        <w:bCs/>
      </w:rPr>
    </w:tblStylePr>
    <w:tblStylePr w:type="lastCol">
      <w:rPr>
        <w:b/>
        <w:bCs/>
      </w:rPr>
    </w:tblStylePr>
  </w:style>
  <w:style w:type="table" w:styleId="Tabladelista4-nfasis3">
    <w:name w:val="List Table 4 Accent 3"/>
    <w:basedOn w:val="Tablanormal"/>
    <w:uiPriority w:val="49"/>
    <w:rsid w:val="00D76CBC"/>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Tablaconcuadrcula4-nfasis2">
    <w:name w:val="Grid Table 4 Accent 2"/>
    <w:basedOn w:val="Tablanormal"/>
    <w:uiPriority w:val="49"/>
    <w:rsid w:val="00D76CBC"/>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color w:val="FFFFFF" w:themeColor="background1"/>
      </w:rPr>
      <w:tblPr/>
      <w:tcPr>
        <w:tcBorders>
          <w:top w:val="single" w:sz="4" w:space="0" w:color="C0504D" w:themeColor="accent2"/>
          <w:left w:val="single" w:sz="4" w:space="0" w:color="C0504D" w:themeColor="accent2"/>
          <w:bottom w:val="single" w:sz="4" w:space="0" w:color="C0504D" w:themeColor="accent2"/>
          <w:right w:val="single" w:sz="4" w:space="0" w:color="C0504D" w:themeColor="accent2"/>
          <w:insideH w:val="nil"/>
          <w:insideV w:val="nil"/>
        </w:tcBorders>
        <w:shd w:val="clear" w:color="auto" w:fill="C0504D" w:themeFill="accent2"/>
      </w:tcPr>
    </w:tblStylePr>
    <w:tblStylePr w:type="lastRow">
      <w:rPr>
        <w:b/>
        <w:bCs/>
      </w:rPr>
      <w:tblPr/>
      <w:tcPr>
        <w:tcBorders>
          <w:top w:val="double" w:sz="4" w:space="0" w:color="C0504D" w:themeColor="accent2"/>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delista4-nfasis5">
    <w:name w:val="List Table 4 Accent 5"/>
    <w:basedOn w:val="Tablanormal"/>
    <w:uiPriority w:val="49"/>
    <w:rsid w:val="00D76CBC"/>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tcBorders>
        <w:shd w:val="clear" w:color="auto" w:fill="4BACC6" w:themeFill="accent5"/>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normal4">
    <w:name w:val="Plain Table 4"/>
    <w:basedOn w:val="Tablanormal"/>
    <w:uiPriority w:val="44"/>
    <w:rsid w:val="00D76CBC"/>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Tablaconcuadrcula1Claro-nfasis2">
    <w:name w:val="Grid Table 1 Light Accent 2"/>
    <w:basedOn w:val="Tablanormal"/>
    <w:uiPriority w:val="46"/>
    <w:rsid w:val="00D76CBC"/>
    <w:tblPr>
      <w:tblStyleRowBandSize w:val="1"/>
      <w:tblStyleColBandSize w:val="1"/>
      <w:tblBorders>
        <w:top w:val="single" w:sz="4" w:space="0" w:color="E5B8B7" w:themeColor="accent2" w:themeTint="66"/>
        <w:left w:val="single" w:sz="4" w:space="0" w:color="E5B8B7" w:themeColor="accent2" w:themeTint="66"/>
        <w:bottom w:val="single" w:sz="4" w:space="0" w:color="E5B8B7" w:themeColor="accent2" w:themeTint="66"/>
        <w:right w:val="single" w:sz="4" w:space="0" w:color="E5B8B7" w:themeColor="accent2" w:themeTint="66"/>
        <w:insideH w:val="single" w:sz="4" w:space="0" w:color="E5B8B7" w:themeColor="accent2" w:themeTint="66"/>
        <w:insideV w:val="single" w:sz="4" w:space="0" w:color="E5B8B7" w:themeColor="accent2" w:themeTint="66"/>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2" w:space="0" w:color="D99594" w:themeColor="accent2" w:themeTint="99"/>
        </w:tcBorders>
      </w:tcPr>
    </w:tblStylePr>
    <w:tblStylePr w:type="firstCol">
      <w:rPr>
        <w:b/>
        <w:bCs/>
      </w:rPr>
    </w:tblStylePr>
    <w:tblStylePr w:type="lastCol">
      <w:rPr>
        <w:b/>
        <w:bCs/>
      </w:rPr>
    </w:tblStylePr>
  </w:style>
  <w:style w:type="table" w:styleId="Tablaconcuadrcula6concolores-nfasis2">
    <w:name w:val="Grid Table 6 Colorful Accent 2"/>
    <w:basedOn w:val="Tablanormal"/>
    <w:uiPriority w:val="51"/>
    <w:rsid w:val="00D76CBC"/>
    <w:rPr>
      <w:color w:val="943634" w:themeColor="accent2" w:themeShade="BF"/>
    </w:rPr>
    <w:tblPr>
      <w:tblStyleRowBandSize w:val="1"/>
      <w:tblStyleColBandSize w:val="1"/>
      <w:tblBorders>
        <w:top w:val="single" w:sz="4" w:space="0" w:color="D99594" w:themeColor="accent2" w:themeTint="99"/>
        <w:left w:val="single" w:sz="4" w:space="0" w:color="D99594" w:themeColor="accent2" w:themeTint="99"/>
        <w:bottom w:val="single" w:sz="4" w:space="0" w:color="D99594" w:themeColor="accent2" w:themeTint="99"/>
        <w:right w:val="single" w:sz="4" w:space="0" w:color="D99594" w:themeColor="accent2" w:themeTint="99"/>
        <w:insideH w:val="single" w:sz="4" w:space="0" w:color="D99594" w:themeColor="accent2" w:themeTint="99"/>
        <w:insideV w:val="single" w:sz="4" w:space="0" w:color="D99594" w:themeColor="accent2" w:themeTint="99"/>
      </w:tblBorders>
    </w:tblPr>
    <w:tblStylePr w:type="firstRow">
      <w:rPr>
        <w:b/>
        <w:bCs/>
      </w:rPr>
      <w:tblPr/>
      <w:tcPr>
        <w:tcBorders>
          <w:bottom w:val="single" w:sz="12" w:space="0" w:color="D99594" w:themeColor="accent2" w:themeTint="99"/>
        </w:tcBorders>
      </w:tcPr>
    </w:tblStylePr>
    <w:tblStylePr w:type="lastRow">
      <w:rPr>
        <w:b/>
        <w:bCs/>
      </w:rPr>
      <w:tblPr/>
      <w:tcPr>
        <w:tcBorders>
          <w:top w:val="double" w:sz="4" w:space="0" w:color="D99594" w:themeColor="accent2" w:themeTint="99"/>
        </w:tcBorders>
      </w:tcPr>
    </w:tblStylePr>
    <w:tblStylePr w:type="firstCol">
      <w:rPr>
        <w:b/>
        <w:bCs/>
      </w:rPr>
    </w:tblStylePr>
    <w:tblStylePr w:type="lastCol">
      <w:rPr>
        <w:b/>
        <w:bCs/>
      </w:rPr>
    </w:tblStylePr>
    <w:tblStylePr w:type="band1Vert">
      <w:tblPr/>
      <w:tcPr>
        <w:shd w:val="clear" w:color="auto" w:fill="F2DBDB" w:themeFill="accent2" w:themeFillTint="33"/>
      </w:tcPr>
    </w:tblStylePr>
    <w:tblStylePr w:type="band1Horz">
      <w:tblPr/>
      <w:tcPr>
        <w:shd w:val="clear" w:color="auto" w:fill="F2DBDB" w:themeFill="accent2" w:themeFillTint="33"/>
      </w:tcPr>
    </w:tblStylePr>
  </w:style>
  <w:style w:type="table" w:styleId="Tablaconcuadrcula5oscura-nfasis2">
    <w:name w:val="Grid Table 5 Dark Accent 2"/>
    <w:basedOn w:val="Tablanormal"/>
    <w:uiPriority w:val="50"/>
    <w:rsid w:val="00D76C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2DBDB"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C0504D"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C0504D"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C0504D"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C0504D" w:themeFill="accent2"/>
      </w:tcPr>
    </w:tblStylePr>
    <w:tblStylePr w:type="band1Vert">
      <w:tblPr/>
      <w:tcPr>
        <w:shd w:val="clear" w:color="auto" w:fill="E5B8B7" w:themeFill="accent2" w:themeFillTint="66"/>
      </w:tcPr>
    </w:tblStylePr>
    <w:tblStylePr w:type="band1Horz">
      <w:tblPr/>
      <w:tcPr>
        <w:shd w:val="clear" w:color="auto" w:fill="E5B8B7" w:themeFill="accent2" w:themeFillTint="66"/>
      </w:tcPr>
    </w:tblStylePr>
  </w:style>
  <w:style w:type="table" w:styleId="Tabladelista2-nfasis6">
    <w:name w:val="List Table 2 Accent 6"/>
    <w:basedOn w:val="Tablanormal"/>
    <w:uiPriority w:val="47"/>
    <w:rsid w:val="00D76CBC"/>
    <w:tblPr>
      <w:tblStyleRowBandSize w:val="1"/>
      <w:tblStyleColBandSize w:val="1"/>
      <w:tblBorders>
        <w:top w:val="single" w:sz="4" w:space="0" w:color="FABF8F" w:themeColor="accent6" w:themeTint="99"/>
        <w:bottom w:val="single" w:sz="4" w:space="0" w:color="FABF8F" w:themeColor="accent6" w:themeTint="99"/>
        <w:insideH w:val="single" w:sz="4" w:space="0" w:color="FABF8F"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DE9D9" w:themeFill="accent6" w:themeFillTint="33"/>
      </w:tcPr>
    </w:tblStylePr>
    <w:tblStylePr w:type="band1Horz">
      <w:tblPr/>
      <w:tcPr>
        <w:shd w:val="clear" w:color="auto" w:fill="FDE9D9" w:themeFill="accent6" w:themeFillTint="33"/>
      </w:tcPr>
    </w:tblStylePr>
  </w:style>
  <w:style w:type="table" w:styleId="Tablaconcuadrcula1clara-nfasis6">
    <w:name w:val="Grid Table 1 Light Accent 6"/>
    <w:basedOn w:val="Tablanormal"/>
    <w:uiPriority w:val="46"/>
    <w:rsid w:val="00D76CBC"/>
    <w:tblPr>
      <w:tblStyleRowBandSize w:val="1"/>
      <w:tblStyleColBandSize w:val="1"/>
      <w:tblBorders>
        <w:top w:val="single" w:sz="4" w:space="0" w:color="FBD4B4" w:themeColor="accent6" w:themeTint="66"/>
        <w:left w:val="single" w:sz="4" w:space="0" w:color="FBD4B4" w:themeColor="accent6" w:themeTint="66"/>
        <w:bottom w:val="single" w:sz="4" w:space="0" w:color="FBD4B4" w:themeColor="accent6" w:themeTint="66"/>
        <w:right w:val="single" w:sz="4" w:space="0" w:color="FBD4B4" w:themeColor="accent6" w:themeTint="66"/>
        <w:insideH w:val="single" w:sz="4" w:space="0" w:color="FBD4B4" w:themeColor="accent6" w:themeTint="66"/>
        <w:insideV w:val="single" w:sz="4" w:space="0" w:color="FBD4B4" w:themeColor="accent6" w:themeTint="66"/>
      </w:tblBorders>
    </w:tblPr>
    <w:tblStylePr w:type="firstRow">
      <w:rPr>
        <w:b/>
        <w:bCs/>
      </w:rPr>
      <w:tblPr/>
      <w:tcPr>
        <w:tcBorders>
          <w:bottom w:val="single" w:sz="12" w:space="0" w:color="FABF8F" w:themeColor="accent6" w:themeTint="99"/>
        </w:tcBorders>
      </w:tcPr>
    </w:tblStylePr>
    <w:tblStylePr w:type="lastRow">
      <w:rPr>
        <w:b/>
        <w:bCs/>
      </w:rPr>
      <w:tblPr/>
      <w:tcPr>
        <w:tcBorders>
          <w:top w:val="double" w:sz="2" w:space="0" w:color="FABF8F" w:themeColor="accent6" w:themeTint="99"/>
        </w:tcBorders>
      </w:tcPr>
    </w:tblStylePr>
    <w:tblStylePr w:type="firstCol">
      <w:rPr>
        <w:b/>
        <w:bCs/>
      </w:rPr>
    </w:tblStylePr>
    <w:tblStylePr w:type="lastCol">
      <w:rPr>
        <w:b/>
        <w:bCs/>
      </w:rPr>
    </w:tblStylePr>
  </w:style>
  <w:style w:type="table" w:styleId="Tablaconcuadrcula5oscura-nfasis5">
    <w:name w:val="Grid Table 5 Dark Accent 5"/>
    <w:basedOn w:val="Tablanormal"/>
    <w:uiPriority w:val="50"/>
    <w:rsid w:val="00D76CBC"/>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numbering" w:customStyle="1" w:styleId="Sinlista8">
    <w:name w:val="Sin lista8"/>
    <w:next w:val="Sinlista"/>
    <w:uiPriority w:val="99"/>
    <w:semiHidden/>
    <w:unhideWhenUsed/>
    <w:rsid w:val="007C06B5"/>
  </w:style>
  <w:style w:type="numbering" w:customStyle="1" w:styleId="Sinlista17">
    <w:name w:val="Sin lista17"/>
    <w:next w:val="Sinlista"/>
    <w:uiPriority w:val="99"/>
    <w:semiHidden/>
    <w:unhideWhenUsed/>
    <w:rsid w:val="007C06B5"/>
  </w:style>
  <w:style w:type="table" w:customStyle="1" w:styleId="Tablaconcuadrcula29">
    <w:name w:val="Tabla con cuadrícula29"/>
    <w:basedOn w:val="Tablanormal"/>
    <w:next w:val="Tablaconcuadrcula"/>
    <w:rsid w:val="007C06B5"/>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4">
    <w:name w:val="Tabla profesional4"/>
    <w:basedOn w:val="Tablanormal"/>
    <w:next w:val="Tablaprofesional"/>
    <w:rsid w:val="007C06B5"/>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4">
    <w:name w:val="Tabla Web 14"/>
    <w:basedOn w:val="Tablanormal"/>
    <w:rsid w:val="007C06B5"/>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Sinlista114">
    <w:name w:val="Sin lista114"/>
    <w:next w:val="Sinlista"/>
    <w:uiPriority w:val="99"/>
    <w:semiHidden/>
    <w:unhideWhenUsed/>
    <w:rsid w:val="007C06B5"/>
  </w:style>
  <w:style w:type="table" w:customStyle="1" w:styleId="Tablaconcuadrcula118">
    <w:name w:val="Tabla con cuadrícula118"/>
    <w:basedOn w:val="Tablanormal"/>
    <w:next w:val="Tablaconcuadrcula"/>
    <w:uiPriority w:val="39"/>
    <w:rsid w:val="007C06B5"/>
    <w:rPr>
      <w:rFonts w:ascii="Arial" w:hAnsi="Arial" w:cs="Arial"/>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113">
    <w:name w:val="Sin lista1113"/>
    <w:next w:val="Sinlista"/>
    <w:uiPriority w:val="99"/>
    <w:semiHidden/>
    <w:unhideWhenUsed/>
    <w:rsid w:val="007C06B5"/>
  </w:style>
  <w:style w:type="table" w:customStyle="1" w:styleId="Tablaconcuadrcula119">
    <w:name w:val="Tabla con cuadrícula119"/>
    <w:basedOn w:val="Tablanormal"/>
    <w:next w:val="Tablaconcuadrcula"/>
    <w:uiPriority w:val="39"/>
    <w:rsid w:val="007C0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4">
    <w:name w:val="Sin lista24"/>
    <w:next w:val="Sinlista"/>
    <w:uiPriority w:val="99"/>
    <w:semiHidden/>
    <w:rsid w:val="007C06B5"/>
  </w:style>
  <w:style w:type="table" w:customStyle="1" w:styleId="Tablaconcuadrcula210">
    <w:name w:val="Tabla con cuadrícula210"/>
    <w:basedOn w:val="Tablanormal"/>
    <w:next w:val="Tablaconcuadrcula"/>
    <w:rsid w:val="007C06B5"/>
    <w:rPr>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elegante3">
    <w:name w:val="Tabla elegante3"/>
    <w:basedOn w:val="Tablanormal"/>
    <w:next w:val="Tablaelegante"/>
    <w:rsid w:val="007C06B5"/>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3">
    <w:name w:val="Tabla moderna3"/>
    <w:basedOn w:val="Tablanormal"/>
    <w:next w:val="Tablamoderna"/>
    <w:rsid w:val="007C06B5"/>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decuadrcula5oscura-nfasis52">
    <w:name w:val="Tabla de cuadrícula 5 oscura - Énfasis 52"/>
    <w:basedOn w:val="Tablanormal"/>
    <w:uiPriority w:val="50"/>
    <w:rsid w:val="007C06B5"/>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2">
    <w:name w:val="Tabla de lista 3 - Énfasis 12"/>
    <w:basedOn w:val="Tablanormal"/>
    <w:next w:val="Tabladelista3-nfasis1"/>
    <w:uiPriority w:val="48"/>
    <w:rsid w:val="007C06B5"/>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cuadrcula5oscura-nfasis12">
    <w:name w:val="Tabla de cuadrícula 5 oscura - Énfasis 12"/>
    <w:basedOn w:val="Tablanormal"/>
    <w:uiPriority w:val="50"/>
    <w:rsid w:val="007C06B5"/>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4-nfasis12">
    <w:name w:val="Tabla de cuadrícula 4 - Énfasis 12"/>
    <w:basedOn w:val="Tablanormal"/>
    <w:uiPriority w:val="49"/>
    <w:rsid w:val="007C06B5"/>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52">
    <w:name w:val="Tabla de cuadrícula 4 - Énfasis 52"/>
    <w:basedOn w:val="Tablanormal"/>
    <w:uiPriority w:val="49"/>
    <w:rsid w:val="007C06B5"/>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Cuadrculadetablaclara2">
    <w:name w:val="Cuadrícula de tabla clara2"/>
    <w:basedOn w:val="Tablanormal"/>
    <w:uiPriority w:val="40"/>
    <w:rsid w:val="007C06B5"/>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normal11">
    <w:name w:val="Tabla normal 11"/>
    <w:basedOn w:val="Tablanormal"/>
    <w:next w:val="Tablanormal1"/>
    <w:uiPriority w:val="41"/>
    <w:rsid w:val="007C06B5"/>
    <w:rPr>
      <w:rFonts w:ascii="Calibri" w:eastAsia="Calibri" w:hAnsi="Calibri"/>
      <w:lang w:val="es-CR" w:eastAsia="es-C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decuadrcula46">
    <w:name w:val="Tabla de cuadrícula 46"/>
    <w:basedOn w:val="Tablanormal"/>
    <w:next w:val="Tabladecuadrcula4"/>
    <w:uiPriority w:val="49"/>
    <w:rsid w:val="007C06B5"/>
    <w:rPr>
      <w:rFonts w:ascii="Calibri" w:eastAsia="Calibri" w:hAnsi="Calibr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numbering" w:customStyle="1" w:styleId="Sinlista33">
    <w:name w:val="Sin lista33"/>
    <w:next w:val="Sinlista"/>
    <w:uiPriority w:val="99"/>
    <w:semiHidden/>
    <w:unhideWhenUsed/>
    <w:rsid w:val="007C06B5"/>
  </w:style>
  <w:style w:type="table" w:customStyle="1" w:styleId="Tablaconcuadrcula32">
    <w:name w:val="Tabla con cuadrícula32"/>
    <w:basedOn w:val="Tablanormal"/>
    <w:next w:val="Tablaconcuadrcula"/>
    <w:uiPriority w:val="39"/>
    <w:rsid w:val="007C06B5"/>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profesional12">
    <w:name w:val="Tabla profesional12"/>
    <w:basedOn w:val="Tablanormal"/>
    <w:next w:val="Tablaprofesional"/>
    <w:rsid w:val="007C06B5"/>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30">
    <w:name w:val="Tabla web 13"/>
    <w:basedOn w:val="Tablanormal"/>
    <w:next w:val="Tablaweb10"/>
    <w:rsid w:val="007C06B5"/>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Cuadrculaclara-nfasis113">
    <w:name w:val="Cuadrícula clara - Énfasis 113"/>
    <w:basedOn w:val="Tablanormal"/>
    <w:uiPriority w:val="62"/>
    <w:rsid w:val="007C06B5"/>
    <w:rPr>
      <w:lang w:val="es-CR" w:eastAsia="es-CR"/>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Cambria" w:eastAsia="Times New Roman" w:hAnsi="Cambri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Cambria" w:eastAsia="Times New Roman" w:hAnsi="Cambri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Cambria" w:eastAsia="Times New Roman" w:hAnsi="Cambria" w:cs="Times New Roman"/>
        <w:b/>
        <w:bCs/>
      </w:rPr>
    </w:tblStylePr>
    <w:tblStylePr w:type="lastCol">
      <w:rPr>
        <w:rFonts w:ascii="Cambria" w:eastAsia="Times New Roman" w:hAnsi="Cambri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numbering" w:customStyle="1" w:styleId="Sinlista11113">
    <w:name w:val="Sin lista11113"/>
    <w:next w:val="Sinlista"/>
    <w:uiPriority w:val="99"/>
    <w:semiHidden/>
    <w:unhideWhenUsed/>
    <w:rsid w:val="007C06B5"/>
  </w:style>
  <w:style w:type="numbering" w:customStyle="1" w:styleId="Sinlista111113">
    <w:name w:val="Sin lista111113"/>
    <w:next w:val="Sinlista"/>
    <w:uiPriority w:val="99"/>
    <w:semiHidden/>
    <w:unhideWhenUsed/>
    <w:rsid w:val="007C06B5"/>
  </w:style>
  <w:style w:type="table" w:customStyle="1" w:styleId="Tablaweb23">
    <w:name w:val="Tabla web 23"/>
    <w:basedOn w:val="Tablanormal"/>
    <w:next w:val="Tablaweb2"/>
    <w:rsid w:val="007C06B5"/>
    <w:rPr>
      <w:lang w:val="es-CR" w:eastAsia="es-CR"/>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Sombreadomedio113">
    <w:name w:val="Sombreado medio 113"/>
    <w:basedOn w:val="Tablanormal"/>
    <w:rsid w:val="007C06B5"/>
    <w:rPr>
      <w:rFonts w:ascii="Cambria" w:hAnsi="Cambria"/>
      <w:lang w:val="es-CR" w:eastAsia="es-CR"/>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pPr>
      <w:rPr>
        <w:rFonts w:cs="Times New Roman"/>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pPr>
      <w:rPr>
        <w:rFonts w:cs="Times New Roman"/>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C0C0C0"/>
      </w:tcPr>
    </w:tblStylePr>
    <w:tblStylePr w:type="band1Horz">
      <w:rPr>
        <w:rFonts w:cs="Times New Roman"/>
      </w:rPr>
      <w:tblPr/>
      <w:tcPr>
        <w:tcBorders>
          <w:insideH w:val="nil"/>
          <w:insideV w:val="nil"/>
        </w:tcBorders>
        <w:shd w:val="clear" w:color="auto" w:fill="C0C0C0"/>
      </w:tcPr>
    </w:tblStylePr>
    <w:tblStylePr w:type="band2Horz">
      <w:rPr>
        <w:rFonts w:cs="Times New Roman"/>
      </w:rPr>
      <w:tblPr/>
      <w:tcPr>
        <w:tcBorders>
          <w:insideH w:val="nil"/>
          <w:insideV w:val="nil"/>
        </w:tcBorders>
      </w:tcPr>
    </w:tblStylePr>
  </w:style>
  <w:style w:type="table" w:customStyle="1" w:styleId="Sombreadomedio213">
    <w:name w:val="Sombreado medio 213"/>
    <w:basedOn w:val="Tablanormal"/>
    <w:rsid w:val="007C06B5"/>
    <w:rPr>
      <w:rFonts w:ascii="Cambria" w:hAnsi="Cambria"/>
      <w:lang w:val="es-CR" w:eastAsia="es-CR"/>
    </w:rPr>
    <w:tblPr>
      <w:tblStyleRowBandSize w:val="1"/>
      <w:tblStyleColBandSize w:val="1"/>
      <w:tblBorders>
        <w:top w:val="single" w:sz="18" w:space="0" w:color="auto"/>
        <w:bottom w:val="single" w:sz="18" w:space="0" w:color="auto"/>
      </w:tblBorders>
    </w:tblPr>
    <w:tblStylePr w:type="firstRow">
      <w:pPr>
        <w:spacing w:before="0" w:after="0"/>
      </w:pPr>
      <w:rPr>
        <w:rFonts w:cs="Times New Roman"/>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pPr>
      <w:rPr>
        <w:rFonts w:cs="Times New Roman"/>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rFonts w:cs="Times New Roman"/>
        <w:b/>
        <w:bCs/>
        <w:color w:val="FFFFFF"/>
      </w:rPr>
      <w:tblPr/>
      <w:tcPr>
        <w:tcBorders>
          <w:top w:val="nil"/>
          <w:left w:val="nil"/>
          <w:bottom w:val="single" w:sz="18" w:space="0" w:color="auto"/>
          <w:right w:val="nil"/>
          <w:insideH w:val="nil"/>
          <w:insideV w:val="nil"/>
        </w:tcBorders>
        <w:shd w:val="clear" w:color="auto" w:fill="000000"/>
      </w:tcPr>
    </w:tblStylePr>
    <w:tblStylePr w:type="lastCol">
      <w:rPr>
        <w:rFonts w:cs="Times New Roman"/>
        <w:b/>
        <w:bCs/>
        <w:color w:val="FFFFFF"/>
      </w:rPr>
      <w:tblPr/>
      <w:tcPr>
        <w:tcBorders>
          <w:left w:val="nil"/>
          <w:right w:val="nil"/>
          <w:insideH w:val="nil"/>
          <w:insideV w:val="nil"/>
        </w:tcBorders>
        <w:shd w:val="clear" w:color="auto" w:fill="000000"/>
      </w:tcPr>
    </w:tblStylePr>
    <w:tblStylePr w:type="band1Vert">
      <w:rPr>
        <w:rFonts w:cs="Times New Roman"/>
      </w:rPr>
      <w:tblPr/>
      <w:tcPr>
        <w:tcBorders>
          <w:left w:val="nil"/>
          <w:right w:val="nil"/>
          <w:insideH w:val="nil"/>
          <w:insideV w:val="nil"/>
        </w:tcBorders>
        <w:shd w:val="clear" w:color="auto" w:fill="D8D8D8"/>
      </w:tcPr>
    </w:tblStylePr>
    <w:tblStylePr w:type="band1Horz">
      <w:rPr>
        <w:rFonts w:cs="Times New Roman"/>
      </w:rPr>
      <w:tblPr/>
      <w:tcPr>
        <w:shd w:val="clear" w:color="auto" w:fill="D8D8D8"/>
      </w:tcPr>
    </w:tblStylePr>
    <w:tblStylePr w:type="neCell">
      <w:rPr>
        <w:rFonts w:cs="Times New Roman"/>
      </w:rPr>
      <w:tblPr/>
      <w:tcPr>
        <w:tcBorders>
          <w:top w:val="single" w:sz="18" w:space="0" w:color="auto"/>
          <w:left w:val="nil"/>
          <w:bottom w:val="single" w:sz="18" w:space="0" w:color="auto"/>
          <w:right w:val="nil"/>
          <w:insideH w:val="nil"/>
          <w:insideV w:val="nil"/>
        </w:tcBorders>
      </w:tcPr>
    </w:tblStylePr>
    <w:tblStylePr w:type="nwCell">
      <w:rPr>
        <w:rFonts w:cs="Times New Roman"/>
        <w:color w:val="FFFFFF"/>
      </w:rPr>
      <w:tblPr/>
      <w:tcPr>
        <w:tcBorders>
          <w:top w:val="single" w:sz="18" w:space="0" w:color="auto"/>
          <w:left w:val="nil"/>
          <w:bottom w:val="single" w:sz="18" w:space="0" w:color="auto"/>
          <w:right w:val="nil"/>
          <w:insideH w:val="nil"/>
          <w:insideV w:val="nil"/>
        </w:tcBorders>
      </w:tcPr>
    </w:tblStylePr>
  </w:style>
  <w:style w:type="table" w:customStyle="1" w:styleId="Listamedia113">
    <w:name w:val="Lista media 113"/>
    <w:basedOn w:val="Tablanormal"/>
    <w:rsid w:val="007C06B5"/>
    <w:rPr>
      <w:rFonts w:ascii="Cambria" w:hAnsi="Cambria"/>
      <w:color w:val="000000"/>
      <w:lang w:val="es-CR" w:eastAsia="es-CR"/>
    </w:rPr>
    <w:tblPr>
      <w:tblStyleRowBandSize w:val="1"/>
      <w:tblStyleColBandSize w:val="1"/>
      <w:tblBorders>
        <w:top w:val="single" w:sz="8" w:space="0" w:color="000000"/>
        <w:bottom w:val="single" w:sz="8" w:space="0" w:color="000000"/>
      </w:tblBorders>
    </w:tblPr>
    <w:tblStylePr w:type="firstRow">
      <w:rPr>
        <w:rFonts w:ascii="Calibri" w:eastAsia="Times New Roman" w:hAnsi="Calibri" w:cs="Times New Roman"/>
      </w:rPr>
      <w:tblPr/>
      <w:tcPr>
        <w:tcBorders>
          <w:top w:val="nil"/>
          <w:bottom w:val="single" w:sz="8" w:space="0" w:color="000000"/>
        </w:tcBorders>
      </w:tcPr>
    </w:tblStylePr>
    <w:tblStylePr w:type="lastRow">
      <w:rPr>
        <w:rFonts w:cs="Times New Roman"/>
        <w:b/>
        <w:bCs/>
        <w:color w:val="1F497D"/>
      </w:rPr>
      <w:tblPr/>
      <w:tcPr>
        <w:tcBorders>
          <w:top w:val="single" w:sz="8" w:space="0" w:color="000000"/>
          <w:bottom w:val="single" w:sz="8" w:space="0" w:color="000000"/>
        </w:tcBorders>
      </w:tcPr>
    </w:tblStylePr>
    <w:tblStylePr w:type="firstCol">
      <w:rPr>
        <w:rFonts w:cs="Times New Roman"/>
        <w:b/>
        <w:bCs/>
      </w:rPr>
    </w:tblStylePr>
    <w:tblStylePr w:type="lastCol">
      <w:rPr>
        <w:rFonts w:cs="Times New Roman"/>
        <w:b/>
        <w:bCs/>
      </w:rPr>
      <w:tblPr/>
      <w:tcPr>
        <w:tcBorders>
          <w:top w:val="single" w:sz="8" w:space="0" w:color="000000"/>
          <w:bottom w:val="single" w:sz="8" w:space="0" w:color="000000"/>
        </w:tcBorders>
      </w:tcPr>
    </w:tblStylePr>
    <w:tblStylePr w:type="band1Vert">
      <w:rPr>
        <w:rFonts w:cs="Times New Roman"/>
      </w:rPr>
      <w:tblPr/>
      <w:tcPr>
        <w:shd w:val="clear" w:color="auto" w:fill="C0C0C0"/>
      </w:tcPr>
    </w:tblStylePr>
    <w:tblStylePr w:type="band1Horz">
      <w:rPr>
        <w:rFonts w:cs="Times New Roman"/>
      </w:rPr>
      <w:tblPr/>
      <w:tcPr>
        <w:shd w:val="clear" w:color="auto" w:fill="C0C0C0"/>
      </w:tcPr>
    </w:tblStylePr>
  </w:style>
  <w:style w:type="table" w:customStyle="1" w:styleId="Listamedia213">
    <w:name w:val="Lista media 213"/>
    <w:basedOn w:val="Tablanormal"/>
    <w:rsid w:val="007C06B5"/>
    <w:rPr>
      <w:rFonts w:ascii="Calibri" w:hAnsi="Calibri"/>
      <w:color w:val="000000"/>
      <w:lang w:val="es-CR" w:eastAsia="es-CR"/>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rPr>
        <w:rFonts w:cs="Times New Roman"/>
        <w:sz w:val="24"/>
        <w:szCs w:val="24"/>
      </w:rPr>
      <w:tblPr/>
      <w:tcPr>
        <w:tcBorders>
          <w:top w:val="nil"/>
          <w:left w:val="nil"/>
          <w:bottom w:val="single" w:sz="24" w:space="0" w:color="000000"/>
          <w:right w:val="nil"/>
          <w:insideH w:val="nil"/>
          <w:insideV w:val="nil"/>
        </w:tcBorders>
        <w:shd w:val="clear" w:color="auto" w:fill="FFFFFF"/>
      </w:tcPr>
    </w:tblStylePr>
    <w:tblStylePr w:type="lastRow">
      <w:rPr>
        <w:rFonts w:cs="Times New Roman"/>
      </w:rPr>
      <w:tblPr/>
      <w:tcPr>
        <w:tcBorders>
          <w:top w:val="single" w:sz="8" w:space="0" w:color="000000"/>
          <w:left w:val="nil"/>
          <w:bottom w:val="nil"/>
          <w:right w:val="nil"/>
          <w:insideH w:val="nil"/>
          <w:insideV w:val="nil"/>
        </w:tcBorders>
        <w:shd w:val="clear" w:color="auto" w:fill="FFFFFF"/>
      </w:tcPr>
    </w:tblStylePr>
    <w:tblStylePr w:type="firstCol">
      <w:rPr>
        <w:rFonts w:cs="Times New Roman"/>
      </w:rPr>
      <w:tblPr/>
      <w:tcPr>
        <w:tcBorders>
          <w:top w:val="nil"/>
          <w:left w:val="nil"/>
          <w:bottom w:val="nil"/>
          <w:right w:val="single" w:sz="8" w:space="0" w:color="000000"/>
          <w:insideH w:val="nil"/>
          <w:insideV w:val="nil"/>
        </w:tcBorders>
        <w:shd w:val="clear" w:color="auto" w:fill="FFFFFF"/>
      </w:tcPr>
    </w:tblStylePr>
    <w:tblStylePr w:type="lastCol">
      <w:rPr>
        <w:rFonts w:cs="Times New Roman"/>
      </w:rPr>
      <w:tblPr/>
      <w:tcPr>
        <w:tcBorders>
          <w:top w:val="nil"/>
          <w:left w:val="single" w:sz="8" w:space="0" w:color="000000"/>
          <w:bottom w:val="nil"/>
          <w:right w:val="nil"/>
          <w:insideH w:val="nil"/>
          <w:insideV w:val="nil"/>
        </w:tcBorders>
        <w:shd w:val="clear" w:color="auto" w:fill="FFFFFF"/>
      </w:tc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top w:val="nil"/>
          <w:bottom w:val="nil"/>
          <w:insideH w:val="nil"/>
          <w:insideV w:val="nil"/>
        </w:tcBorders>
        <w:shd w:val="clear" w:color="auto" w:fill="C0C0C0"/>
      </w:tcPr>
    </w:tblStylePr>
    <w:tblStylePr w:type="nwCell">
      <w:rPr>
        <w:rFonts w:cs="Times New Roman"/>
      </w:rPr>
      <w:tblPr/>
      <w:tcPr>
        <w:shd w:val="clear" w:color="auto" w:fill="FFFFFF"/>
      </w:tcPr>
    </w:tblStylePr>
    <w:tblStylePr w:type="swCell">
      <w:rPr>
        <w:rFonts w:cs="Times New Roman"/>
      </w:rPr>
      <w:tblPr/>
      <w:tcPr>
        <w:tcBorders>
          <w:top w:val="nil"/>
        </w:tcBorders>
      </w:tcPr>
    </w:tblStylePr>
  </w:style>
  <w:style w:type="table" w:customStyle="1" w:styleId="Sombreadoclaro13">
    <w:name w:val="Sombreado claro13"/>
    <w:basedOn w:val="Tablanormal"/>
    <w:rsid w:val="007C06B5"/>
    <w:rPr>
      <w:rFonts w:ascii="Cambria" w:hAnsi="Cambria"/>
      <w:color w:val="000000"/>
      <w:lang w:val="es-CR" w:eastAsia="es-CR"/>
    </w:rPr>
    <w:tblPr>
      <w:tblStyleRowBandSize w:val="1"/>
      <w:tblStyleColBandSize w:val="1"/>
      <w:tblBorders>
        <w:top w:val="single" w:sz="8" w:space="0" w:color="000000"/>
        <w:bottom w:val="single" w:sz="8" w:space="0" w:color="000000"/>
      </w:tblBorders>
    </w:tblPr>
    <w:tblStylePr w:type="fir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lastRow">
      <w:pPr>
        <w:spacing w:before="0" w:after="0"/>
      </w:pPr>
      <w:rPr>
        <w:rFonts w:cs="Times New Roman"/>
        <w:b/>
        <w:bCs/>
      </w:rPr>
      <w:tblPr/>
      <w:tcPr>
        <w:tcBorders>
          <w:top w:val="single" w:sz="8" w:space="0" w:color="000000"/>
          <w:left w:val="nil"/>
          <w:bottom w:val="single" w:sz="8" w:space="0" w:color="000000"/>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C0C0C0"/>
      </w:tcPr>
    </w:tblStylePr>
    <w:tblStylePr w:type="band1Horz">
      <w:rPr>
        <w:rFonts w:cs="Times New Roman"/>
      </w:rPr>
      <w:tblPr/>
      <w:tcPr>
        <w:tcBorders>
          <w:left w:val="nil"/>
          <w:right w:val="nil"/>
          <w:insideH w:val="nil"/>
          <w:insideV w:val="nil"/>
        </w:tcBorders>
        <w:shd w:val="clear" w:color="auto" w:fill="C0C0C0"/>
      </w:tcPr>
    </w:tblStylePr>
  </w:style>
  <w:style w:type="table" w:customStyle="1" w:styleId="MediumGrid1-Accent13">
    <w:name w:val="Medium Grid 1 - Accent 13"/>
    <w:basedOn w:val="Tablanormal"/>
    <w:rsid w:val="007C06B5"/>
    <w:rPr>
      <w:rFonts w:ascii="Cambria" w:hAnsi="Cambria"/>
      <w:lang w:val="es-CR" w:eastAsia="es-CR"/>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insideV w:val="single" w:sz="8" w:space="0" w:color="7BA0CD"/>
      </w:tblBorders>
    </w:tblPr>
    <w:tcPr>
      <w:shd w:val="clear" w:color="auto" w:fill="D3DFEE"/>
    </w:tcPr>
    <w:tblStylePr w:type="firstRow">
      <w:rPr>
        <w:rFonts w:cs="Times New Roman"/>
        <w:b/>
        <w:bCs/>
      </w:rPr>
    </w:tblStylePr>
    <w:tblStylePr w:type="lastRow">
      <w:rPr>
        <w:rFonts w:cs="Times New Roman"/>
        <w:b/>
        <w:bCs/>
      </w:rPr>
      <w:tblPr/>
      <w:tcPr>
        <w:tcBorders>
          <w:top w:val="single" w:sz="18" w:space="0" w:color="7BA0CD"/>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A7BFDE"/>
      </w:tcPr>
    </w:tblStylePr>
    <w:tblStylePr w:type="band1Horz">
      <w:rPr>
        <w:rFonts w:cs="Times New Roman"/>
      </w:rPr>
      <w:tblPr/>
      <w:tcPr>
        <w:shd w:val="clear" w:color="auto" w:fill="A7BFDE"/>
      </w:tcPr>
    </w:tblStylePr>
  </w:style>
  <w:style w:type="table" w:customStyle="1" w:styleId="MediumGrid3-Accent13">
    <w:name w:val="Medium Grid 3 - Accent 13"/>
    <w:basedOn w:val="Tablanormal"/>
    <w:rsid w:val="007C06B5"/>
    <w:rPr>
      <w:rFonts w:ascii="Cambria" w:hAnsi="Cambria"/>
      <w:lang w:val="es-CR" w:eastAsia="es-CR"/>
    </w:rPr>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rFonts w:cs="Times New Roman"/>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rFonts w:cs="Times New Roman"/>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rFonts w:cs="Times New Roman"/>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rFonts w:cs="Times New Roman"/>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rPr>
        <w:rFonts w:cs="Times New Roman"/>
      </w:rPr>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rPr>
        <w:rFonts w:cs="Times New Roman"/>
      </w:rPr>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customStyle="1" w:styleId="Sombreadoclaro-nfasis113">
    <w:name w:val="Sombreado claro - Énfasis 113"/>
    <w:basedOn w:val="Tablanormal"/>
    <w:rsid w:val="007C06B5"/>
    <w:rPr>
      <w:rFonts w:ascii="Cambria" w:hAnsi="Cambria"/>
      <w:color w:val="365F91"/>
      <w:sz w:val="22"/>
      <w:szCs w:val="22"/>
      <w:lang w:val="es-CR" w:eastAsia="en-US"/>
    </w:rPr>
    <w:tblPr>
      <w:tblStyleRowBandSize w:val="1"/>
      <w:tblStyleColBandSize w:val="1"/>
      <w:tblBorders>
        <w:top w:val="single" w:sz="8" w:space="0" w:color="4F81BD"/>
        <w:bottom w:val="single" w:sz="8" w:space="0" w:color="4F81BD"/>
      </w:tblBorders>
    </w:tblPr>
    <w:tblStylePr w:type="fir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lastRow">
      <w:pPr>
        <w:spacing w:before="0" w:after="0"/>
      </w:pPr>
      <w:rPr>
        <w:rFonts w:cs="Times New Roman"/>
        <w:b/>
        <w:bCs/>
      </w:rPr>
      <w:tblPr/>
      <w:tcPr>
        <w:tcBorders>
          <w:top w:val="single" w:sz="8" w:space="0" w:color="4F81BD"/>
          <w:left w:val="nil"/>
          <w:bottom w:val="single" w:sz="8" w:space="0" w:color="4F81BD"/>
          <w:right w:val="nil"/>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nil"/>
          <w:right w:val="nil"/>
          <w:insideH w:val="nil"/>
          <w:insideV w:val="nil"/>
        </w:tcBorders>
        <w:shd w:val="clear" w:color="auto" w:fill="D3DFEE"/>
      </w:tcPr>
    </w:tblStylePr>
    <w:tblStylePr w:type="band1Horz">
      <w:rPr>
        <w:rFonts w:cs="Times New Roman"/>
      </w:rPr>
      <w:tblPr/>
      <w:tcPr>
        <w:tcBorders>
          <w:left w:val="nil"/>
          <w:right w:val="nil"/>
          <w:insideH w:val="nil"/>
          <w:insideV w:val="nil"/>
        </w:tcBorders>
        <w:shd w:val="clear" w:color="auto" w:fill="D3DFEE"/>
      </w:tcPr>
    </w:tblStylePr>
  </w:style>
  <w:style w:type="table" w:customStyle="1" w:styleId="MediumShading1-Accent13">
    <w:name w:val="Medium Shading 1 - Accent 13"/>
    <w:basedOn w:val="Tablanormal"/>
    <w:rsid w:val="007C06B5"/>
    <w:rPr>
      <w:rFonts w:ascii="Cambria" w:hAnsi="Cambria"/>
      <w:sz w:val="22"/>
      <w:szCs w:val="22"/>
      <w:lang w:val="es-CR" w:eastAsia="en-US"/>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pPr>
      <w:rPr>
        <w:rFonts w:cs="Times New Roman"/>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pPr>
      <w:rPr>
        <w:rFonts w:cs="Times New Roman"/>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rFonts w:cs="Times New Roman"/>
        <w:b/>
        <w:bCs/>
      </w:rPr>
    </w:tblStylePr>
    <w:tblStylePr w:type="lastCol">
      <w:rPr>
        <w:rFonts w:cs="Times New Roman"/>
        <w:b/>
        <w:bCs/>
      </w:rPr>
    </w:tblStylePr>
    <w:tblStylePr w:type="band1Vert">
      <w:rPr>
        <w:rFonts w:cs="Times New Roman"/>
      </w:rPr>
      <w:tblPr/>
      <w:tcPr>
        <w:shd w:val="clear" w:color="auto" w:fill="D3DFEE"/>
      </w:tcPr>
    </w:tblStylePr>
    <w:tblStylePr w:type="band1Horz">
      <w:rPr>
        <w:rFonts w:cs="Times New Roman"/>
      </w:rPr>
      <w:tblPr/>
      <w:tcPr>
        <w:tcBorders>
          <w:insideH w:val="nil"/>
          <w:insideV w:val="nil"/>
        </w:tcBorders>
        <w:shd w:val="clear" w:color="auto" w:fill="D3DFEE"/>
      </w:tcPr>
    </w:tblStylePr>
    <w:tblStylePr w:type="band2Horz">
      <w:rPr>
        <w:rFonts w:cs="Times New Roman"/>
      </w:rPr>
      <w:tblPr/>
      <w:tcPr>
        <w:tcBorders>
          <w:insideH w:val="nil"/>
          <w:insideV w:val="nil"/>
        </w:tcBorders>
      </w:tcPr>
    </w:tblStylePr>
  </w:style>
  <w:style w:type="numbering" w:customStyle="1" w:styleId="1111111115">
    <w:name w:val="1.1 / 1.1.1 / 1.1.1.15"/>
    <w:basedOn w:val="Sinlista"/>
    <w:next w:val="111111"/>
    <w:uiPriority w:val="99"/>
    <w:unhideWhenUsed/>
    <w:rsid w:val="007C06B5"/>
    <w:pPr>
      <w:numPr>
        <w:numId w:val="7"/>
      </w:numPr>
    </w:pPr>
  </w:style>
  <w:style w:type="table" w:customStyle="1" w:styleId="Tablaconcuadrcula83">
    <w:name w:val="Tabla con cuadrícula 83"/>
    <w:basedOn w:val="Tablanormal"/>
    <w:next w:val="Tablaconcuadrcula8"/>
    <w:rsid w:val="007C06B5"/>
    <w:rPr>
      <w:lang w:val="es-CR" w:eastAsia="es-CR"/>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customStyle="1" w:styleId="Tablaconcuadrcula1113">
    <w:name w:val="Tabla con cuadrícula1113"/>
    <w:basedOn w:val="Tablanormal"/>
    <w:next w:val="Tablaconcuadrcula"/>
    <w:uiPriority w:val="39"/>
    <w:rsid w:val="007C06B5"/>
    <w:rPr>
      <w:rFonts w:ascii="Calibri" w:eastAsia="Calibri" w:hAnsi="Calibri"/>
      <w:sz w:val="22"/>
      <w:szCs w:val="22"/>
      <w:lang w:val="es-419"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12">
    <w:name w:val="Tabla con cuadrícula212"/>
    <w:basedOn w:val="Tablanormal"/>
    <w:next w:val="Tablaconcuadrcula"/>
    <w:rsid w:val="007C06B5"/>
    <w:rPr>
      <w:rFonts w:ascii="Calibri" w:eastAsia="Calibri" w:hAnsi="Calibri"/>
      <w:sz w:val="24"/>
      <w:szCs w:val="24"/>
      <w:lang w:val="es-ES_tradnl"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cuadrcula412">
    <w:name w:val="Tabla de cuadrícula 412"/>
    <w:basedOn w:val="Tablanormal"/>
    <w:next w:val="Tabladecuadrcula4"/>
    <w:uiPriority w:val="49"/>
    <w:rsid w:val="007C06B5"/>
    <w:rPr>
      <w:rFonts w:ascii="Calibri" w:eastAsia="Calibri" w:hAnsi="Calibri"/>
      <w:sz w:val="22"/>
      <w:szCs w:val="22"/>
      <w:lang w:val="es-CR" w:eastAsia="en-US"/>
    </w:r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22">
    <w:name w:val="Tabla con cuadrícula122"/>
    <w:basedOn w:val="Tablanormal"/>
    <w:uiPriority w:val="59"/>
    <w:rsid w:val="007C06B5"/>
    <w:pPr>
      <w:jc w:val="both"/>
    </w:pPr>
    <w:rPr>
      <w:rFonts w:ascii="Calibri" w:eastAsia="Calibri" w:hAnsi="Calibri"/>
      <w:sz w:val="22"/>
      <w:szCs w:val="22"/>
      <w:lang w:val="es-CR"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11">
    <w:name w:val="Tabla con cuadrícula1611"/>
    <w:basedOn w:val="Tablanormal"/>
    <w:uiPriority w:val="39"/>
    <w:rsid w:val="007C06B5"/>
    <w:rPr>
      <w:rFonts w:ascii="Calibri" w:eastAsia="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33">
    <w:name w:val="Tabla con cuadrícula133"/>
    <w:basedOn w:val="Tablanormal"/>
    <w:next w:val="Tablaconcuadrcula"/>
    <w:uiPriority w:val="39"/>
    <w:rsid w:val="007C06B5"/>
    <w:pPr>
      <w:suppressAutoHyphens/>
    </w:pPr>
    <w:rPr>
      <w:lang w:val="es-CR" w:eastAsia="es-C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22">
    <w:name w:val="Sin lista122"/>
    <w:next w:val="Sinlista"/>
    <w:uiPriority w:val="99"/>
    <w:semiHidden/>
    <w:unhideWhenUsed/>
    <w:rsid w:val="007C06B5"/>
  </w:style>
  <w:style w:type="numbering" w:customStyle="1" w:styleId="Sinlista1111113">
    <w:name w:val="Sin lista1111113"/>
    <w:next w:val="Sinlista"/>
    <w:uiPriority w:val="99"/>
    <w:semiHidden/>
    <w:unhideWhenUsed/>
    <w:rsid w:val="007C06B5"/>
  </w:style>
  <w:style w:type="numbering" w:customStyle="1" w:styleId="Sinlista11111112">
    <w:name w:val="Sin lista11111112"/>
    <w:next w:val="Sinlista"/>
    <w:uiPriority w:val="99"/>
    <w:semiHidden/>
    <w:unhideWhenUsed/>
    <w:rsid w:val="007C06B5"/>
  </w:style>
  <w:style w:type="table" w:customStyle="1" w:styleId="Tablaprofesional112">
    <w:name w:val="Tabla profesional112"/>
    <w:basedOn w:val="Tablanormal"/>
    <w:next w:val="Tablaprofesional"/>
    <w:semiHidden/>
    <w:unhideWhenUsed/>
    <w:rsid w:val="007C06B5"/>
    <w:pPr>
      <w:suppressAutoHyphens/>
    </w:pPr>
    <w:rPr>
      <w:lang w:val="es-CR" w:eastAsia="es-CR"/>
    </w:rPr>
    <w:tblPr>
      <w:tblInd w:w="0" w:type="nil"/>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13">
    <w:name w:val="Tabla Web 113"/>
    <w:basedOn w:val="Tablanormal"/>
    <w:rsid w:val="007C06B5"/>
    <w:rPr>
      <w:lang w:val="es-CR" w:eastAsia="es-CR"/>
    </w:rPr>
    <w:tblPr>
      <w:tblCellSpacing w:w="20" w:type="dxa"/>
      <w:tblInd w:w="0" w:type="nil"/>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color w:val="auto"/>
      </w:rPr>
      <w:tblPr/>
      <w:tcPr>
        <w:tcBorders>
          <w:tl2br w:val="none" w:sz="0" w:space="0" w:color="auto"/>
          <w:tr2bl w:val="none" w:sz="0" w:space="0" w:color="auto"/>
        </w:tcBorders>
      </w:tcPr>
    </w:tblStylePr>
  </w:style>
  <w:style w:type="numbering" w:customStyle="1" w:styleId="WW8Num2525">
    <w:name w:val="WW8Num2525"/>
    <w:rsid w:val="007C06B5"/>
  </w:style>
  <w:style w:type="numbering" w:customStyle="1" w:styleId="WW8Num115">
    <w:name w:val="WW8Num115"/>
    <w:qFormat/>
    <w:rsid w:val="007C06B5"/>
  </w:style>
  <w:style w:type="numbering" w:customStyle="1" w:styleId="WW8Num1525">
    <w:name w:val="WW8Num1525"/>
    <w:rsid w:val="007C06B5"/>
  </w:style>
  <w:style w:type="numbering" w:customStyle="1" w:styleId="Sinlista213">
    <w:name w:val="Sin lista213"/>
    <w:next w:val="Sinlista"/>
    <w:uiPriority w:val="99"/>
    <w:semiHidden/>
    <w:unhideWhenUsed/>
    <w:rsid w:val="007C06B5"/>
  </w:style>
  <w:style w:type="table" w:customStyle="1" w:styleId="Tablaconcuadrcula222">
    <w:name w:val="Tabla con cuadrícula222"/>
    <w:basedOn w:val="Tablanormal"/>
    <w:next w:val="Tablaconcuadrcula"/>
    <w:uiPriority w:val="39"/>
    <w:rsid w:val="007C06B5"/>
    <w:pPr>
      <w:suppressAutoHyphens/>
    </w:pPr>
    <w:rPr>
      <w:lang w:val="es-CR" w:eastAsia="es-CR"/>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112">
    <w:name w:val="Tabla con cuadrícula11112"/>
    <w:basedOn w:val="Tablanormal"/>
    <w:uiPriority w:val="39"/>
    <w:rsid w:val="007C06B5"/>
    <w:rPr>
      <w:rFonts w:ascii="Calibri" w:eastAsia="NSimSun" w:hAnsi="Calibri" w:cs="Lucida Sans"/>
      <w:kern w:val="2"/>
      <w:szCs w:val="24"/>
      <w:lang w:val="es-CR" w:eastAsia="zh-CN" w:bidi="hi-I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12">
    <w:name w:val="WW8Num25212"/>
    <w:rsid w:val="007C06B5"/>
  </w:style>
  <w:style w:type="numbering" w:customStyle="1" w:styleId="WW8Num1112">
    <w:name w:val="WW8Num1112"/>
    <w:rsid w:val="007C06B5"/>
    <w:pPr>
      <w:numPr>
        <w:numId w:val="13"/>
      </w:numPr>
    </w:pPr>
  </w:style>
  <w:style w:type="numbering" w:customStyle="1" w:styleId="WW8Num15212">
    <w:name w:val="WW8Num15212"/>
    <w:rsid w:val="007C06B5"/>
  </w:style>
  <w:style w:type="table" w:customStyle="1" w:styleId="Tablaprofesional22">
    <w:name w:val="Tabla profesional22"/>
    <w:basedOn w:val="Tablanormal"/>
    <w:next w:val="Tablaprofesional"/>
    <w:rsid w:val="007C06B5"/>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22">
    <w:name w:val="Tabla Web 122"/>
    <w:basedOn w:val="Tablanormal"/>
    <w:rsid w:val="007C06B5"/>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numbering" w:customStyle="1" w:styleId="WW8Num25222">
    <w:name w:val="WW8Num25222"/>
    <w:rsid w:val="007C06B5"/>
  </w:style>
  <w:style w:type="numbering" w:customStyle="1" w:styleId="WW8Num15222">
    <w:name w:val="WW8Num15222"/>
    <w:rsid w:val="007C06B5"/>
  </w:style>
  <w:style w:type="numbering" w:customStyle="1" w:styleId="WW8Num1122">
    <w:name w:val="WW8Num1122"/>
    <w:rsid w:val="007C06B5"/>
    <w:pPr>
      <w:numPr>
        <w:numId w:val="14"/>
      </w:numPr>
    </w:pPr>
  </w:style>
  <w:style w:type="table" w:customStyle="1" w:styleId="Tablaconcuadrcula1212">
    <w:name w:val="Tabla con cuadrícula1212"/>
    <w:basedOn w:val="Tablanormal"/>
    <w:next w:val="Tablaconcuadrcula"/>
    <w:uiPriority w:val="39"/>
    <w:rsid w:val="007C06B5"/>
    <w:rPr>
      <w:rFonts w:ascii="Calibri" w:eastAsia="NSimSun" w:hAnsi="Calibri" w:cs="Lucida Sans"/>
      <w:kern w:val="2"/>
      <w:szCs w:val="24"/>
      <w:lang w:val="es-CR"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313">
    <w:name w:val="Sin lista313"/>
    <w:next w:val="Sinlista"/>
    <w:uiPriority w:val="99"/>
    <w:semiHidden/>
    <w:unhideWhenUsed/>
    <w:rsid w:val="007C06B5"/>
  </w:style>
  <w:style w:type="table" w:customStyle="1" w:styleId="Tablaprofesional31">
    <w:name w:val="Tabla profesional31"/>
    <w:basedOn w:val="Tablanormal"/>
    <w:next w:val="Tablaprofesional"/>
    <w:rsid w:val="007C06B5"/>
    <w:pPr>
      <w:suppressAutoHyphens/>
    </w:pPr>
    <w:rPr>
      <w:lang w:val="es-CR" w:eastAsia="es-CR"/>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customStyle="1" w:styleId="TablaWeb131">
    <w:name w:val="Tabla Web 131"/>
    <w:basedOn w:val="Tablanormal"/>
    <w:rsid w:val="007C06B5"/>
    <w:rPr>
      <w:lang w:val="es-CR" w:eastAsia="es-CR"/>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customStyle="1" w:styleId="Tablaconcuadrcula1312">
    <w:name w:val="Tabla con cuadrícula1312"/>
    <w:basedOn w:val="Tablanormal"/>
    <w:next w:val="Tablaconcuadrcula"/>
    <w:uiPriority w:val="39"/>
    <w:rsid w:val="007C06B5"/>
    <w:rPr>
      <w:rFonts w:ascii="Calibri" w:eastAsia="NSimSun" w:hAnsi="Calibri" w:cs="Lucida Sans"/>
      <w:kern w:val="2"/>
      <w:szCs w:val="24"/>
      <w:lang w:val="es-CR"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8Num25232">
    <w:name w:val="WW8Num25232"/>
    <w:rsid w:val="007C06B5"/>
    <w:pPr>
      <w:numPr>
        <w:numId w:val="9"/>
      </w:numPr>
    </w:pPr>
  </w:style>
  <w:style w:type="numbering" w:customStyle="1" w:styleId="WW8Num15232">
    <w:name w:val="WW8Num15232"/>
    <w:rsid w:val="007C06B5"/>
    <w:pPr>
      <w:numPr>
        <w:numId w:val="11"/>
      </w:numPr>
    </w:pPr>
  </w:style>
  <w:style w:type="numbering" w:customStyle="1" w:styleId="WW8Num1132">
    <w:name w:val="WW8Num1132"/>
    <w:rsid w:val="007C06B5"/>
    <w:pPr>
      <w:numPr>
        <w:numId w:val="12"/>
      </w:numPr>
    </w:pPr>
  </w:style>
  <w:style w:type="table" w:customStyle="1" w:styleId="Tablaconcuadrcula1clara-nfasis113">
    <w:name w:val="Tabla con cuadrícula 1 clara - Énfasis 113"/>
    <w:basedOn w:val="Tablanormal"/>
    <w:next w:val="Tablaconcuadrcula1clara-nfasis1"/>
    <w:uiPriority w:val="46"/>
    <w:rsid w:val="007C06B5"/>
    <w:rPr>
      <w:rFonts w:ascii="Calibri" w:eastAsia="Calibri" w:hAnsi="Calibri"/>
      <w:sz w:val="24"/>
      <w:szCs w:val="24"/>
      <w:lang w:val="es-ES_tradnl" w:eastAsia="en-US"/>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clara-nfasis511">
    <w:name w:val="Tabla con cuadrícula 1 clara - Énfasis 511"/>
    <w:basedOn w:val="Tablanormal"/>
    <w:next w:val="Tablaconcuadrcula1clara-nfasis5"/>
    <w:uiPriority w:val="46"/>
    <w:rsid w:val="007C06B5"/>
    <w:rPr>
      <w:rFonts w:ascii="Calibri" w:eastAsia="Calibri" w:hAnsi="Calibri"/>
      <w:sz w:val="24"/>
      <w:szCs w:val="24"/>
      <w:lang w:val="es-ES_tradnl" w:eastAsia="en-US"/>
    </w:rPr>
    <w:tblPr>
      <w:tblStyleRowBandSize w:val="1"/>
      <w:tblStyleColBandSize w:val="1"/>
      <w:tblInd w:w="0" w:type="nil"/>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table" w:customStyle="1" w:styleId="Tablaconcuadrcula1clara-nfasis121">
    <w:name w:val="Tabla con cuadrícula 1 clara - Énfasis 121"/>
    <w:basedOn w:val="Tablanormal"/>
    <w:next w:val="Tablaconcuadrcula1clara-nfasis1"/>
    <w:uiPriority w:val="46"/>
    <w:rsid w:val="007C06B5"/>
    <w:rPr>
      <w:rFonts w:ascii="Calibri" w:eastAsia="Calibri" w:hAnsi="Calibri"/>
      <w:sz w:val="22"/>
      <w:szCs w:val="22"/>
      <w:lang w:val="es-CR" w:eastAsia="en-US"/>
    </w:rPr>
    <w:tblPr>
      <w:tblStyleRowBandSize w:val="1"/>
      <w:tblStyleColBandSize w:val="1"/>
      <w:tblBorders>
        <w:top w:val="single" w:sz="4" w:space="0" w:color="B8CCE4"/>
        <w:left w:val="single" w:sz="4" w:space="0" w:color="B8CCE4"/>
        <w:bottom w:val="single" w:sz="4" w:space="0" w:color="B8CCE4"/>
        <w:right w:val="single" w:sz="4" w:space="0" w:color="B8CCE4"/>
        <w:insideH w:val="single" w:sz="4" w:space="0" w:color="B8CCE4"/>
        <w:insideV w:val="single" w:sz="4" w:space="0" w:color="B8CCE4"/>
      </w:tblBorders>
    </w:tblPr>
    <w:tblStylePr w:type="firstRow">
      <w:rPr>
        <w:b/>
        <w:bCs/>
      </w:rPr>
      <w:tblPr/>
      <w:tcPr>
        <w:tcBorders>
          <w:bottom w:val="single" w:sz="12" w:space="0" w:color="95B3D7"/>
        </w:tcBorders>
      </w:tcPr>
    </w:tblStylePr>
    <w:tblStylePr w:type="lastRow">
      <w:rPr>
        <w:b/>
        <w:bCs/>
      </w:rPr>
      <w:tblPr/>
      <w:tcPr>
        <w:tcBorders>
          <w:top w:val="double" w:sz="2" w:space="0" w:color="95B3D7"/>
        </w:tcBorders>
      </w:tcPr>
    </w:tblStylePr>
    <w:tblStylePr w:type="firstCol">
      <w:rPr>
        <w:b/>
        <w:bCs/>
      </w:rPr>
    </w:tblStylePr>
    <w:tblStylePr w:type="lastCol">
      <w:rPr>
        <w:b/>
        <w:bCs/>
      </w:rPr>
    </w:tblStylePr>
  </w:style>
  <w:style w:type="table" w:customStyle="1" w:styleId="Tablaconcuadrcula1clara-nfasis521">
    <w:name w:val="Tabla con cuadrícula 1 clara - Énfasis 521"/>
    <w:basedOn w:val="Tablanormal"/>
    <w:next w:val="Tablaconcuadrcula1clara-nfasis5"/>
    <w:uiPriority w:val="46"/>
    <w:rsid w:val="007C06B5"/>
    <w:rPr>
      <w:rFonts w:ascii="Calibri" w:eastAsia="Calibri" w:hAnsi="Calibri"/>
      <w:sz w:val="22"/>
      <w:szCs w:val="22"/>
      <w:lang w:val="es-CR" w:eastAsia="en-US"/>
    </w:rPr>
    <w:tblPr>
      <w:tblStyleRowBandSize w:val="1"/>
      <w:tblStyleColBandSize w:val="1"/>
      <w:tblBorders>
        <w:top w:val="single" w:sz="4" w:space="0" w:color="B6DDE8"/>
        <w:left w:val="single" w:sz="4" w:space="0" w:color="B6DDE8"/>
        <w:bottom w:val="single" w:sz="4" w:space="0" w:color="B6DDE8"/>
        <w:right w:val="single" w:sz="4" w:space="0" w:color="B6DDE8"/>
        <w:insideH w:val="single" w:sz="4" w:space="0" w:color="B6DDE8"/>
        <w:insideV w:val="single" w:sz="4" w:space="0" w:color="B6DDE8"/>
      </w:tblBorders>
    </w:tblPr>
    <w:tblStylePr w:type="firstRow">
      <w:rPr>
        <w:b/>
        <w:bCs/>
      </w:rPr>
      <w:tblPr/>
      <w:tcPr>
        <w:tcBorders>
          <w:bottom w:val="single" w:sz="12" w:space="0" w:color="92CDDC"/>
        </w:tcBorders>
      </w:tcPr>
    </w:tblStylePr>
    <w:tblStylePr w:type="lastRow">
      <w:rPr>
        <w:b/>
        <w:bCs/>
      </w:rPr>
      <w:tblPr/>
      <w:tcPr>
        <w:tcBorders>
          <w:top w:val="double" w:sz="2" w:space="0" w:color="92CDDC"/>
        </w:tcBorders>
      </w:tcPr>
    </w:tblStylePr>
    <w:tblStylePr w:type="firstCol">
      <w:rPr>
        <w:b/>
        <w:bCs/>
      </w:rPr>
    </w:tblStylePr>
    <w:tblStylePr w:type="lastCol">
      <w:rPr>
        <w:b/>
        <w:bCs/>
      </w:rPr>
    </w:tblStylePr>
  </w:style>
  <w:style w:type="table" w:customStyle="1" w:styleId="Tablaconcuadrcula1clara-nfasis14">
    <w:name w:val="Tabla con cuadrícula 1 clara - Énfasis 14"/>
    <w:basedOn w:val="Tablanormal"/>
    <w:next w:val="Tablaconcuadrcula1clara-nfasis1"/>
    <w:uiPriority w:val="46"/>
    <w:rsid w:val="007C06B5"/>
    <w:rPr>
      <w:rFonts w:ascii="Calibri" w:eastAsia="Calibri" w:hAnsi="Calibri"/>
      <w:sz w:val="22"/>
      <w:szCs w:val="22"/>
      <w:lang w:val="es-CR" w:eastAsia="en-US"/>
    </w:rPr>
    <w:tblPr>
      <w:tblStyleRowBandSize w:val="1"/>
      <w:tblStyleColBandSize w:val="1"/>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clara-nfasis54">
    <w:name w:val="Tabla con cuadrícula 1 clara - Énfasis 54"/>
    <w:basedOn w:val="Tablanormal"/>
    <w:next w:val="Tablaconcuadrcula1clara-nfasis5"/>
    <w:uiPriority w:val="46"/>
    <w:rsid w:val="007C06B5"/>
    <w:rPr>
      <w:rFonts w:ascii="Calibri" w:eastAsia="Calibri" w:hAnsi="Calibri"/>
      <w:sz w:val="22"/>
      <w:szCs w:val="22"/>
      <w:lang w:val="es-CR" w:eastAsia="en-US"/>
    </w:rPr>
    <w:tblPr>
      <w:tblStyleRowBandSize w:val="1"/>
      <w:tblStyleColBandSize w:val="1"/>
      <w:tblBorders>
        <w:top w:val="single" w:sz="4" w:space="0" w:color="BDD6EE"/>
        <w:left w:val="single" w:sz="4" w:space="0" w:color="BDD6EE"/>
        <w:bottom w:val="single" w:sz="4" w:space="0" w:color="BDD6EE"/>
        <w:right w:val="single" w:sz="4" w:space="0" w:color="BDD6EE"/>
        <w:insideH w:val="single" w:sz="4" w:space="0" w:color="BDD6EE"/>
        <w:insideV w:val="single" w:sz="4" w:space="0" w:color="BDD6EE"/>
      </w:tblBorders>
    </w:tblPr>
    <w:tblStylePr w:type="firstRow">
      <w:rPr>
        <w:b/>
        <w:bCs/>
      </w:rPr>
      <w:tblPr/>
      <w:tcPr>
        <w:tcBorders>
          <w:bottom w:val="single" w:sz="12" w:space="0" w:color="9CC2E5"/>
        </w:tcBorders>
      </w:tcPr>
    </w:tblStylePr>
    <w:tblStylePr w:type="lastRow">
      <w:rPr>
        <w:b/>
        <w:bCs/>
      </w:rPr>
      <w:tblPr/>
      <w:tcPr>
        <w:tcBorders>
          <w:top w:val="double" w:sz="2" w:space="0" w:color="9CC2E5"/>
        </w:tcBorders>
      </w:tcPr>
    </w:tblStylePr>
    <w:tblStylePr w:type="firstCol">
      <w:rPr>
        <w:b/>
        <w:bCs/>
      </w:rPr>
    </w:tblStylePr>
    <w:tblStylePr w:type="lastCol">
      <w:rPr>
        <w:b/>
        <w:bCs/>
      </w:rPr>
    </w:tblStylePr>
  </w:style>
  <w:style w:type="numbering" w:customStyle="1" w:styleId="WW8Num116">
    <w:name w:val="WW8Num116"/>
    <w:qFormat/>
    <w:rsid w:val="007C06B5"/>
  </w:style>
  <w:style w:type="numbering" w:customStyle="1" w:styleId="WW8Num213">
    <w:name w:val="WW8Num213"/>
    <w:qFormat/>
    <w:rsid w:val="007C06B5"/>
  </w:style>
  <w:style w:type="numbering" w:customStyle="1" w:styleId="WW8Num313">
    <w:name w:val="WW8Num313"/>
    <w:qFormat/>
    <w:rsid w:val="007C06B5"/>
  </w:style>
  <w:style w:type="numbering" w:customStyle="1" w:styleId="WW8Num412">
    <w:name w:val="WW8Num412"/>
    <w:qFormat/>
    <w:rsid w:val="007C06B5"/>
  </w:style>
  <w:style w:type="numbering" w:customStyle="1" w:styleId="WW8Num52">
    <w:name w:val="WW8Num52"/>
    <w:qFormat/>
    <w:rsid w:val="007C06B5"/>
  </w:style>
  <w:style w:type="numbering" w:customStyle="1" w:styleId="WW8Num62">
    <w:name w:val="WW8Num62"/>
    <w:qFormat/>
    <w:rsid w:val="007C06B5"/>
  </w:style>
  <w:style w:type="numbering" w:customStyle="1" w:styleId="WW8Num72">
    <w:name w:val="WW8Num72"/>
    <w:qFormat/>
    <w:rsid w:val="007C06B5"/>
  </w:style>
  <w:style w:type="numbering" w:customStyle="1" w:styleId="WW8Num82">
    <w:name w:val="WW8Num82"/>
    <w:qFormat/>
    <w:rsid w:val="007C06B5"/>
  </w:style>
  <w:style w:type="numbering" w:customStyle="1" w:styleId="WW8Num92">
    <w:name w:val="WW8Num92"/>
    <w:qFormat/>
    <w:rsid w:val="007C06B5"/>
  </w:style>
  <w:style w:type="numbering" w:customStyle="1" w:styleId="WW8Num102">
    <w:name w:val="WW8Num102"/>
    <w:qFormat/>
    <w:rsid w:val="007C06B5"/>
  </w:style>
  <w:style w:type="numbering" w:customStyle="1" w:styleId="WW8Num123">
    <w:name w:val="WW8Num123"/>
    <w:qFormat/>
    <w:rsid w:val="007C06B5"/>
  </w:style>
  <w:style w:type="numbering" w:customStyle="1" w:styleId="WW8Num133">
    <w:name w:val="WW8Num133"/>
    <w:qFormat/>
    <w:rsid w:val="007C06B5"/>
  </w:style>
  <w:style w:type="numbering" w:customStyle="1" w:styleId="WW8Num143">
    <w:name w:val="WW8Num143"/>
    <w:qFormat/>
    <w:rsid w:val="007C06B5"/>
  </w:style>
  <w:style w:type="numbering" w:customStyle="1" w:styleId="WW8Num153">
    <w:name w:val="WW8Num153"/>
    <w:qFormat/>
    <w:rsid w:val="007C06B5"/>
  </w:style>
  <w:style w:type="numbering" w:customStyle="1" w:styleId="WW8Num162">
    <w:name w:val="WW8Num162"/>
    <w:qFormat/>
    <w:rsid w:val="007C06B5"/>
  </w:style>
  <w:style w:type="numbering" w:customStyle="1" w:styleId="WW8Num172">
    <w:name w:val="WW8Num172"/>
    <w:qFormat/>
    <w:rsid w:val="007C06B5"/>
  </w:style>
  <w:style w:type="numbering" w:customStyle="1" w:styleId="WW8Num182">
    <w:name w:val="WW8Num182"/>
    <w:qFormat/>
    <w:rsid w:val="007C06B5"/>
  </w:style>
  <w:style w:type="numbering" w:customStyle="1" w:styleId="WW8Num192">
    <w:name w:val="WW8Num192"/>
    <w:qFormat/>
    <w:rsid w:val="007C06B5"/>
  </w:style>
  <w:style w:type="numbering" w:customStyle="1" w:styleId="WW8Num202">
    <w:name w:val="WW8Num202"/>
    <w:qFormat/>
    <w:rsid w:val="007C06B5"/>
  </w:style>
  <w:style w:type="numbering" w:customStyle="1" w:styleId="WW8Num214">
    <w:name w:val="WW8Num214"/>
    <w:qFormat/>
    <w:rsid w:val="007C06B5"/>
  </w:style>
  <w:style w:type="numbering" w:customStyle="1" w:styleId="WW8Num223">
    <w:name w:val="WW8Num223"/>
    <w:qFormat/>
    <w:rsid w:val="007C06B5"/>
  </w:style>
  <w:style w:type="numbering" w:customStyle="1" w:styleId="WW8Num233">
    <w:name w:val="WW8Num233"/>
    <w:qFormat/>
    <w:rsid w:val="007C06B5"/>
  </w:style>
  <w:style w:type="numbering" w:customStyle="1" w:styleId="WW8Num243">
    <w:name w:val="WW8Num243"/>
    <w:qFormat/>
    <w:rsid w:val="007C06B5"/>
  </w:style>
  <w:style w:type="numbering" w:customStyle="1" w:styleId="WW8Num253">
    <w:name w:val="WW8Num253"/>
    <w:qFormat/>
    <w:rsid w:val="007C06B5"/>
  </w:style>
  <w:style w:type="numbering" w:customStyle="1" w:styleId="WW8Num262">
    <w:name w:val="WW8Num262"/>
    <w:qFormat/>
    <w:rsid w:val="007C06B5"/>
  </w:style>
  <w:style w:type="numbering" w:customStyle="1" w:styleId="WW8Num272">
    <w:name w:val="WW8Num272"/>
    <w:qFormat/>
    <w:rsid w:val="007C06B5"/>
  </w:style>
  <w:style w:type="numbering" w:customStyle="1" w:styleId="WW8Num282">
    <w:name w:val="WW8Num282"/>
    <w:qFormat/>
    <w:rsid w:val="007C06B5"/>
  </w:style>
  <w:style w:type="numbering" w:customStyle="1" w:styleId="WW8Num292">
    <w:name w:val="WW8Num292"/>
    <w:qFormat/>
    <w:rsid w:val="007C06B5"/>
  </w:style>
  <w:style w:type="numbering" w:customStyle="1" w:styleId="WW8Num302">
    <w:name w:val="WW8Num302"/>
    <w:qFormat/>
    <w:rsid w:val="007C06B5"/>
  </w:style>
  <w:style w:type="numbering" w:customStyle="1" w:styleId="WW8Num314">
    <w:name w:val="WW8Num314"/>
    <w:qFormat/>
    <w:rsid w:val="007C06B5"/>
  </w:style>
  <w:style w:type="numbering" w:customStyle="1" w:styleId="WW8Num323">
    <w:name w:val="WW8Num323"/>
    <w:qFormat/>
    <w:rsid w:val="007C06B5"/>
  </w:style>
  <w:style w:type="numbering" w:customStyle="1" w:styleId="WW8Num333">
    <w:name w:val="WW8Num333"/>
    <w:qFormat/>
    <w:rsid w:val="007C06B5"/>
  </w:style>
  <w:style w:type="numbering" w:customStyle="1" w:styleId="WW8Num343">
    <w:name w:val="WW8Num343"/>
    <w:qFormat/>
    <w:rsid w:val="007C06B5"/>
  </w:style>
  <w:style w:type="numbering" w:customStyle="1" w:styleId="WW8Num352">
    <w:name w:val="WW8Num352"/>
    <w:qFormat/>
    <w:rsid w:val="007C06B5"/>
  </w:style>
  <w:style w:type="numbering" w:customStyle="1" w:styleId="WW8Num362">
    <w:name w:val="WW8Num362"/>
    <w:qFormat/>
    <w:rsid w:val="007C06B5"/>
  </w:style>
  <w:style w:type="numbering" w:customStyle="1" w:styleId="WW8Num372">
    <w:name w:val="WW8Num372"/>
    <w:qFormat/>
    <w:rsid w:val="007C06B5"/>
  </w:style>
  <w:style w:type="numbering" w:customStyle="1" w:styleId="WW8Num382">
    <w:name w:val="WW8Num382"/>
    <w:qFormat/>
    <w:rsid w:val="007C06B5"/>
  </w:style>
  <w:style w:type="numbering" w:customStyle="1" w:styleId="WW8Num392">
    <w:name w:val="WW8Num392"/>
    <w:qFormat/>
    <w:rsid w:val="007C06B5"/>
  </w:style>
  <w:style w:type="numbering" w:customStyle="1" w:styleId="WW8Num402">
    <w:name w:val="WW8Num402"/>
    <w:qFormat/>
    <w:rsid w:val="007C06B5"/>
  </w:style>
  <w:style w:type="numbering" w:customStyle="1" w:styleId="WW8Num413">
    <w:name w:val="WW8Num413"/>
    <w:qFormat/>
    <w:rsid w:val="007C06B5"/>
  </w:style>
  <w:style w:type="numbering" w:customStyle="1" w:styleId="WW8Num422">
    <w:name w:val="WW8Num422"/>
    <w:qFormat/>
    <w:rsid w:val="007C06B5"/>
  </w:style>
  <w:style w:type="numbering" w:customStyle="1" w:styleId="WW8Num432">
    <w:name w:val="WW8Num432"/>
    <w:qFormat/>
    <w:rsid w:val="007C06B5"/>
  </w:style>
  <w:style w:type="numbering" w:customStyle="1" w:styleId="WW8Num442">
    <w:name w:val="WW8Num442"/>
    <w:qFormat/>
    <w:rsid w:val="007C06B5"/>
  </w:style>
  <w:style w:type="numbering" w:customStyle="1" w:styleId="WW8Num452">
    <w:name w:val="WW8Num452"/>
    <w:qFormat/>
    <w:rsid w:val="007C06B5"/>
  </w:style>
  <w:style w:type="numbering" w:customStyle="1" w:styleId="WW8Num462">
    <w:name w:val="WW8Num462"/>
    <w:qFormat/>
    <w:rsid w:val="007C06B5"/>
  </w:style>
  <w:style w:type="numbering" w:customStyle="1" w:styleId="WW8Num472">
    <w:name w:val="WW8Num472"/>
    <w:qFormat/>
    <w:rsid w:val="007C06B5"/>
  </w:style>
  <w:style w:type="numbering" w:customStyle="1" w:styleId="WW8Num482">
    <w:name w:val="WW8Num482"/>
    <w:qFormat/>
    <w:rsid w:val="007C06B5"/>
  </w:style>
  <w:style w:type="numbering" w:customStyle="1" w:styleId="WW8Num492">
    <w:name w:val="WW8Num492"/>
    <w:qFormat/>
    <w:rsid w:val="007C06B5"/>
  </w:style>
  <w:style w:type="table" w:customStyle="1" w:styleId="Tabladelista4-nfasis32">
    <w:name w:val="Tabla de lista 4 - Énfasis 32"/>
    <w:basedOn w:val="Tablanormal"/>
    <w:next w:val="Tabladelista4-nfasis3"/>
    <w:uiPriority w:val="49"/>
    <w:rsid w:val="007C06B5"/>
    <w:rPr>
      <w:rFonts w:ascii="Calibri" w:eastAsia="Calibri" w:hAnsi="Calibri"/>
      <w:sz w:val="24"/>
      <w:szCs w:val="24"/>
      <w:lang w:val="es-ES_tradnl" w:eastAsia="en-US"/>
    </w:rPr>
    <w:tblPr>
      <w:tblStyleRowBandSize w:val="1"/>
      <w:tblStyleColBandSize w:val="1"/>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lsica23">
    <w:name w:val="Tabla clásica 23"/>
    <w:basedOn w:val="Tablanormal"/>
    <w:next w:val="Tablaclsica2"/>
    <w:semiHidden/>
    <w:unhideWhenUsed/>
    <w:rsid w:val="007C06B5"/>
    <w:rPr>
      <w:lang w:val="es-ES_tradnl" w:eastAsia="en-US"/>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ombreadoclaro-nfasis13">
    <w:name w:val="Sombreado claro - Énfasis 13"/>
    <w:basedOn w:val="Tablanormal"/>
    <w:next w:val="Sombreadoclaro-nfasis1"/>
    <w:uiPriority w:val="60"/>
    <w:semiHidden/>
    <w:unhideWhenUsed/>
    <w:rsid w:val="007C06B5"/>
    <w:rPr>
      <w:color w:val="365F91"/>
      <w:lang w:val="es-ES_tradnl"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Sombreadomedio1-nfasis23">
    <w:name w:val="Sombreado medio 1 - Énfasis 23"/>
    <w:basedOn w:val="Tablanormal"/>
    <w:next w:val="Sombreadomedio1-nfasis2"/>
    <w:uiPriority w:val="63"/>
    <w:semiHidden/>
    <w:unhideWhenUsed/>
    <w:rsid w:val="007C06B5"/>
    <w:rPr>
      <w:lang w:val="es-ES_tradnl" w:eastAsia="en-US"/>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uadrculavistosa-nfasis53">
    <w:name w:val="Cuadrícula vistosa - Énfasis 53"/>
    <w:basedOn w:val="Tablanormal"/>
    <w:next w:val="Cuadrculavistosa-nfasis5"/>
    <w:uiPriority w:val="73"/>
    <w:semiHidden/>
    <w:unhideWhenUsed/>
    <w:rsid w:val="007C06B5"/>
    <w:rPr>
      <w:color w:val="000000"/>
      <w:lang w:val="es-ES_tradnl" w:eastAsia="en-US"/>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aconcuadrculaclara2">
    <w:name w:val="Tabla con cuadrícula clara2"/>
    <w:basedOn w:val="Tablanormal"/>
    <w:next w:val="Tablaconcuadrculaclara"/>
    <w:uiPriority w:val="40"/>
    <w:rsid w:val="007C06B5"/>
    <w:rPr>
      <w:rFonts w:ascii="Calibri" w:eastAsia="Calibri" w:hAnsi="Calibri"/>
      <w:lang w:val="es-ES_tradnl"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4-nfasis14">
    <w:name w:val="Tabla con cuadrícula 4 - Énfasis 14"/>
    <w:basedOn w:val="Tablanormal"/>
    <w:next w:val="Tablaconcuadrcula4-nfasis1"/>
    <w:uiPriority w:val="49"/>
    <w:rsid w:val="007C06B5"/>
    <w:rPr>
      <w:rFonts w:ascii="Calibri" w:eastAsia="Calibri" w:hAnsi="Calibri"/>
      <w:lang w:val="es-ES_tradnl" w:eastAsia="en-US"/>
    </w:rPr>
    <w:tblPr>
      <w:tblStyleRowBandSize w:val="1"/>
      <w:tblStyleColBandSize w:val="1"/>
      <w:tblInd w:w="0" w:type="nil"/>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color w:val="FFFFFF"/>
      </w:rPr>
      <w:tblPr/>
      <w:tcPr>
        <w:tcBorders>
          <w:top w:val="single" w:sz="4" w:space="0" w:color="4472C4"/>
          <w:left w:val="single" w:sz="4" w:space="0" w:color="4472C4"/>
          <w:bottom w:val="single" w:sz="4" w:space="0" w:color="4472C4"/>
          <w:right w:val="single" w:sz="4" w:space="0" w:color="4472C4"/>
          <w:insideH w:val="nil"/>
          <w:insideV w:val="nil"/>
        </w:tcBorders>
        <w:shd w:val="clear" w:color="auto" w:fill="4472C4"/>
      </w:tcPr>
    </w:tblStylePr>
    <w:tblStylePr w:type="lastRow">
      <w:rPr>
        <w:b/>
        <w:bCs/>
      </w:rPr>
      <w:tblPr/>
      <w:tcPr>
        <w:tcBorders>
          <w:top w:val="double" w:sz="4" w:space="0" w:color="4472C4"/>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4-nfasis22">
    <w:name w:val="Tabla con cuadrícula 4 - Énfasis 22"/>
    <w:basedOn w:val="Tablanormal"/>
    <w:next w:val="Tablaconcuadrcula4-nfasis2"/>
    <w:uiPriority w:val="49"/>
    <w:rsid w:val="007C06B5"/>
    <w:rPr>
      <w:rFonts w:ascii="Calibri" w:eastAsia="Calibri" w:hAnsi="Calibri"/>
      <w:sz w:val="24"/>
      <w:szCs w:val="24"/>
      <w:lang w:val="es-ES_tradnl" w:eastAsia="en-US"/>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2-nfasis52">
    <w:name w:val="Tabla con cuadrícula 2 - Énfasis 52"/>
    <w:basedOn w:val="Tablanormal"/>
    <w:next w:val="Tablaconcuadrcula2-nfasis5"/>
    <w:uiPriority w:val="47"/>
    <w:rsid w:val="007C06B5"/>
    <w:rPr>
      <w:rFonts w:ascii="Calibri" w:eastAsia="Calibri" w:hAnsi="Calibri"/>
      <w:lang w:val="es-ES_tradnl" w:eastAsia="en-US"/>
    </w:rPr>
    <w:tblPr>
      <w:tblStyleRowBandSize w:val="1"/>
      <w:tblStyleColBandSize w:val="1"/>
      <w:tblInd w:w="0" w:type="nil"/>
      <w:tblBorders>
        <w:top w:val="single" w:sz="2" w:space="0" w:color="9CC2E5"/>
        <w:bottom w:val="single" w:sz="2" w:space="0" w:color="9CC2E5"/>
        <w:insideH w:val="single" w:sz="2" w:space="0" w:color="9CC2E5"/>
        <w:insideV w:val="single" w:sz="2" w:space="0" w:color="9CC2E5"/>
      </w:tblBorders>
    </w:tblPr>
    <w:tblStylePr w:type="firstRow">
      <w:rPr>
        <w:b/>
        <w:bCs/>
      </w:rPr>
      <w:tblPr/>
      <w:tcPr>
        <w:tcBorders>
          <w:top w:val="nil"/>
          <w:bottom w:val="single" w:sz="12" w:space="0" w:color="9CC2E5"/>
          <w:insideH w:val="nil"/>
          <w:insideV w:val="nil"/>
        </w:tcBorders>
        <w:shd w:val="clear" w:color="auto" w:fill="FFFFFF"/>
      </w:tcPr>
    </w:tblStylePr>
    <w:tblStylePr w:type="lastRow">
      <w:rPr>
        <w:b/>
        <w:bCs/>
      </w:rPr>
      <w:tblPr/>
      <w:tcPr>
        <w:tcBorders>
          <w:top w:val="double" w:sz="2" w:space="0" w:color="9CC2E5"/>
          <w:bottom w:val="nil"/>
          <w:insideH w:val="nil"/>
          <w:insideV w:val="nil"/>
        </w:tcBorders>
        <w:shd w:val="clear" w:color="auto" w:fill="FFFFFF"/>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lista411">
    <w:name w:val="Tabla de lista 411"/>
    <w:basedOn w:val="Tablanormal"/>
    <w:uiPriority w:val="49"/>
    <w:rsid w:val="007C06B5"/>
    <w:rPr>
      <w:rFonts w:ascii="Calibri" w:eastAsia="Calibri" w:hAnsi="Calibri"/>
      <w:sz w:val="22"/>
      <w:szCs w:val="22"/>
      <w:lang w:val="es-ES_tradnl" w:eastAsia="en-US"/>
    </w:rPr>
    <w:tblPr>
      <w:tblStyleRowBandSize w:val="1"/>
      <w:tblStyleColBandSize w:val="1"/>
      <w:tblInd w:w="0" w:type="nil"/>
      <w:tblBorders>
        <w:top w:val="single" w:sz="4" w:space="0" w:color="666666"/>
        <w:left w:val="single" w:sz="4" w:space="0" w:color="666666"/>
        <w:bottom w:val="single" w:sz="4" w:space="0" w:color="666666"/>
        <w:right w:val="single" w:sz="4" w:space="0" w:color="666666"/>
        <w:insideH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tcBorders>
        <w:shd w:val="clear" w:color="auto" w:fill="000000"/>
      </w:tcPr>
    </w:tblStylePr>
    <w:tblStylePr w:type="lastRow">
      <w:rPr>
        <w:b/>
        <w:bCs/>
      </w:rPr>
      <w:tblPr/>
      <w:tcPr>
        <w:tcBorders>
          <w:top w:val="doub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table" w:customStyle="1" w:styleId="Tablaconcuadrcula1clara-nfasis313">
    <w:name w:val="Tabla con cuadrícula 1 clara - Énfasis 313"/>
    <w:basedOn w:val="Tablanormal"/>
    <w:uiPriority w:val="46"/>
    <w:rsid w:val="007C06B5"/>
    <w:rPr>
      <w:rFonts w:ascii="Calibri" w:eastAsia="Calibri" w:hAnsi="Calibri"/>
      <w:sz w:val="24"/>
      <w:szCs w:val="24"/>
      <w:lang w:val="es-ES_tradnl" w:eastAsia="en-US"/>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decuadrcula4-nfasis211">
    <w:name w:val="Tabla de cuadrícula 4 - Énfasis 211"/>
    <w:basedOn w:val="Tablanormal"/>
    <w:uiPriority w:val="49"/>
    <w:rsid w:val="007C06B5"/>
    <w:rPr>
      <w:rFonts w:ascii="Calibri" w:eastAsia="Calibri" w:hAnsi="Calibri"/>
      <w:sz w:val="24"/>
      <w:szCs w:val="24"/>
      <w:lang w:val="es-ES_tradnl" w:eastAsia="en-US"/>
    </w:rPr>
    <w:tblPr>
      <w:tblStyleRowBandSize w:val="1"/>
      <w:tblStyleColBandSize w:val="1"/>
      <w:tblInd w:w="0" w:type="nil"/>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color w:val="FFFFFF"/>
      </w:rPr>
      <w:tblPr/>
      <w:tcPr>
        <w:tcBorders>
          <w:top w:val="single" w:sz="4" w:space="0" w:color="ED7D31"/>
          <w:left w:val="single" w:sz="4" w:space="0" w:color="ED7D31"/>
          <w:bottom w:val="single" w:sz="4" w:space="0" w:color="ED7D31"/>
          <w:right w:val="single" w:sz="4" w:space="0" w:color="ED7D31"/>
          <w:insideH w:val="nil"/>
          <w:insideV w:val="nil"/>
        </w:tcBorders>
        <w:shd w:val="clear" w:color="auto" w:fill="ED7D31"/>
      </w:tcPr>
    </w:tblStylePr>
    <w:tblStylePr w:type="lastRow">
      <w:rPr>
        <w:b/>
        <w:bCs/>
      </w:rPr>
      <w:tblPr/>
      <w:tcPr>
        <w:tcBorders>
          <w:top w:val="double" w:sz="4" w:space="0" w:color="ED7D31"/>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42">
    <w:name w:val="Tabla con cuadrícula42"/>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52">
    <w:name w:val="Tabla con cuadrícula52"/>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62">
    <w:name w:val="Tabla con cuadrícula62"/>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73">
    <w:name w:val="Tabla con cuadrícula73"/>
    <w:basedOn w:val="Tablanormal"/>
    <w:uiPriority w:val="5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312">
    <w:name w:val="Tabla de lista 4 - Énfasis 312"/>
    <w:basedOn w:val="Tablanormal"/>
    <w:uiPriority w:val="49"/>
    <w:rsid w:val="007C06B5"/>
    <w:rPr>
      <w:rFonts w:ascii="Calibri" w:eastAsia="Calibri" w:hAnsi="Calibri"/>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312">
    <w:name w:val="Tabla de lista 3 - Énfasis 312"/>
    <w:basedOn w:val="Tablanormal"/>
    <w:uiPriority w:val="48"/>
    <w:rsid w:val="007C06B5"/>
    <w:rPr>
      <w:rFonts w:ascii="Calibri" w:eastAsia="Calibri" w:hAnsi="Calibri"/>
      <w:lang w:val="es-ES_tradnl" w:eastAsia="en-US"/>
    </w:rPr>
    <w:tblPr>
      <w:tblStyleRowBandSize w:val="1"/>
      <w:tblStyleColBandSize w:val="1"/>
      <w:tblInd w:w="0" w:type="nil"/>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laconcuadrcula6concolores-nfasis312">
    <w:name w:val="Tabla con cuadrícula 6 con colores - Énfasis 312"/>
    <w:basedOn w:val="Tablanormal"/>
    <w:uiPriority w:val="51"/>
    <w:rsid w:val="007C06B5"/>
    <w:rPr>
      <w:rFonts w:ascii="Calibri" w:eastAsia="Calibri" w:hAnsi="Calibri"/>
      <w:color w:val="7B7B7B"/>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1clara-nfasis3112">
    <w:name w:val="Tabla con cuadrícula 1 clara - Énfasis 3112"/>
    <w:basedOn w:val="Tablanormal"/>
    <w:uiPriority w:val="46"/>
    <w:rsid w:val="007C06B5"/>
    <w:rPr>
      <w:rFonts w:ascii="Calibri" w:eastAsia="Calibri" w:hAnsi="Calibri"/>
      <w:lang w:val="es-ES_tradnl" w:eastAsia="en-US"/>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concuadrcula820">
    <w:name w:val="Tabla con cuadrícula82"/>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91">
    <w:name w:val="Tabla con cuadrícula91"/>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clara-nfasis1112">
    <w:name w:val="Tabla con cuadrícula 1 clara - Énfasis 1112"/>
    <w:basedOn w:val="Tablanormal"/>
    <w:uiPriority w:val="46"/>
    <w:rsid w:val="007C06B5"/>
    <w:pPr>
      <w:jc w:val="both"/>
    </w:pPr>
    <w:rPr>
      <w:rFonts w:ascii="Calibri" w:eastAsia="Calibri" w:hAnsi="Calibri"/>
      <w:sz w:val="24"/>
      <w:szCs w:val="24"/>
      <w:lang w:val="es-ES_tradnl" w:eastAsia="en-US"/>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101">
    <w:name w:val="Tabla con cuadrícula101"/>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42">
    <w:name w:val="Tabla con cuadrícula142"/>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52">
    <w:name w:val="Tabla con cuadrícula152"/>
    <w:basedOn w:val="Tablanormal"/>
    <w:uiPriority w:val="39"/>
    <w:rsid w:val="007C06B5"/>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62">
    <w:name w:val="Tabla con cuadrícula162"/>
    <w:basedOn w:val="Tablanormal"/>
    <w:uiPriority w:val="39"/>
    <w:rsid w:val="007C06B5"/>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71">
    <w:name w:val="Tabla con cuadrícula171"/>
    <w:basedOn w:val="Tablanormal"/>
    <w:uiPriority w:val="39"/>
    <w:rsid w:val="007C06B5"/>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81">
    <w:name w:val="Tabla con cuadrícula181"/>
    <w:basedOn w:val="Tablanormal"/>
    <w:uiPriority w:val="39"/>
    <w:rsid w:val="007C06B5"/>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qFormat/>
    <w:rsid w:val="007C06B5"/>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91">
    <w:name w:val="Tabla con cuadrícula191"/>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201">
    <w:name w:val="Tabla con cuadrícula201"/>
    <w:basedOn w:val="Tablanormal"/>
    <w:uiPriority w:val="39"/>
    <w:rsid w:val="007C06B5"/>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01">
    <w:name w:val="Tabla con cuadrícula1101"/>
    <w:basedOn w:val="Tablanormal"/>
    <w:uiPriority w:val="39"/>
    <w:rsid w:val="007C06B5"/>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21">
    <w:name w:val="Table Normal21"/>
    <w:uiPriority w:val="2"/>
    <w:semiHidden/>
    <w:qFormat/>
    <w:rsid w:val="007C06B5"/>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411">
    <w:name w:val="Tabla con cuadrícula411"/>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31">
    <w:name w:val="Table Normal31"/>
    <w:uiPriority w:val="2"/>
    <w:semiHidden/>
    <w:qFormat/>
    <w:rsid w:val="007C06B5"/>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1122">
    <w:name w:val="Tabla con cuadrícula1122"/>
    <w:basedOn w:val="Tablanormal"/>
    <w:uiPriority w:val="39"/>
    <w:rsid w:val="007C06B5"/>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41">
    <w:name w:val="Table Normal41"/>
    <w:uiPriority w:val="2"/>
    <w:semiHidden/>
    <w:qFormat/>
    <w:rsid w:val="007C06B5"/>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232">
    <w:name w:val="Tabla con cuadrícula232"/>
    <w:basedOn w:val="Tablanormal"/>
    <w:uiPriority w:val="39"/>
    <w:rsid w:val="007C06B5"/>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31">
    <w:name w:val="Tabla con cuadrícula1131"/>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211">
    <w:name w:val="Tabla clásica 211"/>
    <w:basedOn w:val="Tablanormal"/>
    <w:rsid w:val="007C06B5"/>
    <w:rPr>
      <w:lang w:val="es-ES_tradnl" w:eastAsia="en-US"/>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ombreadomedio1-nfasis211">
    <w:name w:val="Sombreado medio 1 - Énfasis 211"/>
    <w:basedOn w:val="Tablanormal"/>
    <w:uiPriority w:val="63"/>
    <w:rsid w:val="007C06B5"/>
    <w:rPr>
      <w:lang w:val="es-ES_tradnl" w:eastAsia="en-US"/>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uadrculavistosa-nfasis511">
    <w:name w:val="Cuadrícula vistosa - Énfasis 511"/>
    <w:basedOn w:val="Tablanormal"/>
    <w:uiPriority w:val="73"/>
    <w:rsid w:val="007C06B5"/>
    <w:rPr>
      <w:color w:val="000000"/>
      <w:lang w:val="es-ES_tradnl" w:eastAsia="en-US"/>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Tablaconcuadrcula242">
    <w:name w:val="Tabla con cuadrícula242"/>
    <w:basedOn w:val="Tablanormal"/>
    <w:rsid w:val="007C06B5"/>
    <w:pPr>
      <w:jc w:val="both"/>
    </w:pPr>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delista4-nfasis3112">
    <w:name w:val="Tabla de lista 4 - Énfasis 3112"/>
    <w:basedOn w:val="Tablanormal"/>
    <w:uiPriority w:val="49"/>
    <w:rsid w:val="007C06B5"/>
    <w:pPr>
      <w:jc w:val="both"/>
    </w:pPr>
    <w:rPr>
      <w:rFonts w:ascii="Calibri" w:eastAsia="Calibri" w:hAnsi="Calibri"/>
      <w:sz w:val="24"/>
      <w:szCs w:val="24"/>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tblBorders>
    </w:tblPr>
    <w:tblStylePr w:type="firstRow">
      <w:rPr>
        <w:b/>
        <w:bCs/>
        <w:color w:val="FFFFFF"/>
      </w:rPr>
      <w:tblPr/>
      <w:tcPr>
        <w:tcBorders>
          <w:top w:val="single" w:sz="4" w:space="0" w:color="A5A5A5"/>
          <w:left w:val="single" w:sz="4" w:space="0" w:color="A5A5A5"/>
          <w:bottom w:val="single" w:sz="4" w:space="0" w:color="A5A5A5"/>
          <w:right w:val="single" w:sz="4" w:space="0" w:color="A5A5A5"/>
          <w:insideH w:val="nil"/>
        </w:tcBorders>
        <w:shd w:val="clear" w:color="auto" w:fill="A5A5A5"/>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delista3-nfasis3111">
    <w:name w:val="Tabla de lista 3 - Énfasis 3111"/>
    <w:basedOn w:val="Tablanormal"/>
    <w:uiPriority w:val="48"/>
    <w:rsid w:val="007C06B5"/>
    <w:pPr>
      <w:jc w:val="both"/>
    </w:pPr>
    <w:rPr>
      <w:rFonts w:ascii="Calibri" w:eastAsia="Calibri" w:hAnsi="Calibri"/>
      <w:sz w:val="24"/>
      <w:szCs w:val="24"/>
      <w:lang w:val="es-ES_tradnl" w:eastAsia="en-US"/>
    </w:rPr>
    <w:tblPr>
      <w:tblStyleRowBandSize w:val="1"/>
      <w:tblStyleColBandSize w:val="1"/>
      <w:tblInd w:w="0" w:type="nil"/>
      <w:tblBorders>
        <w:top w:val="single" w:sz="4" w:space="0" w:color="A5A5A5"/>
        <w:left w:val="single" w:sz="4" w:space="0" w:color="A5A5A5"/>
        <w:bottom w:val="single" w:sz="4" w:space="0" w:color="A5A5A5"/>
        <w:right w:val="single" w:sz="4" w:space="0" w:color="A5A5A5"/>
      </w:tblBorders>
    </w:tblPr>
    <w:tblStylePr w:type="firstRow">
      <w:rPr>
        <w:b/>
        <w:bCs/>
        <w:color w:val="FFFFFF"/>
      </w:rPr>
      <w:tblPr/>
      <w:tcPr>
        <w:shd w:val="clear" w:color="auto" w:fill="A5A5A5"/>
      </w:tcPr>
    </w:tblStylePr>
    <w:tblStylePr w:type="lastRow">
      <w:rPr>
        <w:b/>
        <w:bCs/>
      </w:rPr>
      <w:tblPr/>
      <w:tcPr>
        <w:tcBorders>
          <w:top w:val="double" w:sz="4" w:space="0" w:color="A5A5A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A5A5A5"/>
          <w:right w:val="single" w:sz="4" w:space="0" w:color="A5A5A5"/>
        </w:tcBorders>
      </w:tcPr>
    </w:tblStylePr>
    <w:tblStylePr w:type="band1Horz">
      <w:tblPr/>
      <w:tcPr>
        <w:tcBorders>
          <w:top w:val="single" w:sz="4" w:space="0" w:color="A5A5A5"/>
          <w:bottom w:val="single" w:sz="4" w:space="0" w:color="A5A5A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left w:val="nil"/>
        </w:tcBorders>
      </w:tcPr>
    </w:tblStylePr>
    <w:tblStylePr w:type="swCell">
      <w:tblPr/>
      <w:tcPr>
        <w:tcBorders>
          <w:top w:val="double" w:sz="4" w:space="0" w:color="A5A5A5"/>
          <w:right w:val="nil"/>
        </w:tcBorders>
      </w:tcPr>
    </w:tblStylePr>
  </w:style>
  <w:style w:type="table" w:customStyle="1" w:styleId="Tablaconcuadrcula6concolores-nfasis3111">
    <w:name w:val="Tabla con cuadrícula 6 con colores - Énfasis 3111"/>
    <w:basedOn w:val="Tablanormal"/>
    <w:uiPriority w:val="51"/>
    <w:rsid w:val="007C06B5"/>
    <w:pPr>
      <w:jc w:val="both"/>
    </w:pPr>
    <w:rPr>
      <w:rFonts w:ascii="Calibri" w:eastAsia="Calibri" w:hAnsi="Calibri"/>
      <w:color w:val="7B7B7B"/>
      <w:sz w:val="24"/>
      <w:szCs w:val="24"/>
      <w:lang w:val="es-ES_tradnl" w:eastAsia="en-US"/>
    </w:rPr>
    <w:tblPr>
      <w:tblStyleRowBandSize w:val="1"/>
      <w:tblStyleColBandSize w:val="1"/>
      <w:tblInd w:w="0" w:type="nil"/>
      <w:tblBorders>
        <w:top w:val="single" w:sz="4" w:space="0" w:color="C9C9C9"/>
        <w:left w:val="single" w:sz="4" w:space="0" w:color="C9C9C9"/>
        <w:bottom w:val="single" w:sz="4" w:space="0" w:color="C9C9C9"/>
        <w:right w:val="single" w:sz="4" w:space="0" w:color="C9C9C9"/>
        <w:insideH w:val="single" w:sz="4" w:space="0" w:color="C9C9C9"/>
        <w:insideV w:val="single" w:sz="4" w:space="0" w:color="C9C9C9"/>
      </w:tblBorders>
    </w:tblPr>
    <w:tblStylePr w:type="firstRow">
      <w:rPr>
        <w:b/>
        <w:bCs/>
      </w:rPr>
      <w:tblPr/>
      <w:tcPr>
        <w:tcBorders>
          <w:bottom w:val="single" w:sz="12" w:space="0" w:color="C9C9C9"/>
        </w:tcBorders>
      </w:tcPr>
    </w:tblStylePr>
    <w:tblStylePr w:type="lastRow">
      <w:rPr>
        <w:b/>
        <w:bCs/>
      </w:rPr>
      <w:tblPr/>
      <w:tcPr>
        <w:tcBorders>
          <w:top w:val="double" w:sz="4" w:space="0" w:color="C9C9C9"/>
        </w:tcBorders>
      </w:tcPr>
    </w:tblStylePr>
    <w:tblStylePr w:type="firstCol">
      <w:rPr>
        <w:b/>
        <w:bCs/>
      </w:rPr>
    </w:tblStylePr>
    <w:tblStylePr w:type="lastCol">
      <w:rPr>
        <w:b/>
        <w:bCs/>
      </w:rPr>
    </w:tblStylePr>
    <w:tblStylePr w:type="band1Vert">
      <w:tblPr/>
      <w:tcPr>
        <w:shd w:val="clear" w:color="auto" w:fill="EDEDED"/>
      </w:tcPr>
    </w:tblStylePr>
    <w:tblStylePr w:type="band1Horz">
      <w:tblPr/>
      <w:tcPr>
        <w:shd w:val="clear" w:color="auto" w:fill="EDEDED"/>
      </w:tcPr>
    </w:tblStylePr>
  </w:style>
  <w:style w:type="table" w:customStyle="1" w:styleId="Tablaconcuadrcula1clara-nfasis3121">
    <w:name w:val="Tabla con cuadrícula 1 clara - Énfasis 3121"/>
    <w:basedOn w:val="Tablanormal"/>
    <w:uiPriority w:val="46"/>
    <w:rsid w:val="007C06B5"/>
    <w:pPr>
      <w:jc w:val="both"/>
    </w:pPr>
    <w:rPr>
      <w:rFonts w:ascii="Calibri" w:eastAsia="Calibri" w:hAnsi="Calibri"/>
      <w:sz w:val="24"/>
      <w:szCs w:val="24"/>
      <w:lang w:val="es-ES_tradnl" w:eastAsia="en-US"/>
    </w:rPr>
    <w:tblPr>
      <w:tblStyleRowBandSize w:val="1"/>
      <w:tblStyleColBandSize w:val="1"/>
      <w:tblInd w:w="0" w:type="nil"/>
      <w:tblBorders>
        <w:top w:val="single" w:sz="4" w:space="0" w:color="DBDBDB"/>
        <w:left w:val="single" w:sz="4" w:space="0" w:color="DBDBDB"/>
        <w:bottom w:val="single" w:sz="4" w:space="0" w:color="DBDBDB"/>
        <w:right w:val="single" w:sz="4" w:space="0" w:color="DBDBDB"/>
        <w:insideH w:val="single" w:sz="4" w:space="0" w:color="DBDBDB"/>
        <w:insideV w:val="single" w:sz="4" w:space="0" w:color="DBDBDB"/>
      </w:tblBorders>
    </w:tblPr>
    <w:tblStylePr w:type="firstRow">
      <w:rPr>
        <w:b/>
        <w:bCs/>
      </w:rPr>
      <w:tblPr/>
      <w:tcPr>
        <w:tcBorders>
          <w:bottom w:val="single" w:sz="12" w:space="0" w:color="C9C9C9"/>
        </w:tcBorders>
      </w:tcPr>
    </w:tblStylePr>
    <w:tblStylePr w:type="lastRow">
      <w:rPr>
        <w:b/>
        <w:bCs/>
      </w:rPr>
      <w:tblPr/>
      <w:tcPr>
        <w:tcBorders>
          <w:top w:val="double" w:sz="2" w:space="0" w:color="C9C9C9"/>
        </w:tcBorders>
      </w:tcPr>
    </w:tblStylePr>
    <w:tblStylePr w:type="firstCol">
      <w:rPr>
        <w:b/>
        <w:bCs/>
      </w:rPr>
    </w:tblStylePr>
    <w:tblStylePr w:type="lastCol">
      <w:rPr>
        <w:b/>
        <w:bCs/>
      </w:rPr>
    </w:tblStylePr>
  </w:style>
  <w:style w:type="table" w:customStyle="1" w:styleId="Tablaconcuadrcula1clara-nfasis1121">
    <w:name w:val="Tabla con cuadrícula 1 clara - Énfasis 1121"/>
    <w:basedOn w:val="Tablanormal"/>
    <w:uiPriority w:val="46"/>
    <w:rsid w:val="007C06B5"/>
    <w:pPr>
      <w:jc w:val="both"/>
    </w:pPr>
    <w:rPr>
      <w:rFonts w:ascii="Calibri" w:eastAsia="Calibri" w:hAnsi="Calibri"/>
      <w:sz w:val="24"/>
      <w:szCs w:val="24"/>
      <w:lang w:val="es-ES_tradnl" w:eastAsia="en-US"/>
    </w:rPr>
    <w:tblPr>
      <w:tblStyleRowBandSize w:val="1"/>
      <w:tblStyleColBandSize w:val="1"/>
      <w:tblInd w:w="0" w:type="nil"/>
      <w:tblBorders>
        <w:top w:val="single" w:sz="4" w:space="0" w:color="B4C6E7"/>
        <w:left w:val="single" w:sz="4" w:space="0" w:color="B4C6E7"/>
        <w:bottom w:val="single" w:sz="4" w:space="0" w:color="B4C6E7"/>
        <w:right w:val="single" w:sz="4" w:space="0" w:color="B4C6E7"/>
        <w:insideH w:val="single" w:sz="4" w:space="0" w:color="B4C6E7"/>
        <w:insideV w:val="single" w:sz="4" w:space="0" w:color="B4C6E7"/>
      </w:tblBorders>
    </w:tblPr>
    <w:tblStylePr w:type="firstRow">
      <w:rPr>
        <w:b/>
        <w:bCs/>
      </w:rPr>
      <w:tblPr/>
      <w:tcPr>
        <w:tcBorders>
          <w:bottom w:val="single" w:sz="12" w:space="0" w:color="8EAADB"/>
        </w:tcBorders>
      </w:tcPr>
    </w:tblStylePr>
    <w:tblStylePr w:type="lastRow">
      <w:rPr>
        <w:b/>
        <w:bCs/>
      </w:rPr>
      <w:tblPr/>
      <w:tcPr>
        <w:tcBorders>
          <w:top w:val="double" w:sz="2" w:space="0" w:color="8EAADB"/>
        </w:tcBorders>
      </w:tcPr>
    </w:tblStylePr>
    <w:tblStylePr w:type="firstCol">
      <w:rPr>
        <w:b/>
        <w:bCs/>
      </w:rPr>
    </w:tblStylePr>
    <w:tblStylePr w:type="lastCol">
      <w:rPr>
        <w:b/>
        <w:bCs/>
      </w:rPr>
    </w:tblStylePr>
  </w:style>
  <w:style w:type="table" w:customStyle="1" w:styleId="Tablaconcuadrculaclara12">
    <w:name w:val="Tabla con cuadrícula clara12"/>
    <w:basedOn w:val="Tablanormal"/>
    <w:uiPriority w:val="40"/>
    <w:rsid w:val="007C06B5"/>
    <w:rPr>
      <w:rFonts w:ascii="Calibri" w:eastAsia="Calibri" w:hAnsi="Calibri"/>
      <w:sz w:val="24"/>
      <w:szCs w:val="24"/>
      <w:lang w:val="es-ES_tradnl" w:eastAsia="en-US"/>
    </w:rPr>
    <w:tblPr>
      <w:tblInd w:w="0" w:type="nil"/>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Tablaconcuadrcula251">
    <w:name w:val="Tabla con cuadrícula251"/>
    <w:basedOn w:val="Tablanormal"/>
    <w:uiPriority w:val="39"/>
    <w:rsid w:val="007C06B5"/>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41">
    <w:name w:val="Tabla con cuadrícula1141"/>
    <w:basedOn w:val="Tablanormal"/>
    <w:uiPriority w:val="39"/>
    <w:rsid w:val="007C06B5"/>
    <w:rPr>
      <w:rFonts w:ascii="Calibri" w:eastAsia="Calibri" w:hAnsi="Calibri"/>
      <w:sz w:val="24"/>
      <w:szCs w:val="24"/>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lsica221">
    <w:name w:val="Tabla clásica 221"/>
    <w:basedOn w:val="Tablanormal"/>
    <w:rsid w:val="007C06B5"/>
    <w:rPr>
      <w:lang w:val="es-ES_tradnl" w:eastAsia="en-US"/>
    </w:rPr>
    <w:tblPr>
      <w:tblInd w:w="0" w:type="nil"/>
      <w:tblBorders>
        <w:top w:val="single" w:sz="12" w:space="0" w:color="000000"/>
        <w:bottom w:val="single" w:sz="12" w:space="0" w:color="000000"/>
      </w:tblBorders>
    </w:tbl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customStyle="1" w:styleId="Sombreadomedio1-nfasis221">
    <w:name w:val="Sombreado medio 1 - Énfasis 221"/>
    <w:basedOn w:val="Tablanormal"/>
    <w:uiPriority w:val="63"/>
    <w:rsid w:val="007C06B5"/>
    <w:rPr>
      <w:lang w:val="es-ES_tradnl" w:eastAsia="en-US"/>
    </w:rPr>
    <w:tblPr>
      <w:tblStyleRowBandSize w:val="1"/>
      <w:tblStyleColBandSize w:val="1"/>
      <w:tblInd w:w="0" w:type="nil"/>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Lines="0" w:before="100" w:beforeAutospacing="1" w:afterLines="0" w:after="100" w:afterAutospacing="1"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Lines="0" w:before="100" w:beforeAutospacing="1" w:afterLines="0" w:after="100" w:afterAutospacing="1"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customStyle="1" w:styleId="Cuadrculavistosa-nfasis521">
    <w:name w:val="Cuadrícula vistosa - Énfasis 521"/>
    <w:basedOn w:val="Tablanormal"/>
    <w:uiPriority w:val="73"/>
    <w:rsid w:val="007C06B5"/>
    <w:rPr>
      <w:color w:val="000000"/>
      <w:lang w:val="es-ES_tradnl" w:eastAsia="en-US"/>
    </w:rPr>
    <w:tblPr>
      <w:tblStyleRowBandSize w:val="1"/>
      <w:tblStyleColBandSize w:val="1"/>
      <w:tblInd w:w="0" w:type="nil"/>
      <w:tblBorders>
        <w:insideH w:val="single" w:sz="4" w:space="0" w:color="FFFFFF"/>
      </w:tblBorders>
    </w:tblPr>
    <w:tcPr>
      <w:shd w:val="clear" w:color="auto" w:fill="DAEEF3"/>
    </w:tcPr>
    <w:tblStylePr w:type="firstRow">
      <w:rPr>
        <w:b/>
        <w:bCs/>
      </w:rPr>
      <w:tblPr/>
      <w:tcPr>
        <w:shd w:val="clear" w:color="auto" w:fill="B6DDE8"/>
      </w:tcPr>
    </w:tblStylePr>
    <w:tblStylePr w:type="lastRow">
      <w:rPr>
        <w:b/>
        <w:bCs/>
        <w:color w:val="000000"/>
      </w:rPr>
      <w:tblPr/>
      <w:tcPr>
        <w:shd w:val="clear" w:color="auto" w:fill="B6DDE8"/>
      </w:tcPr>
    </w:tblStylePr>
    <w:tblStylePr w:type="firstCol">
      <w:rPr>
        <w:color w:val="FFFFFF"/>
      </w:rPr>
      <w:tblPr/>
      <w:tcPr>
        <w:shd w:val="clear" w:color="auto" w:fill="31849B"/>
      </w:tcPr>
    </w:tblStylePr>
    <w:tblStylePr w:type="lastCol">
      <w:rPr>
        <w:color w:val="FFFFFF"/>
      </w:rPr>
      <w:tblPr/>
      <w:tcPr>
        <w:shd w:val="clear" w:color="auto" w:fill="31849B"/>
      </w:tcPr>
    </w:tblStylePr>
    <w:tblStylePr w:type="band1Vert">
      <w:tblPr/>
      <w:tcPr>
        <w:shd w:val="clear" w:color="auto" w:fill="A5D5E2"/>
      </w:tcPr>
    </w:tblStylePr>
    <w:tblStylePr w:type="band1Horz">
      <w:tblPr/>
      <w:tcPr>
        <w:shd w:val="clear" w:color="auto" w:fill="A5D5E2"/>
      </w:tcPr>
    </w:tblStylePr>
  </w:style>
  <w:style w:type="table" w:customStyle="1" w:styleId="Sombreadoclaro-nfasis1112">
    <w:name w:val="Sombreado claro - Énfasis 1112"/>
    <w:basedOn w:val="Tablanormal"/>
    <w:uiPriority w:val="60"/>
    <w:rsid w:val="007C06B5"/>
    <w:rPr>
      <w:color w:val="365F91"/>
      <w:lang w:val="es-ES_tradnl" w:eastAsia="en-US"/>
    </w:rPr>
    <w:tblPr>
      <w:tblStyleRowBandSize w:val="1"/>
      <w:tblStyleColBandSize w:val="1"/>
      <w:tblInd w:w="0" w:type="nil"/>
      <w:tblBorders>
        <w:top w:val="single" w:sz="8" w:space="0" w:color="4F81BD"/>
        <w:bottom w:val="single" w:sz="8" w:space="0" w:color="4F81BD"/>
      </w:tblBorders>
    </w:tblPr>
    <w:tblStylePr w:type="fir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Tablaconcuadrcula261">
    <w:name w:val="Tabla con cuadrícula261"/>
    <w:basedOn w:val="Tablanormal"/>
    <w:uiPriority w:val="39"/>
    <w:rsid w:val="007C06B5"/>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51">
    <w:name w:val="Tabla con cuadrícula1151"/>
    <w:basedOn w:val="Tablanormal"/>
    <w:uiPriority w:val="39"/>
    <w:rsid w:val="007C06B5"/>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1">
    <w:name w:val="Table Normal51"/>
    <w:uiPriority w:val="2"/>
    <w:semiHidden/>
    <w:qFormat/>
    <w:rsid w:val="007C06B5"/>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concuadrcula271">
    <w:name w:val="Tabla con cuadrícula271"/>
    <w:basedOn w:val="Tablanormal"/>
    <w:uiPriority w:val="59"/>
    <w:rsid w:val="007C06B5"/>
    <w:pPr>
      <w:overflowPunct w:val="0"/>
      <w:autoSpaceDE w:val="0"/>
      <w:autoSpaceDN w:val="0"/>
      <w:adjustRightInd w:val="0"/>
    </w:pPr>
    <w:rPr>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1161">
    <w:name w:val="Tabla con cuadrícula1161"/>
    <w:basedOn w:val="Tablanormal"/>
    <w:uiPriority w:val="39"/>
    <w:rsid w:val="007C06B5"/>
    <w:rPr>
      <w:rFonts w:ascii="Calibri" w:eastAsia="Calibri" w:hAnsi="Calibri"/>
      <w:lang w:val="es-ES_tradnl"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1">
    <w:name w:val="Table Normal61"/>
    <w:uiPriority w:val="2"/>
    <w:semiHidden/>
    <w:qFormat/>
    <w:rsid w:val="007C06B5"/>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table" w:customStyle="1" w:styleId="Tabladelista4-nfasis52">
    <w:name w:val="Tabla de lista 4 - Énfasis 52"/>
    <w:basedOn w:val="Tablanormal"/>
    <w:next w:val="Tabladelista4-nfasis5"/>
    <w:uiPriority w:val="49"/>
    <w:rsid w:val="007C06B5"/>
    <w:rPr>
      <w:rFonts w:ascii="Calibri" w:eastAsia="Calibri" w:hAnsi="Calibri"/>
      <w:sz w:val="24"/>
      <w:szCs w:val="24"/>
      <w:lang w:val="es-ES_tradnl"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tcBorders>
        <w:shd w:val="clear" w:color="auto" w:fill="5B9BD5"/>
      </w:tcPr>
    </w:tblStylePr>
    <w:tblStylePr w:type="lastRow">
      <w:rPr>
        <w:b/>
        <w:bCs/>
      </w:rPr>
      <w:tblPr/>
      <w:tcPr>
        <w:tcBorders>
          <w:top w:val="double" w:sz="4" w:space="0" w:color="9CC2E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normal42">
    <w:name w:val="Tabla normal 42"/>
    <w:basedOn w:val="Tablanormal"/>
    <w:next w:val="Tablanormal4"/>
    <w:uiPriority w:val="44"/>
    <w:rsid w:val="007C06B5"/>
    <w:pPr>
      <w:ind w:left="567"/>
    </w:pPr>
    <w:rPr>
      <w:rFonts w:ascii="Calibri" w:eastAsia="Calibri" w:hAnsi="Calibri"/>
      <w:sz w:val="24"/>
      <w:szCs w:val="24"/>
      <w:lang w:val="es-ES_tradnl" w:eastAsia="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customStyle="1" w:styleId="Tablaconcuadrcula1Claro-nfasis22">
    <w:name w:val="Tabla con cuadrícula 1 Claro - Énfasis 22"/>
    <w:basedOn w:val="Tablanormal"/>
    <w:next w:val="Tablaconcuadrcula1Claro-nfasis2"/>
    <w:uiPriority w:val="46"/>
    <w:rsid w:val="007C06B5"/>
    <w:pPr>
      <w:ind w:left="567"/>
    </w:pPr>
    <w:rPr>
      <w:rFonts w:ascii="Calibri" w:eastAsia="Calibri" w:hAnsi="Calibri"/>
      <w:sz w:val="24"/>
      <w:szCs w:val="24"/>
      <w:lang w:val="es-ES_tradnl" w:eastAsia="en-US"/>
    </w:rPr>
    <w:tblPr>
      <w:tblStyleRowBandSize w:val="1"/>
      <w:tblStyleColBandSize w:val="1"/>
      <w:tblBorders>
        <w:top w:val="single" w:sz="4" w:space="0" w:color="F7CAAC"/>
        <w:left w:val="single" w:sz="4" w:space="0" w:color="F7CAAC"/>
        <w:bottom w:val="single" w:sz="4" w:space="0" w:color="F7CAAC"/>
        <w:right w:val="single" w:sz="4" w:space="0" w:color="F7CAAC"/>
        <w:insideH w:val="single" w:sz="4" w:space="0" w:color="F7CAAC"/>
        <w:insideV w:val="single" w:sz="4" w:space="0" w:color="F7CAAC"/>
      </w:tblBorders>
    </w:tblPr>
    <w:tblStylePr w:type="firstRow">
      <w:rPr>
        <w:b/>
        <w:bCs/>
      </w:rPr>
      <w:tblPr/>
      <w:tcPr>
        <w:tcBorders>
          <w:bottom w:val="single" w:sz="12" w:space="0" w:color="F4B083"/>
        </w:tcBorders>
      </w:tcPr>
    </w:tblStylePr>
    <w:tblStylePr w:type="lastRow">
      <w:rPr>
        <w:b/>
        <w:bCs/>
      </w:rPr>
      <w:tblPr/>
      <w:tcPr>
        <w:tcBorders>
          <w:top w:val="double" w:sz="2" w:space="0" w:color="F4B083"/>
        </w:tcBorders>
      </w:tcPr>
    </w:tblStylePr>
    <w:tblStylePr w:type="firstCol">
      <w:rPr>
        <w:b/>
        <w:bCs/>
      </w:rPr>
    </w:tblStylePr>
    <w:tblStylePr w:type="lastCol">
      <w:rPr>
        <w:b/>
        <w:bCs/>
      </w:rPr>
    </w:tblStylePr>
  </w:style>
  <w:style w:type="table" w:customStyle="1" w:styleId="Tablaconcuadrcula6concolores-nfasis22">
    <w:name w:val="Tabla con cuadrícula 6 con colores - Énfasis 22"/>
    <w:basedOn w:val="Tablanormal"/>
    <w:next w:val="Tablaconcuadrcula6concolores-nfasis2"/>
    <w:uiPriority w:val="51"/>
    <w:rsid w:val="007C06B5"/>
    <w:pPr>
      <w:ind w:left="567"/>
    </w:pPr>
    <w:rPr>
      <w:rFonts w:ascii="Calibri" w:eastAsia="Calibri" w:hAnsi="Calibri"/>
      <w:color w:val="C45911"/>
      <w:sz w:val="24"/>
      <w:szCs w:val="24"/>
      <w:lang w:val="es-ES_tradnl" w:eastAsia="en-US"/>
    </w:rPr>
    <w:tblPr>
      <w:tblStyleRowBandSize w:val="1"/>
      <w:tblStyleColBandSize w:val="1"/>
      <w:tblBorders>
        <w:top w:val="single" w:sz="4" w:space="0" w:color="F4B083"/>
        <w:left w:val="single" w:sz="4" w:space="0" w:color="F4B083"/>
        <w:bottom w:val="single" w:sz="4" w:space="0" w:color="F4B083"/>
        <w:right w:val="single" w:sz="4" w:space="0" w:color="F4B083"/>
        <w:insideH w:val="single" w:sz="4" w:space="0" w:color="F4B083"/>
        <w:insideV w:val="single" w:sz="4" w:space="0" w:color="F4B083"/>
      </w:tblBorders>
    </w:tblPr>
    <w:tblStylePr w:type="firstRow">
      <w:rPr>
        <w:b/>
        <w:bCs/>
      </w:rPr>
      <w:tblPr/>
      <w:tcPr>
        <w:tcBorders>
          <w:bottom w:val="single" w:sz="12" w:space="0" w:color="F4B083"/>
        </w:tcBorders>
      </w:tcPr>
    </w:tblStylePr>
    <w:tblStylePr w:type="lastRow">
      <w:rPr>
        <w:b/>
        <w:bCs/>
      </w:rPr>
      <w:tblPr/>
      <w:tcPr>
        <w:tcBorders>
          <w:top w:val="double" w:sz="4" w:space="0" w:color="F4B083"/>
        </w:tcBorders>
      </w:tcPr>
    </w:tblStylePr>
    <w:tblStylePr w:type="firstCol">
      <w:rPr>
        <w:b/>
        <w:bCs/>
      </w:rPr>
    </w:tblStylePr>
    <w:tblStylePr w:type="lastCol">
      <w:rPr>
        <w:b/>
        <w:bCs/>
      </w:rPr>
    </w:tblStylePr>
    <w:tblStylePr w:type="band1Vert">
      <w:tblPr/>
      <w:tcPr>
        <w:shd w:val="clear" w:color="auto" w:fill="FBE4D5"/>
      </w:tcPr>
    </w:tblStylePr>
    <w:tblStylePr w:type="band1Horz">
      <w:tblPr/>
      <w:tcPr>
        <w:shd w:val="clear" w:color="auto" w:fill="FBE4D5"/>
      </w:tcPr>
    </w:tblStylePr>
  </w:style>
  <w:style w:type="table" w:customStyle="1" w:styleId="Tablaconcuadrcula5oscura-nfasis22">
    <w:name w:val="Tabla con cuadrícula 5 oscura - Énfasis 22"/>
    <w:basedOn w:val="Tablanormal"/>
    <w:next w:val="Tablaconcuadrcula5oscura-nfasis2"/>
    <w:uiPriority w:val="50"/>
    <w:rsid w:val="007C06B5"/>
    <w:pPr>
      <w:ind w:left="567"/>
    </w:pPr>
    <w:rPr>
      <w:rFonts w:ascii="Calibri" w:eastAsia="Calibri" w:hAnsi="Calibri"/>
      <w:sz w:val="24"/>
      <w:szCs w:val="24"/>
      <w:lang w:val="es-ES_tradnl"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table" w:customStyle="1" w:styleId="Tabladelista2-nfasis62">
    <w:name w:val="Tabla de lista 2 - Énfasis 62"/>
    <w:basedOn w:val="Tablanormal"/>
    <w:next w:val="Tabladelista2-nfasis6"/>
    <w:uiPriority w:val="47"/>
    <w:rsid w:val="007C06B5"/>
    <w:pPr>
      <w:ind w:left="567"/>
    </w:pPr>
    <w:rPr>
      <w:rFonts w:ascii="Calibri" w:eastAsia="Calibri" w:hAnsi="Calibri"/>
      <w:sz w:val="24"/>
      <w:szCs w:val="24"/>
      <w:lang w:val="es-ES_tradnl" w:eastAsia="en-US"/>
    </w:rPr>
    <w:tblPr>
      <w:tblStyleRowBandSize w:val="1"/>
      <w:tblStyleColBandSize w:val="1"/>
      <w:tblBorders>
        <w:top w:val="single" w:sz="4" w:space="0" w:color="A8D08D"/>
        <w:bottom w:val="single" w:sz="4" w:space="0" w:color="A8D08D"/>
        <w:insideH w:val="single" w:sz="4" w:space="0" w:color="A8D08D"/>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2EFD9"/>
      </w:tcPr>
    </w:tblStylePr>
    <w:tblStylePr w:type="band1Horz">
      <w:tblPr/>
      <w:tcPr>
        <w:shd w:val="clear" w:color="auto" w:fill="E2EFD9"/>
      </w:tcPr>
    </w:tblStylePr>
  </w:style>
  <w:style w:type="table" w:customStyle="1" w:styleId="Tablaconcuadrcula1clara-nfasis62">
    <w:name w:val="Tabla con cuadrícula 1 clara - Énfasis 62"/>
    <w:basedOn w:val="Tablanormal"/>
    <w:next w:val="Tablaconcuadrcula1clara-nfasis6"/>
    <w:uiPriority w:val="46"/>
    <w:rsid w:val="007C06B5"/>
    <w:pPr>
      <w:ind w:left="567"/>
    </w:pPr>
    <w:rPr>
      <w:rFonts w:ascii="Calibri" w:eastAsia="Calibri" w:hAnsi="Calibri"/>
      <w:sz w:val="22"/>
      <w:szCs w:val="22"/>
      <w:lang w:eastAsia="en-US"/>
    </w:rPr>
    <w:tblPr>
      <w:tblStyleRowBandSize w:val="1"/>
      <w:tblStyleColBandSize w:val="1"/>
      <w:tblBorders>
        <w:top w:val="single" w:sz="4" w:space="0" w:color="C5E0B3"/>
        <w:left w:val="single" w:sz="4" w:space="0" w:color="C5E0B3"/>
        <w:bottom w:val="single" w:sz="4" w:space="0" w:color="C5E0B3"/>
        <w:right w:val="single" w:sz="4" w:space="0" w:color="C5E0B3"/>
        <w:insideH w:val="single" w:sz="4" w:space="0" w:color="C5E0B3"/>
        <w:insideV w:val="single" w:sz="4" w:space="0" w:color="C5E0B3"/>
      </w:tblBorders>
    </w:tblPr>
    <w:tblStylePr w:type="firstRow">
      <w:rPr>
        <w:b/>
        <w:bCs/>
      </w:rPr>
      <w:tblPr/>
      <w:tcPr>
        <w:tcBorders>
          <w:bottom w:val="single" w:sz="12" w:space="0" w:color="A8D08D"/>
        </w:tcBorders>
      </w:tcPr>
    </w:tblStylePr>
    <w:tblStylePr w:type="lastRow">
      <w:rPr>
        <w:b/>
        <w:bCs/>
      </w:rPr>
      <w:tblPr/>
      <w:tcPr>
        <w:tcBorders>
          <w:top w:val="double" w:sz="2" w:space="0" w:color="A8D08D"/>
        </w:tcBorders>
      </w:tcPr>
    </w:tblStylePr>
    <w:tblStylePr w:type="firstCol">
      <w:rPr>
        <w:b/>
        <w:bCs/>
      </w:rPr>
    </w:tblStylePr>
    <w:tblStylePr w:type="lastCol">
      <w:rPr>
        <w:b/>
        <w:bCs/>
      </w:rPr>
    </w:tblStylePr>
  </w:style>
  <w:style w:type="table" w:customStyle="1" w:styleId="TableGrid01">
    <w:name w:val="Table Grid01"/>
    <w:rsid w:val="007C06B5"/>
    <w:rPr>
      <w:rFonts w:ascii="Calibri" w:hAnsi="Calibri"/>
      <w:sz w:val="22"/>
      <w:szCs w:val="22"/>
      <w:lang w:val="es-ES_tradnl" w:eastAsia="en-US"/>
    </w:rPr>
    <w:tblPr>
      <w:tblCellMar>
        <w:top w:w="0" w:type="dxa"/>
        <w:left w:w="0" w:type="dxa"/>
        <w:bottom w:w="0" w:type="dxa"/>
        <w:right w:w="0" w:type="dxa"/>
      </w:tblCellMar>
    </w:tblPr>
  </w:style>
  <w:style w:type="table" w:customStyle="1" w:styleId="NormalTable01">
    <w:name w:val="Normal Table01"/>
    <w:uiPriority w:val="2"/>
    <w:semiHidden/>
    <w:qFormat/>
    <w:rsid w:val="007C06B5"/>
    <w:pPr>
      <w:widowControl w:val="0"/>
      <w:autoSpaceDE w:val="0"/>
      <w:autoSpaceDN w:val="0"/>
    </w:pPr>
    <w:rPr>
      <w:rFonts w:ascii="Calibri" w:eastAsia="Calibri" w:hAnsi="Calibri"/>
      <w:sz w:val="22"/>
      <w:szCs w:val="22"/>
      <w:lang w:val="en-US" w:eastAsia="en-US"/>
    </w:rPr>
    <w:tblPr>
      <w:tblCellMar>
        <w:top w:w="0" w:type="dxa"/>
        <w:left w:w="0" w:type="dxa"/>
        <w:bottom w:w="0" w:type="dxa"/>
        <w:right w:w="0" w:type="dxa"/>
      </w:tblCellMar>
    </w:tblPr>
  </w:style>
  <w:style w:type="numbering" w:customStyle="1" w:styleId="Sinlista43">
    <w:name w:val="Sin lista43"/>
    <w:next w:val="Sinlista"/>
    <w:uiPriority w:val="99"/>
    <w:semiHidden/>
    <w:rsid w:val="007C06B5"/>
  </w:style>
  <w:style w:type="table" w:customStyle="1" w:styleId="Tablaconcuadrcula281">
    <w:name w:val="Tabla con cuadrícula281"/>
    <w:basedOn w:val="Tablanormal"/>
    <w:next w:val="Tablaconcuadrcula"/>
    <w:rsid w:val="007C06B5"/>
    <w:rPr>
      <w:rFonts w:ascii="Liberation Serif" w:eastAsia="SimSun" w:hAnsi="Liberation Serif" w:cs="Lucida Sans"/>
      <w:szCs w:val="24"/>
      <w:lang w:val="es-CR" w:eastAsia="zh-CN" w:bidi="hi-I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132">
    <w:name w:val="Sin lista132"/>
    <w:next w:val="Sinlista"/>
    <w:uiPriority w:val="99"/>
    <w:semiHidden/>
    <w:unhideWhenUsed/>
    <w:rsid w:val="007C06B5"/>
  </w:style>
  <w:style w:type="table" w:customStyle="1" w:styleId="Tablaconcuadrcula1171">
    <w:name w:val="Tabla con cuadrícula1171"/>
    <w:basedOn w:val="Tablanormal"/>
    <w:next w:val="Tablaconcuadrcula"/>
    <w:uiPriority w:val="39"/>
    <w:rsid w:val="007C06B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22">
    <w:name w:val="Sin lista222"/>
    <w:next w:val="Sinlista"/>
    <w:semiHidden/>
    <w:rsid w:val="007C06B5"/>
  </w:style>
  <w:style w:type="table" w:customStyle="1" w:styleId="Tablaelegante12">
    <w:name w:val="Tabla elegante12"/>
    <w:basedOn w:val="Tablanormal"/>
    <w:next w:val="Tablaelegante"/>
    <w:rsid w:val="007C06B5"/>
    <w:rPr>
      <w:lang w:val="es-CR" w:eastAsia="es-CR"/>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amoderna12">
    <w:name w:val="Tabla moderna12"/>
    <w:basedOn w:val="Tablanormal"/>
    <w:next w:val="Tablamoderna"/>
    <w:rsid w:val="007C06B5"/>
    <w:rPr>
      <w:lang w:val="es-CR" w:eastAsia="es-CR"/>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customStyle="1" w:styleId="Tabladecuadrcula5oscura-nfasis511">
    <w:name w:val="Tabla de cuadrícula 5 oscura - Énfasis 511"/>
    <w:basedOn w:val="Tablanormal"/>
    <w:next w:val="Tablaconcuadrcula5oscura-nfasis5"/>
    <w:uiPriority w:val="50"/>
    <w:rsid w:val="007C06B5"/>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delista3-nfasis111">
    <w:name w:val="Tabla de lista 3 - Énfasis 111"/>
    <w:basedOn w:val="Tablanormal"/>
    <w:next w:val="Tabladelista3-nfasis1"/>
    <w:uiPriority w:val="48"/>
    <w:rsid w:val="007C06B5"/>
    <w:rPr>
      <w:rFonts w:ascii="Calibri" w:eastAsia="Calibri" w:hAnsi="Calibri"/>
      <w:lang w:val="es-CR" w:eastAsia="es-CR"/>
    </w:rPr>
    <w:tblPr>
      <w:tblStyleRowBandSize w:val="1"/>
      <w:tblStyleColBandSize w:val="1"/>
      <w:tblBorders>
        <w:top w:val="single" w:sz="4" w:space="0" w:color="5B9BD5"/>
        <w:left w:val="single" w:sz="4" w:space="0" w:color="5B9BD5"/>
        <w:bottom w:val="single" w:sz="4" w:space="0" w:color="5B9BD5"/>
        <w:right w:val="single" w:sz="4" w:space="0" w:color="5B9BD5"/>
      </w:tblBorders>
    </w:tblPr>
    <w:tblStylePr w:type="firstRow">
      <w:rPr>
        <w:b/>
        <w:bCs/>
        <w:color w:val="FFFFFF"/>
      </w:rPr>
      <w:tblPr/>
      <w:tcPr>
        <w:shd w:val="clear" w:color="auto" w:fill="5B9BD5"/>
      </w:tcPr>
    </w:tblStylePr>
    <w:tblStylePr w:type="lastRow">
      <w:rPr>
        <w:b/>
        <w:bCs/>
      </w:rPr>
      <w:tblPr/>
      <w:tcPr>
        <w:tcBorders>
          <w:top w:val="double" w:sz="4" w:space="0" w:color="5B9BD5"/>
        </w:tcBorders>
        <w:shd w:val="clear" w:color="auto" w:fill="FFFFFF"/>
      </w:tcPr>
    </w:tblStylePr>
    <w:tblStylePr w:type="firstCol">
      <w:rPr>
        <w:b/>
        <w:bCs/>
      </w:rPr>
      <w:tblPr/>
      <w:tcPr>
        <w:tcBorders>
          <w:right w:val="nil"/>
        </w:tcBorders>
        <w:shd w:val="clear" w:color="auto" w:fill="FFFFFF"/>
      </w:tcPr>
    </w:tblStylePr>
    <w:tblStylePr w:type="lastCol">
      <w:rPr>
        <w:b/>
        <w:bCs/>
      </w:rPr>
      <w:tblPr/>
      <w:tcPr>
        <w:tcBorders>
          <w:left w:val="nil"/>
        </w:tcBorders>
        <w:shd w:val="clear" w:color="auto" w:fill="FFFFFF"/>
      </w:tcPr>
    </w:tblStylePr>
    <w:tblStylePr w:type="band1Vert">
      <w:tblPr/>
      <w:tcPr>
        <w:tcBorders>
          <w:left w:val="single" w:sz="4" w:space="0" w:color="5B9BD5"/>
          <w:right w:val="single" w:sz="4" w:space="0" w:color="5B9BD5"/>
        </w:tcBorders>
      </w:tcPr>
    </w:tblStylePr>
    <w:tblStylePr w:type="band1Horz">
      <w:tblPr/>
      <w:tcPr>
        <w:tcBorders>
          <w:top w:val="single" w:sz="4" w:space="0" w:color="5B9BD5"/>
          <w:bottom w:val="single" w:sz="4" w:space="0" w:color="5B9BD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left w:val="nil"/>
        </w:tcBorders>
      </w:tcPr>
    </w:tblStylePr>
    <w:tblStylePr w:type="swCell">
      <w:tblPr/>
      <w:tcPr>
        <w:tcBorders>
          <w:top w:val="double" w:sz="4" w:space="0" w:color="5B9BD5"/>
          <w:right w:val="nil"/>
        </w:tcBorders>
      </w:tcPr>
    </w:tblStylePr>
  </w:style>
  <w:style w:type="table" w:customStyle="1" w:styleId="Tabladecuadrcula5oscura-nfasis111">
    <w:name w:val="Tabla de cuadrícula 5 oscura - Énfasis 111"/>
    <w:basedOn w:val="Tablanormal"/>
    <w:next w:val="Tablaconcuadrcula5oscura-nfasis1"/>
    <w:uiPriority w:val="50"/>
    <w:rsid w:val="007C06B5"/>
    <w:rPr>
      <w:rFonts w:ascii="Calibri" w:eastAsia="Calibri" w:hAnsi="Calibri"/>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decuadrcula4-nfasis111">
    <w:name w:val="Tabla de cuadrícula 4 - Énfasis 111"/>
    <w:basedOn w:val="Tablanormal"/>
    <w:next w:val="Tablaconcuadrcula4-nfasis1"/>
    <w:uiPriority w:val="49"/>
    <w:rsid w:val="007C06B5"/>
    <w:rPr>
      <w:rFonts w:ascii="Calibri" w:eastAsia="Calibri" w:hAnsi="Calibri"/>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decuadrcula4-nfasis511">
    <w:name w:val="Tabla de cuadrícula 4 - Énfasis 511"/>
    <w:basedOn w:val="Tablanormal"/>
    <w:next w:val="Tablaconcuadrcula4-nfasis5"/>
    <w:uiPriority w:val="49"/>
    <w:rsid w:val="007C06B5"/>
    <w:rPr>
      <w:rFonts w:ascii="Calibri" w:eastAsia="Calibri" w:hAnsi="Calibri"/>
      <w:sz w:val="22"/>
      <w:szCs w:val="22"/>
      <w:lang w:eastAsia="en-US"/>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eGrid2">
    <w:name w:val="TableGrid2"/>
    <w:rsid w:val="007C06B5"/>
    <w:rPr>
      <w:rFonts w:ascii="Calibri" w:hAnsi="Calibri"/>
      <w:sz w:val="22"/>
      <w:szCs w:val="22"/>
      <w:lang w:val="es-CR" w:eastAsia="es-CR"/>
    </w:rPr>
    <w:tblPr>
      <w:tblCellMar>
        <w:top w:w="0" w:type="dxa"/>
        <w:left w:w="0" w:type="dxa"/>
        <w:bottom w:w="0" w:type="dxa"/>
        <w:right w:w="0" w:type="dxa"/>
      </w:tblCellMar>
    </w:tblPr>
  </w:style>
  <w:style w:type="table" w:customStyle="1" w:styleId="Tablaconcuadrcula5oscura-nfasis52">
    <w:name w:val="Tabla con cuadrícula 5 oscura - Énfasis 52"/>
    <w:basedOn w:val="Tablanormal"/>
    <w:next w:val="Tablaconcuadrcula5oscura-nfasis5"/>
    <w:uiPriority w:val="50"/>
    <w:rsid w:val="007C06B5"/>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Tablaconcuadrcula5oscura-nfasis12">
    <w:name w:val="Tabla con cuadrícula 5 oscura - Énfasis 12"/>
    <w:basedOn w:val="Tablanormal"/>
    <w:next w:val="Tablaconcuadrcula5oscura-nfasis1"/>
    <w:uiPriority w:val="50"/>
    <w:rsid w:val="007C06B5"/>
    <w:rPr>
      <w:lang w:val="es-CR" w:eastAsia="es-CR"/>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9E2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472C4"/>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472C4"/>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472C4"/>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472C4"/>
      </w:tcPr>
    </w:tblStylePr>
    <w:tblStylePr w:type="band1Vert">
      <w:tblPr/>
      <w:tcPr>
        <w:shd w:val="clear" w:color="auto" w:fill="B4C6E7"/>
      </w:tcPr>
    </w:tblStylePr>
    <w:tblStylePr w:type="band1Horz">
      <w:tblPr/>
      <w:tcPr>
        <w:shd w:val="clear" w:color="auto" w:fill="B4C6E7"/>
      </w:tcPr>
    </w:tblStylePr>
  </w:style>
  <w:style w:type="table" w:customStyle="1" w:styleId="Tablaconcuadrcula4-nfasis52">
    <w:name w:val="Tabla con cuadrícula 4 - Énfasis 52"/>
    <w:basedOn w:val="Tablanormal"/>
    <w:next w:val="Tablaconcuadrcula4-nfasis5"/>
    <w:uiPriority w:val="49"/>
    <w:rsid w:val="007C06B5"/>
    <w:rPr>
      <w:lang w:val="es-CR" w:eastAsia="es-CR"/>
    </w:rPr>
    <w:tblPr>
      <w:tblStyleRowBandSize w:val="1"/>
      <w:tblStyleColBandSize w:val="1"/>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Pr>
    <w:tblStylePr w:type="firstRow">
      <w:rPr>
        <w:b/>
        <w:bCs/>
        <w:color w:val="FFFFFF"/>
      </w:rPr>
      <w:tblPr/>
      <w:tcPr>
        <w:tcBorders>
          <w:top w:val="single" w:sz="4" w:space="0" w:color="5B9BD5"/>
          <w:left w:val="single" w:sz="4" w:space="0" w:color="5B9BD5"/>
          <w:bottom w:val="single" w:sz="4" w:space="0" w:color="5B9BD5"/>
          <w:right w:val="single" w:sz="4" w:space="0" w:color="5B9BD5"/>
          <w:insideH w:val="nil"/>
          <w:insideV w:val="nil"/>
        </w:tcBorders>
        <w:shd w:val="clear" w:color="auto" w:fill="5B9BD5"/>
      </w:tcPr>
    </w:tblStylePr>
    <w:tblStylePr w:type="lastRow">
      <w:rPr>
        <w:b/>
        <w:bCs/>
      </w:rPr>
      <w:tblPr/>
      <w:tcPr>
        <w:tcBorders>
          <w:top w:val="double" w:sz="4" w:space="0" w:color="5B9BD5"/>
        </w:tcBorders>
      </w:tcPr>
    </w:tblStylePr>
    <w:tblStylePr w:type="firstCol">
      <w:rPr>
        <w:b/>
        <w:bCs/>
      </w:rPr>
    </w:tblStylePr>
    <w:tblStylePr w:type="lastCol">
      <w:rPr>
        <w:b/>
        <w:bCs/>
      </w:rPr>
    </w:tblStylePr>
    <w:tblStylePr w:type="band1Vert">
      <w:tblPr/>
      <w:tcPr>
        <w:shd w:val="clear" w:color="auto" w:fill="DEEAF6"/>
      </w:tcPr>
    </w:tblStylePr>
    <w:tblStylePr w:type="band1Horz">
      <w:tblPr/>
      <w:tcPr>
        <w:shd w:val="clear" w:color="auto" w:fill="DEEAF6"/>
      </w:tcPr>
    </w:tblStylePr>
  </w:style>
  <w:style w:type="table" w:customStyle="1" w:styleId="Tablaconcuadrcula6concolores-nfasis14">
    <w:name w:val="Tabla con cuadrícula 6 con colores - Énfasis 14"/>
    <w:basedOn w:val="Tablanormal"/>
    <w:next w:val="Tablaconcuadrcula6concolores-nfasis1"/>
    <w:uiPriority w:val="51"/>
    <w:rsid w:val="007C06B5"/>
    <w:rPr>
      <w:color w:val="2F5496"/>
      <w:lang w:val="es-CR" w:eastAsia="es-CR"/>
    </w:rPr>
    <w:tblPr>
      <w:tblStyleRowBandSize w:val="1"/>
      <w:tblStyleColBandSize w:val="1"/>
      <w:tblBorders>
        <w:top w:val="single" w:sz="4" w:space="0" w:color="8EAADB"/>
        <w:left w:val="single" w:sz="4" w:space="0" w:color="8EAADB"/>
        <w:bottom w:val="single" w:sz="4" w:space="0" w:color="8EAADB"/>
        <w:right w:val="single" w:sz="4" w:space="0" w:color="8EAADB"/>
        <w:insideH w:val="single" w:sz="4" w:space="0" w:color="8EAADB"/>
        <w:insideV w:val="single" w:sz="4" w:space="0" w:color="8EAADB"/>
      </w:tblBorders>
    </w:tblPr>
    <w:tblStylePr w:type="firstRow">
      <w:rPr>
        <w:b/>
        <w:bCs/>
      </w:rPr>
      <w:tblPr/>
      <w:tcPr>
        <w:tcBorders>
          <w:bottom w:val="single" w:sz="12" w:space="0" w:color="8EAADB"/>
        </w:tcBorders>
      </w:tcPr>
    </w:tblStylePr>
    <w:tblStylePr w:type="lastRow">
      <w:rPr>
        <w:b/>
        <w:bCs/>
      </w:rPr>
      <w:tblPr/>
      <w:tcPr>
        <w:tcBorders>
          <w:top w:val="double" w:sz="4" w:space="0" w:color="8EAADB"/>
        </w:tcBorders>
      </w:tcPr>
    </w:tblStylePr>
    <w:tblStylePr w:type="firstCol">
      <w:rPr>
        <w:b/>
        <w:bCs/>
      </w:rPr>
    </w:tblStylePr>
    <w:tblStylePr w:type="lastCol">
      <w:rPr>
        <w:b/>
        <w:bCs/>
      </w:rPr>
    </w:tblStylePr>
    <w:tblStylePr w:type="band1Vert">
      <w:tblPr/>
      <w:tcPr>
        <w:shd w:val="clear" w:color="auto" w:fill="D9E2F3"/>
      </w:tcPr>
    </w:tblStylePr>
    <w:tblStylePr w:type="band1Horz">
      <w:tblPr/>
      <w:tcPr>
        <w:shd w:val="clear" w:color="auto" w:fill="D9E2F3"/>
      </w:tcPr>
    </w:tblStylePr>
  </w:style>
  <w:style w:type="table" w:customStyle="1" w:styleId="Tablaconcuadrcula1clara2">
    <w:name w:val="Tabla con cuadrícula 1 clara2"/>
    <w:basedOn w:val="Tablanormal"/>
    <w:next w:val="Tablaconcuadrcula1clara"/>
    <w:uiPriority w:val="46"/>
    <w:rsid w:val="007C06B5"/>
    <w:rPr>
      <w:lang w:val="es-CR" w:eastAsia="es-CR"/>
    </w:rPr>
    <w:tblPr>
      <w:tblStyleRowBandSize w:val="1"/>
      <w:tblStyleColBandSize w:val="1"/>
      <w:tblBorders>
        <w:top w:val="single" w:sz="4" w:space="0" w:color="999999"/>
        <w:left w:val="single" w:sz="4" w:space="0" w:color="999999"/>
        <w:bottom w:val="single" w:sz="4" w:space="0" w:color="999999"/>
        <w:right w:val="single" w:sz="4" w:space="0" w:color="999999"/>
        <w:insideH w:val="single" w:sz="4" w:space="0" w:color="999999"/>
        <w:insideV w:val="single" w:sz="4" w:space="0" w:color="999999"/>
      </w:tblBorders>
    </w:tblPr>
    <w:tblStylePr w:type="firstRow">
      <w:rPr>
        <w:b/>
        <w:bCs/>
      </w:rPr>
      <w:tblPr/>
      <w:tcPr>
        <w:tcBorders>
          <w:bottom w:val="single" w:sz="12" w:space="0" w:color="666666"/>
        </w:tcBorders>
      </w:tcPr>
    </w:tblStylePr>
    <w:tblStylePr w:type="lastRow">
      <w:rPr>
        <w:b/>
        <w:bCs/>
      </w:rPr>
      <w:tblPr/>
      <w:tcPr>
        <w:tcBorders>
          <w:top w:val="double" w:sz="2" w:space="0" w:color="666666"/>
        </w:tcBorders>
      </w:tcPr>
    </w:tblStylePr>
    <w:tblStylePr w:type="firstCol">
      <w:rPr>
        <w:b/>
        <w:bCs/>
      </w:rPr>
    </w:tblStylePr>
    <w:tblStylePr w:type="lastCol">
      <w:rPr>
        <w:b/>
        <w:bCs/>
      </w:rPr>
    </w:tblStylePr>
  </w:style>
  <w:style w:type="table" w:customStyle="1" w:styleId="Cuadrculadetablaclara11">
    <w:name w:val="Cuadrícula de tabla clara11"/>
    <w:basedOn w:val="Tablanormal"/>
    <w:uiPriority w:val="40"/>
    <w:rsid w:val="007C06B5"/>
    <w:rPr>
      <w:rFonts w:ascii="Calibri" w:eastAsia="Calibri" w:hAnsi="Calibri"/>
      <w:lang w:val="es-CR" w:eastAsia="es-CR"/>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numbering" w:customStyle="1" w:styleId="Sinlista52">
    <w:name w:val="Sin lista52"/>
    <w:next w:val="Sinlista"/>
    <w:uiPriority w:val="99"/>
    <w:semiHidden/>
    <w:unhideWhenUsed/>
    <w:rsid w:val="007C06B5"/>
  </w:style>
  <w:style w:type="numbering" w:customStyle="1" w:styleId="Sinlista142">
    <w:name w:val="Sin lista142"/>
    <w:next w:val="Sinlista"/>
    <w:uiPriority w:val="99"/>
    <w:semiHidden/>
    <w:unhideWhenUsed/>
    <w:rsid w:val="007C06B5"/>
  </w:style>
  <w:style w:type="numbering" w:customStyle="1" w:styleId="Sinlista1122">
    <w:name w:val="Sin lista1122"/>
    <w:next w:val="Sinlista"/>
    <w:uiPriority w:val="99"/>
    <w:semiHidden/>
    <w:unhideWhenUsed/>
    <w:rsid w:val="007C06B5"/>
  </w:style>
  <w:style w:type="numbering" w:customStyle="1" w:styleId="Sinlista232">
    <w:name w:val="Sin lista232"/>
    <w:next w:val="Sinlista"/>
    <w:semiHidden/>
    <w:rsid w:val="007C06B5"/>
  </w:style>
  <w:style w:type="numbering" w:customStyle="1" w:styleId="Sinlista322">
    <w:name w:val="Sin lista322"/>
    <w:next w:val="Sinlista"/>
    <w:uiPriority w:val="99"/>
    <w:semiHidden/>
    <w:unhideWhenUsed/>
    <w:rsid w:val="007C06B5"/>
  </w:style>
  <w:style w:type="numbering" w:customStyle="1" w:styleId="Sinlista11122">
    <w:name w:val="Sin lista11122"/>
    <w:next w:val="Sinlista"/>
    <w:uiPriority w:val="99"/>
    <w:semiHidden/>
    <w:unhideWhenUsed/>
    <w:rsid w:val="007C06B5"/>
  </w:style>
  <w:style w:type="numbering" w:customStyle="1" w:styleId="Sinlista111122">
    <w:name w:val="Sin lista111122"/>
    <w:next w:val="Sinlista"/>
    <w:uiPriority w:val="99"/>
    <w:semiHidden/>
    <w:unhideWhenUsed/>
    <w:rsid w:val="007C06B5"/>
  </w:style>
  <w:style w:type="numbering" w:customStyle="1" w:styleId="11111111113">
    <w:name w:val="1.1 / 1.1.1 / 1.1.1.113"/>
    <w:basedOn w:val="Sinlista"/>
    <w:next w:val="111111"/>
    <w:unhideWhenUsed/>
    <w:rsid w:val="007C06B5"/>
    <w:pPr>
      <w:numPr>
        <w:numId w:val="28"/>
      </w:numPr>
    </w:pPr>
  </w:style>
  <w:style w:type="numbering" w:customStyle="1" w:styleId="Sinlista1212">
    <w:name w:val="Sin lista1212"/>
    <w:next w:val="Sinlista"/>
    <w:uiPriority w:val="99"/>
    <w:semiHidden/>
    <w:unhideWhenUsed/>
    <w:rsid w:val="007C06B5"/>
  </w:style>
  <w:style w:type="numbering" w:customStyle="1" w:styleId="Sinlista1111122">
    <w:name w:val="Sin lista1111122"/>
    <w:next w:val="Sinlista"/>
    <w:uiPriority w:val="99"/>
    <w:semiHidden/>
    <w:unhideWhenUsed/>
    <w:rsid w:val="007C06B5"/>
  </w:style>
  <w:style w:type="numbering" w:customStyle="1" w:styleId="Sinlista11111121">
    <w:name w:val="Sin lista11111121"/>
    <w:next w:val="Sinlista"/>
    <w:uiPriority w:val="99"/>
    <w:semiHidden/>
    <w:unhideWhenUsed/>
    <w:rsid w:val="007C06B5"/>
  </w:style>
  <w:style w:type="numbering" w:customStyle="1" w:styleId="WW8Num25241">
    <w:name w:val="WW8Num25241"/>
    <w:rsid w:val="007C06B5"/>
  </w:style>
  <w:style w:type="numbering" w:customStyle="1" w:styleId="WW8Num1141">
    <w:name w:val="WW8Num1141"/>
    <w:qFormat/>
    <w:rsid w:val="007C06B5"/>
  </w:style>
  <w:style w:type="numbering" w:customStyle="1" w:styleId="WW8Num15241">
    <w:name w:val="WW8Num15241"/>
    <w:rsid w:val="007C06B5"/>
  </w:style>
  <w:style w:type="numbering" w:customStyle="1" w:styleId="Sinlista2112">
    <w:name w:val="Sin lista2112"/>
    <w:next w:val="Sinlista"/>
    <w:uiPriority w:val="99"/>
    <w:semiHidden/>
    <w:unhideWhenUsed/>
    <w:rsid w:val="007C06B5"/>
  </w:style>
  <w:style w:type="numbering" w:customStyle="1" w:styleId="WW8Num252111">
    <w:name w:val="WW8Num252111"/>
    <w:rsid w:val="007C06B5"/>
  </w:style>
  <w:style w:type="numbering" w:customStyle="1" w:styleId="WW8Num11112">
    <w:name w:val="WW8Num11112"/>
    <w:rsid w:val="007C06B5"/>
    <w:pPr>
      <w:numPr>
        <w:numId w:val="15"/>
      </w:numPr>
    </w:pPr>
  </w:style>
  <w:style w:type="numbering" w:customStyle="1" w:styleId="WW8Num152111">
    <w:name w:val="WW8Num152111"/>
    <w:rsid w:val="007C06B5"/>
    <w:pPr>
      <w:numPr>
        <w:numId w:val="4"/>
      </w:numPr>
    </w:pPr>
  </w:style>
  <w:style w:type="numbering" w:customStyle="1" w:styleId="WW8Num252211">
    <w:name w:val="WW8Num252211"/>
    <w:rsid w:val="007C06B5"/>
  </w:style>
  <w:style w:type="numbering" w:customStyle="1" w:styleId="WW8Num152211">
    <w:name w:val="WW8Num152211"/>
    <w:rsid w:val="007C06B5"/>
  </w:style>
  <w:style w:type="numbering" w:customStyle="1" w:styleId="WW8Num11212">
    <w:name w:val="WW8Num11212"/>
    <w:rsid w:val="007C06B5"/>
    <w:pPr>
      <w:numPr>
        <w:numId w:val="43"/>
      </w:numPr>
    </w:pPr>
  </w:style>
  <w:style w:type="numbering" w:customStyle="1" w:styleId="Sinlista3112">
    <w:name w:val="Sin lista3112"/>
    <w:next w:val="Sinlista"/>
    <w:uiPriority w:val="99"/>
    <w:semiHidden/>
    <w:unhideWhenUsed/>
    <w:rsid w:val="007C06B5"/>
  </w:style>
  <w:style w:type="numbering" w:customStyle="1" w:styleId="WW8Num252311">
    <w:name w:val="WW8Num252311"/>
    <w:rsid w:val="007C06B5"/>
    <w:pPr>
      <w:numPr>
        <w:numId w:val="2"/>
      </w:numPr>
    </w:pPr>
  </w:style>
  <w:style w:type="numbering" w:customStyle="1" w:styleId="WW8Num152311">
    <w:name w:val="WW8Num152311"/>
    <w:rsid w:val="007C06B5"/>
    <w:pPr>
      <w:numPr>
        <w:numId w:val="8"/>
      </w:numPr>
    </w:pPr>
  </w:style>
  <w:style w:type="numbering" w:customStyle="1" w:styleId="WW8Num11311">
    <w:name w:val="WW8Num11311"/>
    <w:rsid w:val="007C06B5"/>
    <w:pPr>
      <w:numPr>
        <w:numId w:val="10"/>
      </w:numPr>
    </w:pPr>
  </w:style>
  <w:style w:type="numbering" w:customStyle="1" w:styleId="WW8Num1102">
    <w:name w:val="WW8Num1102"/>
    <w:qFormat/>
    <w:rsid w:val="007C06B5"/>
  </w:style>
  <w:style w:type="numbering" w:customStyle="1" w:styleId="WW8Num2102">
    <w:name w:val="WW8Num2102"/>
    <w:qFormat/>
    <w:rsid w:val="007C06B5"/>
  </w:style>
  <w:style w:type="numbering" w:customStyle="1" w:styleId="WW8Num3102">
    <w:name w:val="WW8Num3102"/>
    <w:qFormat/>
    <w:rsid w:val="007C06B5"/>
  </w:style>
  <w:style w:type="numbering" w:customStyle="1" w:styleId="WW8Num4102">
    <w:name w:val="WW8Num4102"/>
    <w:qFormat/>
    <w:rsid w:val="007C06B5"/>
  </w:style>
  <w:style w:type="numbering" w:customStyle="1" w:styleId="WW8Num512">
    <w:name w:val="WW8Num512"/>
    <w:qFormat/>
    <w:rsid w:val="007C06B5"/>
  </w:style>
  <w:style w:type="numbering" w:customStyle="1" w:styleId="WW8Num612">
    <w:name w:val="WW8Num612"/>
    <w:qFormat/>
    <w:rsid w:val="007C06B5"/>
  </w:style>
  <w:style w:type="numbering" w:customStyle="1" w:styleId="WW8Num712">
    <w:name w:val="WW8Num712"/>
    <w:qFormat/>
    <w:rsid w:val="007C06B5"/>
  </w:style>
  <w:style w:type="numbering" w:customStyle="1" w:styleId="WW8Num812">
    <w:name w:val="WW8Num812"/>
    <w:qFormat/>
    <w:rsid w:val="007C06B5"/>
  </w:style>
  <w:style w:type="numbering" w:customStyle="1" w:styleId="WW8Num912">
    <w:name w:val="WW8Num912"/>
    <w:qFormat/>
    <w:rsid w:val="007C06B5"/>
  </w:style>
  <w:style w:type="numbering" w:customStyle="1" w:styleId="WW8Num1012">
    <w:name w:val="WW8Num1012"/>
    <w:qFormat/>
    <w:rsid w:val="007C06B5"/>
  </w:style>
  <w:style w:type="numbering" w:customStyle="1" w:styleId="WW8Num1212">
    <w:name w:val="WW8Num1212"/>
    <w:qFormat/>
    <w:rsid w:val="007C06B5"/>
  </w:style>
  <w:style w:type="numbering" w:customStyle="1" w:styleId="WW8Num1312">
    <w:name w:val="WW8Num1312"/>
    <w:qFormat/>
    <w:rsid w:val="007C06B5"/>
  </w:style>
  <w:style w:type="numbering" w:customStyle="1" w:styleId="WW8Num1412">
    <w:name w:val="WW8Num1412"/>
    <w:qFormat/>
    <w:rsid w:val="007C06B5"/>
  </w:style>
  <w:style w:type="numbering" w:customStyle="1" w:styleId="WW8Num1512">
    <w:name w:val="WW8Num1512"/>
    <w:qFormat/>
    <w:rsid w:val="007C06B5"/>
  </w:style>
  <w:style w:type="numbering" w:customStyle="1" w:styleId="WW8Num1612">
    <w:name w:val="WW8Num1612"/>
    <w:qFormat/>
    <w:rsid w:val="007C06B5"/>
  </w:style>
  <w:style w:type="numbering" w:customStyle="1" w:styleId="WW8Num1712">
    <w:name w:val="WW8Num1712"/>
    <w:qFormat/>
    <w:rsid w:val="007C06B5"/>
  </w:style>
  <w:style w:type="numbering" w:customStyle="1" w:styleId="WW8Num1812">
    <w:name w:val="WW8Num1812"/>
    <w:qFormat/>
    <w:rsid w:val="007C06B5"/>
  </w:style>
  <w:style w:type="numbering" w:customStyle="1" w:styleId="WW8Num1912">
    <w:name w:val="WW8Num1912"/>
    <w:qFormat/>
    <w:rsid w:val="007C06B5"/>
  </w:style>
  <w:style w:type="numbering" w:customStyle="1" w:styleId="WW8Num2012">
    <w:name w:val="WW8Num2012"/>
    <w:qFormat/>
    <w:rsid w:val="007C06B5"/>
  </w:style>
  <w:style w:type="numbering" w:customStyle="1" w:styleId="WW8Num2112">
    <w:name w:val="WW8Num2112"/>
    <w:qFormat/>
    <w:rsid w:val="007C06B5"/>
  </w:style>
  <w:style w:type="numbering" w:customStyle="1" w:styleId="WW8Num2212">
    <w:name w:val="WW8Num2212"/>
    <w:qFormat/>
    <w:rsid w:val="007C06B5"/>
  </w:style>
  <w:style w:type="numbering" w:customStyle="1" w:styleId="WW8Num2312">
    <w:name w:val="WW8Num2312"/>
    <w:qFormat/>
    <w:rsid w:val="007C06B5"/>
  </w:style>
  <w:style w:type="numbering" w:customStyle="1" w:styleId="WW8Num2412">
    <w:name w:val="WW8Num2412"/>
    <w:qFormat/>
    <w:rsid w:val="007C06B5"/>
  </w:style>
  <w:style w:type="numbering" w:customStyle="1" w:styleId="WW8Num2512">
    <w:name w:val="WW8Num2512"/>
    <w:qFormat/>
    <w:rsid w:val="007C06B5"/>
  </w:style>
  <w:style w:type="numbering" w:customStyle="1" w:styleId="WW8Num2612">
    <w:name w:val="WW8Num2612"/>
    <w:qFormat/>
    <w:rsid w:val="007C06B5"/>
  </w:style>
  <w:style w:type="numbering" w:customStyle="1" w:styleId="WW8Num2712">
    <w:name w:val="WW8Num2712"/>
    <w:qFormat/>
    <w:rsid w:val="007C06B5"/>
  </w:style>
  <w:style w:type="numbering" w:customStyle="1" w:styleId="WW8Num2812">
    <w:name w:val="WW8Num2812"/>
    <w:qFormat/>
    <w:rsid w:val="007C06B5"/>
  </w:style>
  <w:style w:type="numbering" w:customStyle="1" w:styleId="WW8Num2912">
    <w:name w:val="WW8Num2912"/>
    <w:qFormat/>
    <w:rsid w:val="007C06B5"/>
  </w:style>
  <w:style w:type="numbering" w:customStyle="1" w:styleId="WW8Num3012">
    <w:name w:val="WW8Num3012"/>
    <w:qFormat/>
    <w:rsid w:val="007C06B5"/>
  </w:style>
  <w:style w:type="numbering" w:customStyle="1" w:styleId="WW8Num3112">
    <w:name w:val="WW8Num3112"/>
    <w:qFormat/>
    <w:rsid w:val="007C06B5"/>
  </w:style>
  <w:style w:type="numbering" w:customStyle="1" w:styleId="WW8Num3212">
    <w:name w:val="WW8Num3212"/>
    <w:qFormat/>
    <w:rsid w:val="007C06B5"/>
  </w:style>
  <w:style w:type="numbering" w:customStyle="1" w:styleId="WW8Num3312">
    <w:name w:val="WW8Num3312"/>
    <w:qFormat/>
    <w:rsid w:val="007C06B5"/>
  </w:style>
  <w:style w:type="numbering" w:customStyle="1" w:styleId="WW8Num3412">
    <w:name w:val="WW8Num3412"/>
    <w:qFormat/>
    <w:rsid w:val="007C06B5"/>
  </w:style>
  <w:style w:type="numbering" w:customStyle="1" w:styleId="WW8Num3512">
    <w:name w:val="WW8Num3512"/>
    <w:qFormat/>
    <w:rsid w:val="007C06B5"/>
  </w:style>
  <w:style w:type="numbering" w:customStyle="1" w:styleId="WW8Num3612">
    <w:name w:val="WW8Num3612"/>
    <w:qFormat/>
    <w:rsid w:val="007C06B5"/>
  </w:style>
  <w:style w:type="numbering" w:customStyle="1" w:styleId="WW8Num3712">
    <w:name w:val="WW8Num3712"/>
    <w:qFormat/>
    <w:rsid w:val="007C06B5"/>
  </w:style>
  <w:style w:type="numbering" w:customStyle="1" w:styleId="WW8Num3812">
    <w:name w:val="WW8Num3812"/>
    <w:qFormat/>
    <w:rsid w:val="007C06B5"/>
  </w:style>
  <w:style w:type="numbering" w:customStyle="1" w:styleId="WW8Num3912">
    <w:name w:val="WW8Num3912"/>
    <w:qFormat/>
    <w:rsid w:val="007C06B5"/>
  </w:style>
  <w:style w:type="numbering" w:customStyle="1" w:styleId="WW8Num4012">
    <w:name w:val="WW8Num4012"/>
    <w:qFormat/>
    <w:rsid w:val="007C06B5"/>
  </w:style>
  <w:style w:type="numbering" w:customStyle="1" w:styleId="WW8Num4112">
    <w:name w:val="WW8Num4112"/>
    <w:qFormat/>
    <w:rsid w:val="007C06B5"/>
  </w:style>
  <w:style w:type="numbering" w:customStyle="1" w:styleId="WW8Num4212">
    <w:name w:val="WW8Num4212"/>
    <w:qFormat/>
    <w:rsid w:val="007C06B5"/>
  </w:style>
  <w:style w:type="numbering" w:customStyle="1" w:styleId="WW8Num4312">
    <w:name w:val="WW8Num4312"/>
    <w:qFormat/>
    <w:rsid w:val="007C06B5"/>
  </w:style>
  <w:style w:type="numbering" w:customStyle="1" w:styleId="WW8Num4412">
    <w:name w:val="WW8Num4412"/>
    <w:qFormat/>
    <w:rsid w:val="007C06B5"/>
  </w:style>
  <w:style w:type="numbering" w:customStyle="1" w:styleId="WW8Num4512">
    <w:name w:val="WW8Num4512"/>
    <w:qFormat/>
    <w:rsid w:val="007C06B5"/>
  </w:style>
  <w:style w:type="numbering" w:customStyle="1" w:styleId="WW8Num4612">
    <w:name w:val="WW8Num4612"/>
    <w:qFormat/>
    <w:rsid w:val="007C06B5"/>
  </w:style>
  <w:style w:type="numbering" w:customStyle="1" w:styleId="WW8Num4712">
    <w:name w:val="WW8Num4712"/>
    <w:qFormat/>
    <w:rsid w:val="007C06B5"/>
  </w:style>
  <w:style w:type="numbering" w:customStyle="1" w:styleId="WW8Num4812">
    <w:name w:val="WW8Num4812"/>
    <w:qFormat/>
    <w:rsid w:val="007C06B5"/>
  </w:style>
  <w:style w:type="numbering" w:customStyle="1" w:styleId="WW8Num4912">
    <w:name w:val="WW8Num4912"/>
    <w:qFormat/>
    <w:rsid w:val="007C06B5"/>
  </w:style>
  <w:style w:type="paragraph" w:customStyle="1" w:styleId="xxxmsolistparagraph">
    <w:name w:val="x_xxmsolistparagraph"/>
    <w:basedOn w:val="Normal"/>
    <w:rsid w:val="00D5721F"/>
    <w:pPr>
      <w:suppressAutoHyphens w:val="0"/>
      <w:spacing w:before="100" w:beforeAutospacing="1" w:after="100" w:afterAutospacing="1"/>
    </w:pPr>
    <w:rPr>
      <w:rFonts w:ascii="Calibri" w:eastAsia="Calibri" w:hAnsi="Calibri" w:cs="Calibri"/>
      <w:sz w:val="22"/>
      <w:szCs w:val="22"/>
      <w:lang w:val="es-CR" w:eastAsia="es-CR"/>
    </w:rPr>
  </w:style>
  <w:style w:type="character" w:customStyle="1" w:styleId="estilocorreo39">
    <w:name w:val="estilocorreo39"/>
    <w:basedOn w:val="Fuentedeprrafopredeter"/>
    <w:semiHidden/>
    <w:rsid w:val="00D76658"/>
    <w:rPr>
      <w:rFonts w:ascii="Calibri" w:hAnsi="Calibri" w:cs="Calibri" w:hint="default"/>
      <w:color w:val="auto"/>
    </w:rPr>
  </w:style>
  <w:style w:type="paragraph" w:styleId="ndice20">
    <w:name w:val="index 2"/>
    <w:basedOn w:val="Normal"/>
    <w:next w:val="Normal"/>
    <w:autoRedefine/>
    <w:uiPriority w:val="99"/>
    <w:unhideWhenUsed/>
    <w:rsid w:val="00D76658"/>
    <w:pPr>
      <w:suppressAutoHyphens w:val="0"/>
      <w:spacing w:line="276" w:lineRule="auto"/>
      <w:ind w:left="440" w:hanging="220"/>
      <w:jc w:val="both"/>
    </w:pPr>
    <w:rPr>
      <w:rFonts w:eastAsiaTheme="minorHAnsi" w:cstheme="minorBidi"/>
      <w:sz w:val="18"/>
      <w:szCs w:val="18"/>
      <w:lang w:val="es-CR" w:eastAsia="en-US"/>
    </w:rPr>
  </w:style>
  <w:style w:type="paragraph" w:styleId="ndice3">
    <w:name w:val="index 3"/>
    <w:basedOn w:val="Normal"/>
    <w:next w:val="Normal"/>
    <w:autoRedefine/>
    <w:uiPriority w:val="99"/>
    <w:unhideWhenUsed/>
    <w:rsid w:val="00D76658"/>
    <w:pPr>
      <w:suppressAutoHyphens w:val="0"/>
      <w:spacing w:line="276" w:lineRule="auto"/>
      <w:ind w:left="660" w:hanging="220"/>
      <w:jc w:val="both"/>
    </w:pPr>
    <w:rPr>
      <w:rFonts w:eastAsiaTheme="minorHAnsi" w:cstheme="minorBidi"/>
      <w:sz w:val="18"/>
      <w:szCs w:val="18"/>
      <w:lang w:val="es-CR" w:eastAsia="en-US"/>
    </w:rPr>
  </w:style>
  <w:style w:type="paragraph" w:styleId="ndice4">
    <w:name w:val="index 4"/>
    <w:basedOn w:val="Normal"/>
    <w:next w:val="Normal"/>
    <w:autoRedefine/>
    <w:uiPriority w:val="99"/>
    <w:unhideWhenUsed/>
    <w:rsid w:val="00D76658"/>
    <w:pPr>
      <w:suppressAutoHyphens w:val="0"/>
      <w:spacing w:line="276" w:lineRule="auto"/>
      <w:ind w:left="880" w:hanging="220"/>
      <w:jc w:val="both"/>
    </w:pPr>
    <w:rPr>
      <w:rFonts w:eastAsiaTheme="minorHAnsi" w:cstheme="minorBidi"/>
      <w:sz w:val="18"/>
      <w:szCs w:val="18"/>
      <w:lang w:val="es-CR" w:eastAsia="en-US"/>
    </w:rPr>
  </w:style>
  <w:style w:type="paragraph" w:styleId="ndice5">
    <w:name w:val="index 5"/>
    <w:basedOn w:val="Normal"/>
    <w:next w:val="Normal"/>
    <w:autoRedefine/>
    <w:uiPriority w:val="99"/>
    <w:unhideWhenUsed/>
    <w:rsid w:val="00D76658"/>
    <w:pPr>
      <w:suppressAutoHyphens w:val="0"/>
      <w:spacing w:line="276" w:lineRule="auto"/>
      <w:ind w:left="1100" w:hanging="220"/>
      <w:jc w:val="both"/>
    </w:pPr>
    <w:rPr>
      <w:rFonts w:eastAsiaTheme="minorHAnsi" w:cstheme="minorBidi"/>
      <w:sz w:val="18"/>
      <w:szCs w:val="18"/>
      <w:lang w:val="es-CR" w:eastAsia="en-US"/>
    </w:rPr>
  </w:style>
  <w:style w:type="paragraph" w:styleId="ndice6">
    <w:name w:val="index 6"/>
    <w:basedOn w:val="Normal"/>
    <w:next w:val="Normal"/>
    <w:autoRedefine/>
    <w:uiPriority w:val="99"/>
    <w:unhideWhenUsed/>
    <w:rsid w:val="00D76658"/>
    <w:pPr>
      <w:suppressAutoHyphens w:val="0"/>
      <w:spacing w:line="276" w:lineRule="auto"/>
      <w:ind w:left="1320" w:hanging="220"/>
      <w:jc w:val="both"/>
    </w:pPr>
    <w:rPr>
      <w:rFonts w:eastAsiaTheme="minorHAnsi" w:cstheme="minorBidi"/>
      <w:sz w:val="18"/>
      <w:szCs w:val="18"/>
      <w:lang w:val="es-CR" w:eastAsia="en-US"/>
    </w:rPr>
  </w:style>
  <w:style w:type="paragraph" w:styleId="ndice7">
    <w:name w:val="index 7"/>
    <w:basedOn w:val="Normal"/>
    <w:next w:val="Normal"/>
    <w:autoRedefine/>
    <w:uiPriority w:val="99"/>
    <w:unhideWhenUsed/>
    <w:rsid w:val="00D76658"/>
    <w:pPr>
      <w:suppressAutoHyphens w:val="0"/>
      <w:spacing w:line="276" w:lineRule="auto"/>
      <w:ind w:left="1540" w:hanging="220"/>
      <w:jc w:val="both"/>
    </w:pPr>
    <w:rPr>
      <w:rFonts w:eastAsiaTheme="minorHAnsi" w:cstheme="minorBidi"/>
      <w:sz w:val="18"/>
      <w:szCs w:val="18"/>
      <w:lang w:val="es-CR" w:eastAsia="en-US"/>
    </w:rPr>
  </w:style>
  <w:style w:type="paragraph" w:styleId="ndice8">
    <w:name w:val="index 8"/>
    <w:basedOn w:val="Normal"/>
    <w:next w:val="Normal"/>
    <w:autoRedefine/>
    <w:uiPriority w:val="99"/>
    <w:unhideWhenUsed/>
    <w:rsid w:val="00D76658"/>
    <w:pPr>
      <w:suppressAutoHyphens w:val="0"/>
      <w:spacing w:line="276" w:lineRule="auto"/>
      <w:ind w:left="1760" w:hanging="220"/>
      <w:jc w:val="both"/>
    </w:pPr>
    <w:rPr>
      <w:rFonts w:eastAsiaTheme="minorHAnsi" w:cstheme="minorBidi"/>
      <w:sz w:val="18"/>
      <w:szCs w:val="18"/>
      <w:lang w:val="es-CR" w:eastAsia="en-US"/>
    </w:rPr>
  </w:style>
  <w:style w:type="paragraph" w:styleId="ndice9">
    <w:name w:val="index 9"/>
    <w:basedOn w:val="Normal"/>
    <w:next w:val="Normal"/>
    <w:autoRedefine/>
    <w:uiPriority w:val="99"/>
    <w:unhideWhenUsed/>
    <w:rsid w:val="00D76658"/>
    <w:pPr>
      <w:suppressAutoHyphens w:val="0"/>
      <w:spacing w:line="276" w:lineRule="auto"/>
      <w:ind w:left="1980" w:hanging="220"/>
      <w:jc w:val="both"/>
    </w:pPr>
    <w:rPr>
      <w:rFonts w:eastAsiaTheme="minorHAnsi" w:cstheme="minorBidi"/>
      <w:sz w:val="18"/>
      <w:szCs w:val="18"/>
      <w:lang w:val="es-CR" w:eastAsia="en-US"/>
    </w:rPr>
  </w:style>
  <w:style w:type="paragraph" w:styleId="Ttulodendice">
    <w:name w:val="index heading"/>
    <w:basedOn w:val="Normal"/>
    <w:next w:val="ndice1"/>
    <w:unhideWhenUsed/>
    <w:qFormat/>
    <w:rsid w:val="00D76658"/>
    <w:pPr>
      <w:suppressAutoHyphens w:val="0"/>
      <w:spacing w:before="240" w:after="120" w:line="276" w:lineRule="auto"/>
      <w:jc w:val="center"/>
    </w:pPr>
    <w:rPr>
      <w:rFonts w:eastAsiaTheme="minorHAnsi" w:cstheme="minorBidi"/>
      <w:b/>
      <w:bCs/>
      <w:sz w:val="26"/>
      <w:szCs w:val="26"/>
      <w:lang w:val="es-CR" w:eastAsia="en-US"/>
    </w:rPr>
  </w:style>
  <w:style w:type="table" w:styleId="Tablaconcuadrcula6concolores">
    <w:name w:val="Grid Table 6 Colorful"/>
    <w:basedOn w:val="Tablanormal"/>
    <w:uiPriority w:val="51"/>
    <w:rsid w:val="00D76658"/>
    <w:rPr>
      <w:rFonts w:asciiTheme="minorHAnsi" w:eastAsiaTheme="minorHAnsi" w:hAnsiTheme="minorHAnsi" w:cstheme="minorBidi"/>
      <w:color w:val="000000" w:themeColor="text1"/>
      <w:sz w:val="22"/>
      <w:szCs w:val="22"/>
      <w:lang w:val="es-CR" w:eastAsia="en-US"/>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RTFNum51">
    <w:name w:val="RTF_Num 5 1"/>
    <w:uiPriority w:val="99"/>
    <w:rsid w:val="00D76658"/>
    <w:rPr>
      <w:rFonts w:ascii="Times New Roman" w:eastAsia="Times New Roman" w:hAnsi="Times New Roman" w:cs="Times New Roman"/>
    </w:rPr>
  </w:style>
  <w:style w:type="character" w:customStyle="1" w:styleId="RTFNum53">
    <w:name w:val="RTF_Num 5 3"/>
    <w:uiPriority w:val="99"/>
    <w:rsid w:val="00D76658"/>
    <w:rPr>
      <w:rFonts w:ascii="Times New Roman" w:eastAsia="Times New Roman" w:hAnsi="Times New Roman" w:cs="Times New Roman"/>
    </w:rPr>
  </w:style>
  <w:style w:type="character" w:customStyle="1" w:styleId="RTFNum54">
    <w:name w:val="RTF_Num 5 4"/>
    <w:uiPriority w:val="99"/>
    <w:rsid w:val="00D76658"/>
    <w:rPr>
      <w:rFonts w:ascii="Times New Roman" w:eastAsia="Times New Roman" w:hAnsi="Times New Roman" w:cs="Times New Roman"/>
    </w:rPr>
  </w:style>
  <w:style w:type="character" w:customStyle="1" w:styleId="RTFNum55">
    <w:name w:val="RTF_Num 5 5"/>
    <w:uiPriority w:val="99"/>
    <w:rsid w:val="00D76658"/>
    <w:rPr>
      <w:rFonts w:ascii="Times New Roman" w:eastAsia="Times New Roman" w:hAnsi="Times New Roman" w:cs="Times New Roman"/>
    </w:rPr>
  </w:style>
  <w:style w:type="character" w:customStyle="1" w:styleId="RTFNum56">
    <w:name w:val="RTF_Num 5 6"/>
    <w:uiPriority w:val="99"/>
    <w:rsid w:val="00D76658"/>
    <w:rPr>
      <w:rFonts w:ascii="Times New Roman" w:eastAsia="Times New Roman" w:hAnsi="Times New Roman" w:cs="Times New Roman"/>
    </w:rPr>
  </w:style>
  <w:style w:type="character" w:customStyle="1" w:styleId="RTFNum57">
    <w:name w:val="RTF_Num 5 7"/>
    <w:uiPriority w:val="99"/>
    <w:rsid w:val="00D76658"/>
    <w:rPr>
      <w:rFonts w:ascii="Times New Roman" w:eastAsia="Times New Roman" w:hAnsi="Times New Roman" w:cs="Times New Roman"/>
    </w:rPr>
  </w:style>
  <w:style w:type="character" w:customStyle="1" w:styleId="RTFNum58">
    <w:name w:val="RTF_Num 5 8"/>
    <w:uiPriority w:val="99"/>
    <w:rsid w:val="00D76658"/>
    <w:rPr>
      <w:rFonts w:ascii="Times New Roman" w:eastAsia="Times New Roman" w:hAnsi="Times New Roman" w:cs="Times New Roman"/>
    </w:rPr>
  </w:style>
  <w:style w:type="character" w:customStyle="1" w:styleId="RTFNum59">
    <w:name w:val="RTF_Num 5 9"/>
    <w:uiPriority w:val="99"/>
    <w:rsid w:val="00D76658"/>
    <w:rPr>
      <w:rFonts w:ascii="Times New Roman" w:eastAsia="Times New Roman" w:hAnsi="Times New Roman" w:cs="Times New Roman"/>
    </w:rPr>
  </w:style>
  <w:style w:type="character" w:customStyle="1" w:styleId="RTFNum61">
    <w:name w:val="RTF_Num 6 1"/>
    <w:uiPriority w:val="99"/>
    <w:rsid w:val="00D76658"/>
    <w:rPr>
      <w:rFonts w:ascii="Wingdings" w:eastAsia="Wingdings" w:hAnsi="Wingdings" w:cs="Wingdings"/>
    </w:rPr>
  </w:style>
  <w:style w:type="character" w:customStyle="1" w:styleId="RTFNum63">
    <w:name w:val="RTF_Num 6 3"/>
    <w:uiPriority w:val="99"/>
    <w:rsid w:val="00D76658"/>
    <w:rPr>
      <w:rFonts w:ascii="Wingdings" w:eastAsia="Wingdings" w:hAnsi="Wingdings" w:cs="Wingdings"/>
    </w:rPr>
  </w:style>
  <w:style w:type="character" w:customStyle="1" w:styleId="RTFNum64">
    <w:name w:val="RTF_Num 6 4"/>
    <w:uiPriority w:val="99"/>
    <w:rsid w:val="00D76658"/>
    <w:rPr>
      <w:rFonts w:ascii="Symbol" w:eastAsia="Symbol" w:hAnsi="Symbol" w:cs="Symbol"/>
    </w:rPr>
  </w:style>
  <w:style w:type="character" w:customStyle="1" w:styleId="RTFNum65">
    <w:name w:val="RTF_Num 6 5"/>
    <w:uiPriority w:val="99"/>
    <w:rsid w:val="00D76658"/>
    <w:rPr>
      <w:rFonts w:ascii="Courier New" w:eastAsia="Courier New" w:hAnsi="Courier New" w:cs="Courier New"/>
    </w:rPr>
  </w:style>
  <w:style w:type="character" w:customStyle="1" w:styleId="RTFNum66">
    <w:name w:val="RTF_Num 6 6"/>
    <w:uiPriority w:val="99"/>
    <w:rsid w:val="00D76658"/>
    <w:rPr>
      <w:rFonts w:ascii="Wingdings" w:eastAsia="Wingdings" w:hAnsi="Wingdings" w:cs="Wingdings"/>
    </w:rPr>
  </w:style>
  <w:style w:type="character" w:customStyle="1" w:styleId="RTFNum67">
    <w:name w:val="RTF_Num 6 7"/>
    <w:uiPriority w:val="99"/>
    <w:rsid w:val="00D76658"/>
    <w:rPr>
      <w:rFonts w:ascii="Symbol" w:eastAsia="Symbol" w:hAnsi="Symbol" w:cs="Symbol"/>
    </w:rPr>
  </w:style>
  <w:style w:type="character" w:customStyle="1" w:styleId="RTFNum68">
    <w:name w:val="RTF_Num 6 8"/>
    <w:uiPriority w:val="99"/>
    <w:rsid w:val="00D76658"/>
    <w:rPr>
      <w:rFonts w:ascii="Courier New" w:eastAsia="Courier New" w:hAnsi="Courier New" w:cs="Courier New"/>
    </w:rPr>
  </w:style>
  <w:style w:type="character" w:customStyle="1" w:styleId="RTFNum69">
    <w:name w:val="RTF_Num 6 9"/>
    <w:uiPriority w:val="99"/>
    <w:rsid w:val="00D76658"/>
    <w:rPr>
      <w:rFonts w:ascii="Wingdings" w:eastAsia="Wingdings" w:hAnsi="Wingdings" w:cs="Wingdings"/>
    </w:rPr>
  </w:style>
  <w:style w:type="character" w:customStyle="1" w:styleId="RTFNum71">
    <w:name w:val="RTF_Num 7 1"/>
    <w:uiPriority w:val="99"/>
    <w:rsid w:val="00D76658"/>
    <w:rPr>
      <w:rFonts w:ascii="Times New Roman" w:eastAsia="Times New Roman" w:hAnsi="Times New Roman" w:cs="Times New Roman"/>
      <w:b/>
      <w:bCs/>
    </w:rPr>
  </w:style>
  <w:style w:type="character" w:customStyle="1" w:styleId="RTFNum73">
    <w:name w:val="RTF_Num 7 3"/>
    <w:uiPriority w:val="99"/>
    <w:rsid w:val="00D76658"/>
    <w:rPr>
      <w:rFonts w:ascii="Times New Roman" w:eastAsia="Times New Roman" w:hAnsi="Times New Roman" w:cs="Times New Roman"/>
    </w:rPr>
  </w:style>
  <w:style w:type="character" w:customStyle="1" w:styleId="RTFNum74">
    <w:name w:val="RTF_Num 7 4"/>
    <w:uiPriority w:val="99"/>
    <w:rsid w:val="00D76658"/>
    <w:rPr>
      <w:rFonts w:ascii="Times New Roman" w:eastAsia="Times New Roman" w:hAnsi="Times New Roman" w:cs="Times New Roman"/>
    </w:rPr>
  </w:style>
  <w:style w:type="character" w:customStyle="1" w:styleId="RTFNum75">
    <w:name w:val="RTF_Num 7 5"/>
    <w:uiPriority w:val="99"/>
    <w:rsid w:val="00D76658"/>
    <w:rPr>
      <w:rFonts w:ascii="Times New Roman" w:eastAsia="Times New Roman" w:hAnsi="Times New Roman" w:cs="Times New Roman"/>
    </w:rPr>
  </w:style>
  <w:style w:type="character" w:customStyle="1" w:styleId="RTFNum76">
    <w:name w:val="RTF_Num 7 6"/>
    <w:uiPriority w:val="99"/>
    <w:rsid w:val="00D76658"/>
    <w:rPr>
      <w:rFonts w:ascii="Times New Roman" w:eastAsia="Times New Roman" w:hAnsi="Times New Roman" w:cs="Times New Roman"/>
    </w:rPr>
  </w:style>
  <w:style w:type="character" w:customStyle="1" w:styleId="RTFNum77">
    <w:name w:val="RTF_Num 7 7"/>
    <w:uiPriority w:val="99"/>
    <w:rsid w:val="00D76658"/>
    <w:rPr>
      <w:rFonts w:ascii="Times New Roman" w:eastAsia="Times New Roman" w:hAnsi="Times New Roman" w:cs="Times New Roman"/>
    </w:rPr>
  </w:style>
  <w:style w:type="character" w:customStyle="1" w:styleId="RTFNum78">
    <w:name w:val="RTF_Num 7 8"/>
    <w:uiPriority w:val="99"/>
    <w:rsid w:val="00D76658"/>
    <w:rPr>
      <w:rFonts w:ascii="Times New Roman" w:eastAsia="Times New Roman" w:hAnsi="Times New Roman" w:cs="Times New Roman"/>
    </w:rPr>
  </w:style>
  <w:style w:type="character" w:customStyle="1" w:styleId="RTFNum79">
    <w:name w:val="RTF_Num 7 9"/>
    <w:uiPriority w:val="99"/>
    <w:rsid w:val="00D76658"/>
    <w:rPr>
      <w:rFonts w:ascii="Times New Roman" w:eastAsia="Times New Roman" w:hAnsi="Times New Roman" w:cs="Times New Roman"/>
    </w:rPr>
  </w:style>
  <w:style w:type="character" w:customStyle="1" w:styleId="RTFNum81">
    <w:name w:val="RTF_Num 8 1"/>
    <w:uiPriority w:val="99"/>
    <w:rsid w:val="00D76658"/>
    <w:rPr>
      <w:rFonts w:ascii="Times New Roman" w:eastAsia="Times New Roman" w:hAnsi="Times New Roman" w:cs="Times New Roman"/>
    </w:rPr>
  </w:style>
  <w:style w:type="character" w:customStyle="1" w:styleId="RTFNum83">
    <w:name w:val="RTF_Num 8 3"/>
    <w:uiPriority w:val="99"/>
    <w:rsid w:val="00D76658"/>
    <w:rPr>
      <w:rFonts w:ascii="Times New Roman" w:eastAsia="Times New Roman" w:hAnsi="Times New Roman" w:cs="Times New Roman"/>
    </w:rPr>
  </w:style>
  <w:style w:type="character" w:customStyle="1" w:styleId="RTFNum84">
    <w:name w:val="RTF_Num 8 4"/>
    <w:uiPriority w:val="99"/>
    <w:rsid w:val="00D76658"/>
    <w:rPr>
      <w:rFonts w:ascii="Times New Roman" w:eastAsia="Times New Roman" w:hAnsi="Times New Roman" w:cs="Times New Roman"/>
    </w:rPr>
  </w:style>
  <w:style w:type="character" w:customStyle="1" w:styleId="RTFNum85">
    <w:name w:val="RTF_Num 8 5"/>
    <w:uiPriority w:val="99"/>
    <w:rsid w:val="00D76658"/>
    <w:rPr>
      <w:rFonts w:ascii="Times New Roman" w:eastAsia="Times New Roman" w:hAnsi="Times New Roman" w:cs="Times New Roman"/>
    </w:rPr>
  </w:style>
  <w:style w:type="character" w:customStyle="1" w:styleId="RTFNum86">
    <w:name w:val="RTF_Num 8 6"/>
    <w:uiPriority w:val="99"/>
    <w:rsid w:val="00D76658"/>
    <w:rPr>
      <w:rFonts w:ascii="Times New Roman" w:eastAsia="Times New Roman" w:hAnsi="Times New Roman" w:cs="Times New Roman"/>
    </w:rPr>
  </w:style>
  <w:style w:type="character" w:customStyle="1" w:styleId="RTFNum87">
    <w:name w:val="RTF_Num 8 7"/>
    <w:uiPriority w:val="99"/>
    <w:rsid w:val="00D76658"/>
    <w:rPr>
      <w:rFonts w:ascii="Times New Roman" w:eastAsia="Times New Roman" w:hAnsi="Times New Roman" w:cs="Times New Roman"/>
    </w:rPr>
  </w:style>
  <w:style w:type="character" w:customStyle="1" w:styleId="RTFNum88">
    <w:name w:val="RTF_Num 8 8"/>
    <w:uiPriority w:val="99"/>
    <w:rsid w:val="00D76658"/>
    <w:rPr>
      <w:rFonts w:ascii="Times New Roman" w:eastAsia="Times New Roman" w:hAnsi="Times New Roman" w:cs="Times New Roman"/>
    </w:rPr>
  </w:style>
  <w:style w:type="character" w:customStyle="1" w:styleId="RTFNum89">
    <w:name w:val="RTF_Num 8 9"/>
    <w:uiPriority w:val="99"/>
    <w:rsid w:val="00D76658"/>
    <w:rPr>
      <w:rFonts w:ascii="Times New Roman" w:eastAsia="Times New Roman" w:hAnsi="Times New Roman" w:cs="Times New Roman"/>
    </w:rPr>
  </w:style>
  <w:style w:type="character" w:customStyle="1" w:styleId="RTFNum91">
    <w:name w:val="RTF_Num 9 1"/>
    <w:uiPriority w:val="99"/>
    <w:rsid w:val="00D76658"/>
    <w:rPr>
      <w:rFonts w:ascii="Times New Roman" w:eastAsia="Times New Roman" w:hAnsi="Times New Roman" w:cs="Times New Roman"/>
      <w:b/>
      <w:bCs/>
    </w:rPr>
  </w:style>
  <w:style w:type="character" w:customStyle="1" w:styleId="RTFNum93">
    <w:name w:val="RTF_Num 9 3"/>
    <w:uiPriority w:val="99"/>
    <w:rsid w:val="00D76658"/>
    <w:rPr>
      <w:rFonts w:ascii="Times New Roman" w:eastAsia="Times New Roman" w:hAnsi="Times New Roman" w:cs="Times New Roman"/>
    </w:rPr>
  </w:style>
  <w:style w:type="character" w:customStyle="1" w:styleId="RTFNum94">
    <w:name w:val="RTF_Num 9 4"/>
    <w:uiPriority w:val="99"/>
    <w:rsid w:val="00D76658"/>
    <w:rPr>
      <w:rFonts w:ascii="Times New Roman" w:eastAsia="Times New Roman" w:hAnsi="Times New Roman" w:cs="Times New Roman"/>
    </w:rPr>
  </w:style>
  <w:style w:type="character" w:customStyle="1" w:styleId="RTFNum95">
    <w:name w:val="RTF_Num 9 5"/>
    <w:uiPriority w:val="99"/>
    <w:rsid w:val="00D76658"/>
    <w:rPr>
      <w:rFonts w:ascii="Times New Roman" w:eastAsia="Times New Roman" w:hAnsi="Times New Roman" w:cs="Times New Roman"/>
    </w:rPr>
  </w:style>
  <w:style w:type="character" w:customStyle="1" w:styleId="RTFNum96">
    <w:name w:val="RTF_Num 9 6"/>
    <w:uiPriority w:val="99"/>
    <w:rsid w:val="00D76658"/>
    <w:rPr>
      <w:rFonts w:ascii="Times New Roman" w:eastAsia="Times New Roman" w:hAnsi="Times New Roman" w:cs="Times New Roman"/>
    </w:rPr>
  </w:style>
  <w:style w:type="character" w:customStyle="1" w:styleId="RTFNum97">
    <w:name w:val="RTF_Num 9 7"/>
    <w:uiPriority w:val="99"/>
    <w:rsid w:val="00D76658"/>
    <w:rPr>
      <w:rFonts w:ascii="Times New Roman" w:eastAsia="Times New Roman" w:hAnsi="Times New Roman" w:cs="Times New Roman"/>
    </w:rPr>
  </w:style>
  <w:style w:type="character" w:customStyle="1" w:styleId="RTFNum98">
    <w:name w:val="RTF_Num 9 8"/>
    <w:uiPriority w:val="99"/>
    <w:rsid w:val="00D76658"/>
    <w:rPr>
      <w:rFonts w:ascii="Times New Roman" w:eastAsia="Times New Roman" w:hAnsi="Times New Roman" w:cs="Times New Roman"/>
    </w:rPr>
  </w:style>
  <w:style w:type="character" w:customStyle="1" w:styleId="RTFNum99">
    <w:name w:val="RTF_Num 9 9"/>
    <w:uiPriority w:val="99"/>
    <w:rsid w:val="00D76658"/>
    <w:rPr>
      <w:rFonts w:ascii="Times New Roman" w:eastAsia="Times New Roman" w:hAnsi="Times New Roman" w:cs="Times New Roman"/>
    </w:rPr>
  </w:style>
  <w:style w:type="character" w:customStyle="1" w:styleId="RTFNum101">
    <w:name w:val="RTF_Num 10 1"/>
    <w:uiPriority w:val="99"/>
    <w:rsid w:val="00D76658"/>
    <w:rPr>
      <w:rFonts w:ascii="Times New Roman" w:eastAsia="Times New Roman" w:hAnsi="Times New Roman" w:cs="Times New Roman"/>
      <w:b/>
      <w:bCs/>
    </w:rPr>
  </w:style>
  <w:style w:type="character" w:customStyle="1" w:styleId="RTFNum103">
    <w:name w:val="RTF_Num 10 3"/>
    <w:uiPriority w:val="99"/>
    <w:rsid w:val="00D76658"/>
    <w:rPr>
      <w:rFonts w:ascii="Times New Roman" w:eastAsia="Times New Roman" w:hAnsi="Times New Roman" w:cs="Times New Roman"/>
    </w:rPr>
  </w:style>
  <w:style w:type="character" w:customStyle="1" w:styleId="RTFNum104">
    <w:name w:val="RTF_Num 10 4"/>
    <w:uiPriority w:val="99"/>
    <w:rsid w:val="00D76658"/>
    <w:rPr>
      <w:rFonts w:ascii="Times New Roman" w:eastAsia="Times New Roman" w:hAnsi="Times New Roman" w:cs="Times New Roman"/>
    </w:rPr>
  </w:style>
  <w:style w:type="character" w:customStyle="1" w:styleId="RTFNum105">
    <w:name w:val="RTF_Num 10 5"/>
    <w:uiPriority w:val="99"/>
    <w:rsid w:val="00D76658"/>
    <w:rPr>
      <w:rFonts w:ascii="Times New Roman" w:eastAsia="Times New Roman" w:hAnsi="Times New Roman" w:cs="Times New Roman"/>
    </w:rPr>
  </w:style>
  <w:style w:type="character" w:customStyle="1" w:styleId="RTFNum106">
    <w:name w:val="RTF_Num 10 6"/>
    <w:uiPriority w:val="99"/>
    <w:rsid w:val="00D76658"/>
    <w:rPr>
      <w:rFonts w:ascii="Times New Roman" w:eastAsia="Times New Roman" w:hAnsi="Times New Roman" w:cs="Times New Roman"/>
    </w:rPr>
  </w:style>
  <w:style w:type="character" w:customStyle="1" w:styleId="RTFNum107">
    <w:name w:val="RTF_Num 10 7"/>
    <w:uiPriority w:val="99"/>
    <w:rsid w:val="00D76658"/>
    <w:rPr>
      <w:rFonts w:ascii="Times New Roman" w:eastAsia="Times New Roman" w:hAnsi="Times New Roman" w:cs="Times New Roman"/>
    </w:rPr>
  </w:style>
  <w:style w:type="character" w:customStyle="1" w:styleId="RTFNum108">
    <w:name w:val="RTF_Num 10 8"/>
    <w:uiPriority w:val="99"/>
    <w:rsid w:val="00D76658"/>
    <w:rPr>
      <w:rFonts w:ascii="Times New Roman" w:eastAsia="Times New Roman" w:hAnsi="Times New Roman" w:cs="Times New Roman"/>
    </w:rPr>
  </w:style>
  <w:style w:type="character" w:customStyle="1" w:styleId="RTFNum109">
    <w:name w:val="RTF_Num 10 9"/>
    <w:uiPriority w:val="99"/>
    <w:rsid w:val="00D76658"/>
    <w:rPr>
      <w:rFonts w:ascii="Times New Roman" w:eastAsia="Times New Roman" w:hAnsi="Times New Roman" w:cs="Times New Roman"/>
    </w:rPr>
  </w:style>
  <w:style w:type="character" w:customStyle="1" w:styleId="RTFNum111">
    <w:name w:val="RTF_Num 11 1"/>
    <w:uiPriority w:val="99"/>
    <w:rsid w:val="00D76658"/>
    <w:rPr>
      <w:rFonts w:ascii="Times New Roman" w:eastAsia="Times New Roman" w:hAnsi="Times New Roman" w:cs="Times New Roman"/>
      <w:b/>
      <w:bCs/>
    </w:rPr>
  </w:style>
  <w:style w:type="character" w:customStyle="1" w:styleId="RTFNum113">
    <w:name w:val="RTF_Num 11 3"/>
    <w:uiPriority w:val="99"/>
    <w:rsid w:val="00D76658"/>
    <w:rPr>
      <w:rFonts w:ascii="Times New Roman" w:eastAsia="Times New Roman" w:hAnsi="Times New Roman" w:cs="Times New Roman"/>
    </w:rPr>
  </w:style>
  <w:style w:type="character" w:customStyle="1" w:styleId="RTFNum114">
    <w:name w:val="RTF_Num 11 4"/>
    <w:uiPriority w:val="99"/>
    <w:rsid w:val="00D76658"/>
    <w:rPr>
      <w:rFonts w:ascii="Times New Roman" w:eastAsia="Times New Roman" w:hAnsi="Times New Roman" w:cs="Times New Roman"/>
    </w:rPr>
  </w:style>
  <w:style w:type="character" w:customStyle="1" w:styleId="RTFNum115">
    <w:name w:val="RTF_Num 11 5"/>
    <w:uiPriority w:val="99"/>
    <w:rsid w:val="00D76658"/>
    <w:rPr>
      <w:rFonts w:ascii="Times New Roman" w:eastAsia="Times New Roman" w:hAnsi="Times New Roman" w:cs="Times New Roman"/>
    </w:rPr>
  </w:style>
  <w:style w:type="character" w:customStyle="1" w:styleId="RTFNum116">
    <w:name w:val="RTF_Num 11 6"/>
    <w:uiPriority w:val="99"/>
    <w:rsid w:val="00D76658"/>
    <w:rPr>
      <w:rFonts w:ascii="Times New Roman" w:eastAsia="Times New Roman" w:hAnsi="Times New Roman" w:cs="Times New Roman"/>
    </w:rPr>
  </w:style>
  <w:style w:type="character" w:customStyle="1" w:styleId="RTFNum117">
    <w:name w:val="RTF_Num 11 7"/>
    <w:uiPriority w:val="99"/>
    <w:rsid w:val="00D76658"/>
    <w:rPr>
      <w:rFonts w:ascii="Times New Roman" w:eastAsia="Times New Roman" w:hAnsi="Times New Roman" w:cs="Times New Roman"/>
    </w:rPr>
  </w:style>
  <w:style w:type="character" w:customStyle="1" w:styleId="RTFNum118">
    <w:name w:val="RTF_Num 11 8"/>
    <w:uiPriority w:val="99"/>
    <w:rsid w:val="00D76658"/>
    <w:rPr>
      <w:rFonts w:ascii="Times New Roman" w:eastAsia="Times New Roman" w:hAnsi="Times New Roman" w:cs="Times New Roman"/>
    </w:rPr>
  </w:style>
  <w:style w:type="character" w:customStyle="1" w:styleId="RTFNum119">
    <w:name w:val="RTF_Num 11 9"/>
    <w:uiPriority w:val="99"/>
    <w:rsid w:val="00D76658"/>
    <w:rPr>
      <w:rFonts w:ascii="Times New Roman" w:eastAsia="Times New Roman" w:hAnsi="Times New Roman" w:cs="Times New Roman"/>
    </w:rPr>
  </w:style>
  <w:style w:type="character" w:customStyle="1" w:styleId="RTFNum131">
    <w:name w:val="RTF_Num 13 1"/>
    <w:uiPriority w:val="99"/>
    <w:rsid w:val="00D76658"/>
    <w:rPr>
      <w:rFonts w:ascii="Times New Roman" w:eastAsia="Times New Roman" w:hAnsi="Times New Roman" w:cs="Times New Roman"/>
      <w:b/>
      <w:bCs/>
    </w:rPr>
  </w:style>
  <w:style w:type="character" w:customStyle="1" w:styleId="RTFNum133">
    <w:name w:val="RTF_Num 13 3"/>
    <w:uiPriority w:val="99"/>
    <w:rsid w:val="00D76658"/>
    <w:rPr>
      <w:rFonts w:ascii="Times New Roman" w:eastAsia="Times New Roman" w:hAnsi="Times New Roman" w:cs="Times New Roman"/>
    </w:rPr>
  </w:style>
  <w:style w:type="character" w:customStyle="1" w:styleId="RTFNum134">
    <w:name w:val="RTF_Num 13 4"/>
    <w:uiPriority w:val="99"/>
    <w:rsid w:val="00D76658"/>
    <w:rPr>
      <w:rFonts w:ascii="Times New Roman" w:eastAsia="Times New Roman" w:hAnsi="Times New Roman" w:cs="Times New Roman"/>
    </w:rPr>
  </w:style>
  <w:style w:type="character" w:customStyle="1" w:styleId="RTFNum135">
    <w:name w:val="RTF_Num 13 5"/>
    <w:uiPriority w:val="99"/>
    <w:rsid w:val="00D76658"/>
    <w:rPr>
      <w:rFonts w:ascii="Times New Roman" w:eastAsia="Times New Roman" w:hAnsi="Times New Roman" w:cs="Times New Roman"/>
    </w:rPr>
  </w:style>
  <w:style w:type="character" w:customStyle="1" w:styleId="RTFNum136">
    <w:name w:val="RTF_Num 13 6"/>
    <w:uiPriority w:val="99"/>
    <w:rsid w:val="00D76658"/>
    <w:rPr>
      <w:rFonts w:ascii="Times New Roman" w:eastAsia="Times New Roman" w:hAnsi="Times New Roman" w:cs="Times New Roman"/>
    </w:rPr>
  </w:style>
  <w:style w:type="character" w:customStyle="1" w:styleId="RTFNum137">
    <w:name w:val="RTF_Num 13 7"/>
    <w:uiPriority w:val="99"/>
    <w:rsid w:val="00D76658"/>
    <w:rPr>
      <w:rFonts w:ascii="Times New Roman" w:eastAsia="Times New Roman" w:hAnsi="Times New Roman" w:cs="Times New Roman"/>
    </w:rPr>
  </w:style>
  <w:style w:type="character" w:customStyle="1" w:styleId="RTFNum138">
    <w:name w:val="RTF_Num 13 8"/>
    <w:uiPriority w:val="99"/>
    <w:rsid w:val="00D76658"/>
    <w:rPr>
      <w:rFonts w:ascii="Times New Roman" w:eastAsia="Times New Roman" w:hAnsi="Times New Roman" w:cs="Times New Roman"/>
    </w:rPr>
  </w:style>
  <w:style w:type="character" w:customStyle="1" w:styleId="RTFNum139">
    <w:name w:val="RTF_Num 13 9"/>
    <w:uiPriority w:val="99"/>
    <w:rsid w:val="00D76658"/>
    <w:rPr>
      <w:rFonts w:ascii="Times New Roman" w:eastAsia="Times New Roman" w:hAnsi="Times New Roman" w:cs="Times New Roman"/>
    </w:rPr>
  </w:style>
  <w:style w:type="character" w:customStyle="1" w:styleId="RTFNum141">
    <w:name w:val="RTF_Num 14 1"/>
    <w:uiPriority w:val="99"/>
    <w:rsid w:val="00D76658"/>
    <w:rPr>
      <w:rFonts w:ascii="Times New Roman" w:eastAsia="Times New Roman" w:hAnsi="Times New Roman" w:cs="Times New Roman"/>
    </w:rPr>
  </w:style>
  <w:style w:type="character" w:customStyle="1" w:styleId="RTFNum143">
    <w:name w:val="RTF_Num 14 3"/>
    <w:uiPriority w:val="99"/>
    <w:rsid w:val="00D76658"/>
    <w:rPr>
      <w:rFonts w:ascii="Times New Roman" w:eastAsia="Times New Roman" w:hAnsi="Times New Roman" w:cs="Times New Roman"/>
    </w:rPr>
  </w:style>
  <w:style w:type="character" w:customStyle="1" w:styleId="RTFNum144">
    <w:name w:val="RTF_Num 14 4"/>
    <w:uiPriority w:val="99"/>
    <w:rsid w:val="00D76658"/>
    <w:rPr>
      <w:rFonts w:ascii="Times New Roman" w:eastAsia="Times New Roman" w:hAnsi="Times New Roman" w:cs="Times New Roman"/>
    </w:rPr>
  </w:style>
  <w:style w:type="character" w:customStyle="1" w:styleId="RTFNum145">
    <w:name w:val="RTF_Num 14 5"/>
    <w:uiPriority w:val="99"/>
    <w:rsid w:val="00D76658"/>
    <w:rPr>
      <w:rFonts w:ascii="Times New Roman" w:eastAsia="Times New Roman" w:hAnsi="Times New Roman" w:cs="Times New Roman"/>
    </w:rPr>
  </w:style>
  <w:style w:type="character" w:customStyle="1" w:styleId="RTFNum146">
    <w:name w:val="RTF_Num 14 6"/>
    <w:uiPriority w:val="99"/>
    <w:rsid w:val="00D76658"/>
    <w:rPr>
      <w:rFonts w:ascii="Times New Roman" w:eastAsia="Times New Roman" w:hAnsi="Times New Roman" w:cs="Times New Roman"/>
    </w:rPr>
  </w:style>
  <w:style w:type="character" w:customStyle="1" w:styleId="RTFNum147">
    <w:name w:val="RTF_Num 14 7"/>
    <w:uiPriority w:val="99"/>
    <w:rsid w:val="00D76658"/>
    <w:rPr>
      <w:rFonts w:ascii="Times New Roman" w:eastAsia="Times New Roman" w:hAnsi="Times New Roman" w:cs="Times New Roman"/>
    </w:rPr>
  </w:style>
  <w:style w:type="character" w:customStyle="1" w:styleId="RTFNum148">
    <w:name w:val="RTF_Num 14 8"/>
    <w:uiPriority w:val="99"/>
    <w:rsid w:val="00D76658"/>
    <w:rPr>
      <w:rFonts w:ascii="Times New Roman" w:eastAsia="Times New Roman" w:hAnsi="Times New Roman" w:cs="Times New Roman"/>
    </w:rPr>
  </w:style>
  <w:style w:type="character" w:customStyle="1" w:styleId="RTFNum149">
    <w:name w:val="RTF_Num 14 9"/>
    <w:uiPriority w:val="99"/>
    <w:rsid w:val="00D76658"/>
    <w:rPr>
      <w:rFonts w:ascii="Times New Roman" w:eastAsia="Times New Roman" w:hAnsi="Times New Roman" w:cs="Times New Roman"/>
    </w:rPr>
  </w:style>
  <w:style w:type="character" w:customStyle="1" w:styleId="RTFNum151">
    <w:name w:val="RTF_Num 15 1"/>
    <w:uiPriority w:val="99"/>
    <w:rsid w:val="00D76658"/>
    <w:rPr>
      <w:rFonts w:ascii="Symbol" w:eastAsia="Symbol" w:hAnsi="Symbol" w:cs="Symbol"/>
    </w:rPr>
  </w:style>
  <w:style w:type="character" w:customStyle="1" w:styleId="RTFNum153">
    <w:name w:val="RTF_Num 15 3"/>
    <w:uiPriority w:val="99"/>
    <w:rsid w:val="00D76658"/>
    <w:rPr>
      <w:rFonts w:ascii="Wingdings" w:eastAsia="Wingdings" w:hAnsi="Wingdings" w:cs="Wingdings"/>
    </w:rPr>
  </w:style>
  <w:style w:type="character" w:customStyle="1" w:styleId="RTFNum154">
    <w:name w:val="RTF_Num 15 4"/>
    <w:uiPriority w:val="99"/>
    <w:rsid w:val="00D76658"/>
    <w:rPr>
      <w:rFonts w:ascii="Symbol" w:eastAsia="Symbol" w:hAnsi="Symbol" w:cs="Symbol"/>
    </w:rPr>
  </w:style>
  <w:style w:type="character" w:customStyle="1" w:styleId="RTFNum155">
    <w:name w:val="RTF_Num 15 5"/>
    <w:uiPriority w:val="99"/>
    <w:rsid w:val="00D76658"/>
    <w:rPr>
      <w:rFonts w:ascii="Courier New" w:eastAsia="Courier New" w:hAnsi="Courier New" w:cs="Courier New"/>
    </w:rPr>
  </w:style>
  <w:style w:type="character" w:customStyle="1" w:styleId="RTFNum156">
    <w:name w:val="RTF_Num 15 6"/>
    <w:uiPriority w:val="99"/>
    <w:rsid w:val="00D76658"/>
    <w:rPr>
      <w:rFonts w:ascii="Wingdings" w:eastAsia="Wingdings" w:hAnsi="Wingdings" w:cs="Wingdings"/>
    </w:rPr>
  </w:style>
  <w:style w:type="character" w:customStyle="1" w:styleId="RTFNum157">
    <w:name w:val="RTF_Num 15 7"/>
    <w:uiPriority w:val="99"/>
    <w:rsid w:val="00D76658"/>
    <w:rPr>
      <w:rFonts w:ascii="Symbol" w:eastAsia="Symbol" w:hAnsi="Symbol" w:cs="Symbol"/>
    </w:rPr>
  </w:style>
  <w:style w:type="character" w:customStyle="1" w:styleId="RTFNum158">
    <w:name w:val="RTF_Num 15 8"/>
    <w:uiPriority w:val="99"/>
    <w:rsid w:val="00D76658"/>
    <w:rPr>
      <w:rFonts w:ascii="Courier New" w:eastAsia="Courier New" w:hAnsi="Courier New" w:cs="Courier New"/>
    </w:rPr>
  </w:style>
  <w:style w:type="character" w:customStyle="1" w:styleId="RTFNum159">
    <w:name w:val="RTF_Num 15 9"/>
    <w:uiPriority w:val="99"/>
    <w:rsid w:val="00D76658"/>
    <w:rPr>
      <w:rFonts w:ascii="Wingdings" w:eastAsia="Wingdings" w:hAnsi="Wingdings" w:cs="Wingdings"/>
    </w:rPr>
  </w:style>
  <w:style w:type="character" w:customStyle="1" w:styleId="RTFNum161">
    <w:name w:val="RTF_Num 16 1"/>
    <w:uiPriority w:val="99"/>
    <w:rsid w:val="00D76658"/>
    <w:rPr>
      <w:rFonts w:ascii="Times New Roman" w:eastAsia="Times New Roman" w:hAnsi="Times New Roman" w:cs="Times New Roman"/>
    </w:rPr>
  </w:style>
  <w:style w:type="character" w:customStyle="1" w:styleId="RTFNum163">
    <w:name w:val="RTF_Num 16 3"/>
    <w:uiPriority w:val="99"/>
    <w:rsid w:val="00D76658"/>
    <w:rPr>
      <w:rFonts w:ascii="Times New Roman" w:eastAsia="Times New Roman" w:hAnsi="Times New Roman" w:cs="Times New Roman"/>
    </w:rPr>
  </w:style>
  <w:style w:type="character" w:customStyle="1" w:styleId="RTFNum164">
    <w:name w:val="RTF_Num 16 4"/>
    <w:uiPriority w:val="99"/>
    <w:rsid w:val="00D76658"/>
    <w:rPr>
      <w:rFonts w:ascii="Times New Roman" w:eastAsia="Times New Roman" w:hAnsi="Times New Roman" w:cs="Times New Roman"/>
    </w:rPr>
  </w:style>
  <w:style w:type="character" w:customStyle="1" w:styleId="RTFNum165">
    <w:name w:val="RTF_Num 16 5"/>
    <w:uiPriority w:val="99"/>
    <w:rsid w:val="00D76658"/>
    <w:rPr>
      <w:rFonts w:ascii="Times New Roman" w:eastAsia="Times New Roman" w:hAnsi="Times New Roman" w:cs="Times New Roman"/>
    </w:rPr>
  </w:style>
  <w:style w:type="character" w:customStyle="1" w:styleId="RTFNum166">
    <w:name w:val="RTF_Num 16 6"/>
    <w:uiPriority w:val="99"/>
    <w:rsid w:val="00D76658"/>
    <w:rPr>
      <w:rFonts w:ascii="Times New Roman" w:eastAsia="Times New Roman" w:hAnsi="Times New Roman" w:cs="Times New Roman"/>
    </w:rPr>
  </w:style>
  <w:style w:type="character" w:customStyle="1" w:styleId="RTFNum167">
    <w:name w:val="RTF_Num 16 7"/>
    <w:uiPriority w:val="99"/>
    <w:rsid w:val="00D76658"/>
    <w:rPr>
      <w:rFonts w:ascii="Times New Roman" w:eastAsia="Times New Roman" w:hAnsi="Times New Roman" w:cs="Times New Roman"/>
    </w:rPr>
  </w:style>
  <w:style w:type="character" w:customStyle="1" w:styleId="RTFNum168">
    <w:name w:val="RTF_Num 16 8"/>
    <w:uiPriority w:val="99"/>
    <w:rsid w:val="00D76658"/>
    <w:rPr>
      <w:rFonts w:ascii="Times New Roman" w:eastAsia="Times New Roman" w:hAnsi="Times New Roman" w:cs="Times New Roman"/>
    </w:rPr>
  </w:style>
  <w:style w:type="character" w:customStyle="1" w:styleId="RTFNum169">
    <w:name w:val="RTF_Num 16 9"/>
    <w:uiPriority w:val="99"/>
    <w:rsid w:val="00D76658"/>
    <w:rPr>
      <w:rFonts w:ascii="Times New Roman" w:eastAsia="Times New Roman" w:hAnsi="Times New Roman" w:cs="Times New Roman"/>
    </w:rPr>
  </w:style>
  <w:style w:type="character" w:customStyle="1" w:styleId="RTFNum171">
    <w:name w:val="RTF_Num 17 1"/>
    <w:uiPriority w:val="99"/>
    <w:rsid w:val="00D76658"/>
    <w:rPr>
      <w:rFonts w:ascii="Symbol" w:eastAsia="Symbol" w:hAnsi="Symbol" w:cs="Symbol"/>
    </w:rPr>
  </w:style>
  <w:style w:type="character" w:customStyle="1" w:styleId="RTFNum181">
    <w:name w:val="RTF_Num 18 1"/>
    <w:uiPriority w:val="99"/>
    <w:rsid w:val="00D76658"/>
    <w:rPr>
      <w:rFonts w:ascii="Times New Roman" w:eastAsia="Times New Roman" w:hAnsi="Times New Roman" w:cs="Times New Roman"/>
    </w:rPr>
  </w:style>
  <w:style w:type="character" w:customStyle="1" w:styleId="RTFNum183">
    <w:name w:val="RTF_Num 18 3"/>
    <w:uiPriority w:val="99"/>
    <w:rsid w:val="00D76658"/>
    <w:rPr>
      <w:rFonts w:ascii="Times New Roman" w:eastAsia="Times New Roman" w:hAnsi="Times New Roman" w:cs="Times New Roman"/>
    </w:rPr>
  </w:style>
  <w:style w:type="character" w:customStyle="1" w:styleId="RTFNum184">
    <w:name w:val="RTF_Num 18 4"/>
    <w:uiPriority w:val="99"/>
    <w:rsid w:val="00D76658"/>
    <w:rPr>
      <w:rFonts w:ascii="Times New Roman" w:eastAsia="Times New Roman" w:hAnsi="Times New Roman" w:cs="Times New Roman"/>
    </w:rPr>
  </w:style>
  <w:style w:type="character" w:customStyle="1" w:styleId="RTFNum185">
    <w:name w:val="RTF_Num 18 5"/>
    <w:uiPriority w:val="99"/>
    <w:rsid w:val="00D76658"/>
    <w:rPr>
      <w:rFonts w:ascii="Times New Roman" w:eastAsia="Times New Roman" w:hAnsi="Times New Roman" w:cs="Times New Roman"/>
    </w:rPr>
  </w:style>
  <w:style w:type="character" w:customStyle="1" w:styleId="RTFNum186">
    <w:name w:val="RTF_Num 18 6"/>
    <w:uiPriority w:val="99"/>
    <w:rsid w:val="00D76658"/>
    <w:rPr>
      <w:rFonts w:ascii="Times New Roman" w:eastAsia="Times New Roman" w:hAnsi="Times New Roman" w:cs="Times New Roman"/>
    </w:rPr>
  </w:style>
  <w:style w:type="character" w:customStyle="1" w:styleId="RTFNum187">
    <w:name w:val="RTF_Num 18 7"/>
    <w:uiPriority w:val="99"/>
    <w:rsid w:val="00D76658"/>
    <w:rPr>
      <w:rFonts w:ascii="Times New Roman" w:eastAsia="Times New Roman" w:hAnsi="Times New Roman" w:cs="Times New Roman"/>
    </w:rPr>
  </w:style>
  <w:style w:type="character" w:customStyle="1" w:styleId="RTFNum188">
    <w:name w:val="RTF_Num 18 8"/>
    <w:uiPriority w:val="99"/>
    <w:rsid w:val="00D76658"/>
    <w:rPr>
      <w:rFonts w:ascii="Times New Roman" w:eastAsia="Times New Roman" w:hAnsi="Times New Roman" w:cs="Times New Roman"/>
    </w:rPr>
  </w:style>
  <w:style w:type="character" w:customStyle="1" w:styleId="RTFNum189">
    <w:name w:val="RTF_Num 18 9"/>
    <w:uiPriority w:val="99"/>
    <w:rsid w:val="00D76658"/>
    <w:rPr>
      <w:rFonts w:ascii="Times New Roman" w:eastAsia="Times New Roman" w:hAnsi="Times New Roman" w:cs="Times New Roman"/>
    </w:rPr>
  </w:style>
  <w:style w:type="character" w:customStyle="1" w:styleId="RTFNum191">
    <w:name w:val="RTF_Num 19 1"/>
    <w:uiPriority w:val="99"/>
    <w:rsid w:val="00D76658"/>
    <w:rPr>
      <w:rFonts w:ascii="Times New Roman" w:eastAsia="Times New Roman" w:hAnsi="Times New Roman" w:cs="Times New Roman"/>
    </w:rPr>
  </w:style>
  <w:style w:type="character" w:customStyle="1" w:styleId="RTFNum193">
    <w:name w:val="RTF_Num 19 3"/>
    <w:uiPriority w:val="99"/>
    <w:rsid w:val="00D76658"/>
    <w:rPr>
      <w:rFonts w:ascii="Times New Roman" w:eastAsia="Times New Roman" w:hAnsi="Times New Roman" w:cs="Times New Roman"/>
    </w:rPr>
  </w:style>
  <w:style w:type="character" w:customStyle="1" w:styleId="RTFNum194">
    <w:name w:val="RTF_Num 19 4"/>
    <w:uiPriority w:val="99"/>
    <w:rsid w:val="00D76658"/>
    <w:rPr>
      <w:rFonts w:ascii="Times New Roman" w:eastAsia="Times New Roman" w:hAnsi="Times New Roman" w:cs="Times New Roman"/>
    </w:rPr>
  </w:style>
  <w:style w:type="character" w:customStyle="1" w:styleId="RTFNum195">
    <w:name w:val="RTF_Num 19 5"/>
    <w:uiPriority w:val="99"/>
    <w:rsid w:val="00D76658"/>
    <w:rPr>
      <w:rFonts w:ascii="Times New Roman" w:eastAsia="Times New Roman" w:hAnsi="Times New Roman" w:cs="Times New Roman"/>
    </w:rPr>
  </w:style>
  <w:style w:type="character" w:customStyle="1" w:styleId="RTFNum196">
    <w:name w:val="RTF_Num 19 6"/>
    <w:uiPriority w:val="99"/>
    <w:rsid w:val="00D76658"/>
    <w:rPr>
      <w:rFonts w:ascii="Times New Roman" w:eastAsia="Times New Roman" w:hAnsi="Times New Roman" w:cs="Times New Roman"/>
    </w:rPr>
  </w:style>
  <w:style w:type="character" w:customStyle="1" w:styleId="RTFNum197">
    <w:name w:val="RTF_Num 19 7"/>
    <w:uiPriority w:val="99"/>
    <w:rsid w:val="00D76658"/>
    <w:rPr>
      <w:rFonts w:ascii="Times New Roman" w:eastAsia="Times New Roman" w:hAnsi="Times New Roman" w:cs="Times New Roman"/>
    </w:rPr>
  </w:style>
  <w:style w:type="character" w:customStyle="1" w:styleId="RTFNum198">
    <w:name w:val="RTF_Num 19 8"/>
    <w:uiPriority w:val="99"/>
    <w:rsid w:val="00D76658"/>
    <w:rPr>
      <w:rFonts w:ascii="Times New Roman" w:eastAsia="Times New Roman" w:hAnsi="Times New Roman" w:cs="Times New Roman"/>
    </w:rPr>
  </w:style>
  <w:style w:type="character" w:customStyle="1" w:styleId="RTFNum199">
    <w:name w:val="RTF_Num 19 9"/>
    <w:uiPriority w:val="99"/>
    <w:rsid w:val="00D76658"/>
    <w:rPr>
      <w:rFonts w:ascii="Times New Roman" w:eastAsia="Times New Roman" w:hAnsi="Times New Roman" w:cs="Times New Roman"/>
    </w:rPr>
  </w:style>
  <w:style w:type="character" w:customStyle="1" w:styleId="RTFNum201">
    <w:name w:val="RTF_Num 20 1"/>
    <w:uiPriority w:val="99"/>
    <w:rsid w:val="00D76658"/>
    <w:rPr>
      <w:rFonts w:ascii="Times New Roman" w:eastAsia="Times New Roman" w:hAnsi="Times New Roman" w:cs="Times New Roman"/>
    </w:rPr>
  </w:style>
  <w:style w:type="character" w:customStyle="1" w:styleId="RTFNum203">
    <w:name w:val="RTF_Num 20 3"/>
    <w:uiPriority w:val="99"/>
    <w:rsid w:val="00D76658"/>
    <w:rPr>
      <w:rFonts w:ascii="Times New Roman" w:eastAsia="Times New Roman" w:hAnsi="Times New Roman" w:cs="Times New Roman"/>
    </w:rPr>
  </w:style>
  <w:style w:type="character" w:customStyle="1" w:styleId="RTFNum204">
    <w:name w:val="RTF_Num 20 4"/>
    <w:uiPriority w:val="99"/>
    <w:rsid w:val="00D76658"/>
    <w:rPr>
      <w:rFonts w:ascii="Times New Roman" w:eastAsia="Times New Roman" w:hAnsi="Times New Roman" w:cs="Times New Roman"/>
    </w:rPr>
  </w:style>
  <w:style w:type="character" w:customStyle="1" w:styleId="RTFNum205">
    <w:name w:val="RTF_Num 20 5"/>
    <w:uiPriority w:val="99"/>
    <w:rsid w:val="00D76658"/>
    <w:rPr>
      <w:rFonts w:ascii="Times New Roman" w:eastAsia="Times New Roman" w:hAnsi="Times New Roman" w:cs="Times New Roman"/>
    </w:rPr>
  </w:style>
  <w:style w:type="character" w:customStyle="1" w:styleId="RTFNum206">
    <w:name w:val="RTF_Num 20 6"/>
    <w:uiPriority w:val="99"/>
    <w:rsid w:val="00D76658"/>
    <w:rPr>
      <w:rFonts w:ascii="Times New Roman" w:eastAsia="Times New Roman" w:hAnsi="Times New Roman" w:cs="Times New Roman"/>
    </w:rPr>
  </w:style>
  <w:style w:type="character" w:customStyle="1" w:styleId="RTFNum207">
    <w:name w:val="RTF_Num 20 7"/>
    <w:uiPriority w:val="99"/>
    <w:rsid w:val="00D76658"/>
    <w:rPr>
      <w:rFonts w:ascii="Times New Roman" w:eastAsia="Times New Roman" w:hAnsi="Times New Roman" w:cs="Times New Roman"/>
    </w:rPr>
  </w:style>
  <w:style w:type="character" w:customStyle="1" w:styleId="RTFNum208">
    <w:name w:val="RTF_Num 20 8"/>
    <w:uiPriority w:val="99"/>
    <w:rsid w:val="00D76658"/>
    <w:rPr>
      <w:rFonts w:ascii="Times New Roman" w:eastAsia="Times New Roman" w:hAnsi="Times New Roman" w:cs="Times New Roman"/>
    </w:rPr>
  </w:style>
  <w:style w:type="character" w:customStyle="1" w:styleId="RTFNum209">
    <w:name w:val="RTF_Num 20 9"/>
    <w:uiPriority w:val="99"/>
    <w:rsid w:val="00D76658"/>
    <w:rPr>
      <w:rFonts w:ascii="Times New Roman" w:eastAsia="Times New Roman" w:hAnsi="Times New Roman" w:cs="Times New Roman"/>
    </w:rPr>
  </w:style>
  <w:style w:type="character" w:customStyle="1" w:styleId="RTFNum211">
    <w:name w:val="RTF_Num 21 1"/>
    <w:uiPriority w:val="99"/>
    <w:rsid w:val="00D76658"/>
    <w:rPr>
      <w:rFonts w:ascii="Times New Roman" w:eastAsia="Times New Roman" w:hAnsi="Times New Roman" w:cs="Times New Roman"/>
    </w:rPr>
  </w:style>
  <w:style w:type="character" w:customStyle="1" w:styleId="RTFNum213">
    <w:name w:val="RTF_Num 21 3"/>
    <w:uiPriority w:val="99"/>
    <w:rsid w:val="00D76658"/>
    <w:rPr>
      <w:rFonts w:ascii="Times New Roman" w:eastAsia="Times New Roman" w:hAnsi="Times New Roman" w:cs="Times New Roman"/>
    </w:rPr>
  </w:style>
  <w:style w:type="character" w:customStyle="1" w:styleId="RTFNum214">
    <w:name w:val="RTF_Num 21 4"/>
    <w:uiPriority w:val="99"/>
    <w:rsid w:val="00D76658"/>
    <w:rPr>
      <w:rFonts w:ascii="Times New Roman" w:eastAsia="Times New Roman" w:hAnsi="Times New Roman" w:cs="Times New Roman"/>
    </w:rPr>
  </w:style>
  <w:style w:type="character" w:customStyle="1" w:styleId="RTFNum215">
    <w:name w:val="RTF_Num 21 5"/>
    <w:uiPriority w:val="99"/>
    <w:rsid w:val="00D76658"/>
    <w:rPr>
      <w:rFonts w:ascii="Times New Roman" w:eastAsia="Times New Roman" w:hAnsi="Times New Roman" w:cs="Times New Roman"/>
    </w:rPr>
  </w:style>
  <w:style w:type="character" w:customStyle="1" w:styleId="RTFNum216">
    <w:name w:val="RTF_Num 21 6"/>
    <w:uiPriority w:val="99"/>
    <w:rsid w:val="00D76658"/>
    <w:rPr>
      <w:rFonts w:ascii="Times New Roman" w:eastAsia="Times New Roman" w:hAnsi="Times New Roman" w:cs="Times New Roman"/>
    </w:rPr>
  </w:style>
  <w:style w:type="character" w:customStyle="1" w:styleId="RTFNum217">
    <w:name w:val="RTF_Num 21 7"/>
    <w:uiPriority w:val="99"/>
    <w:rsid w:val="00D76658"/>
    <w:rPr>
      <w:rFonts w:ascii="Times New Roman" w:eastAsia="Times New Roman" w:hAnsi="Times New Roman" w:cs="Times New Roman"/>
    </w:rPr>
  </w:style>
  <w:style w:type="character" w:customStyle="1" w:styleId="RTFNum218">
    <w:name w:val="RTF_Num 21 8"/>
    <w:uiPriority w:val="99"/>
    <w:rsid w:val="00D76658"/>
    <w:rPr>
      <w:rFonts w:ascii="Times New Roman" w:eastAsia="Times New Roman" w:hAnsi="Times New Roman" w:cs="Times New Roman"/>
    </w:rPr>
  </w:style>
  <w:style w:type="character" w:customStyle="1" w:styleId="RTFNum219">
    <w:name w:val="RTF_Num 21 9"/>
    <w:uiPriority w:val="99"/>
    <w:rsid w:val="00D76658"/>
    <w:rPr>
      <w:rFonts w:ascii="Times New Roman" w:eastAsia="Times New Roman" w:hAnsi="Times New Roman" w:cs="Times New Roman"/>
    </w:rPr>
  </w:style>
  <w:style w:type="character" w:customStyle="1" w:styleId="RTFNum221">
    <w:name w:val="RTF_Num 22 1"/>
    <w:uiPriority w:val="99"/>
    <w:rsid w:val="00D76658"/>
    <w:rPr>
      <w:rFonts w:ascii="Symbol" w:eastAsia="Symbol" w:hAnsi="Symbol" w:cs="Symbol"/>
      <w:color w:val="000000"/>
    </w:rPr>
  </w:style>
  <w:style w:type="character" w:customStyle="1" w:styleId="RTFNum223">
    <w:name w:val="RTF_Num 22 3"/>
    <w:uiPriority w:val="99"/>
    <w:rsid w:val="00D76658"/>
    <w:rPr>
      <w:rFonts w:ascii="Wingdings" w:eastAsia="Wingdings" w:hAnsi="Wingdings" w:cs="Wingdings"/>
    </w:rPr>
  </w:style>
  <w:style w:type="character" w:customStyle="1" w:styleId="RTFNum224">
    <w:name w:val="RTF_Num 22 4"/>
    <w:uiPriority w:val="99"/>
    <w:rsid w:val="00D76658"/>
    <w:rPr>
      <w:rFonts w:ascii="Symbol" w:eastAsia="Symbol" w:hAnsi="Symbol" w:cs="Symbol"/>
    </w:rPr>
  </w:style>
  <w:style w:type="character" w:customStyle="1" w:styleId="RTFNum225">
    <w:name w:val="RTF_Num 22 5"/>
    <w:uiPriority w:val="99"/>
    <w:rsid w:val="00D76658"/>
    <w:rPr>
      <w:rFonts w:ascii="Courier New" w:eastAsia="Courier New" w:hAnsi="Courier New" w:cs="Courier New"/>
    </w:rPr>
  </w:style>
  <w:style w:type="character" w:customStyle="1" w:styleId="RTFNum226">
    <w:name w:val="RTF_Num 22 6"/>
    <w:uiPriority w:val="99"/>
    <w:rsid w:val="00D76658"/>
    <w:rPr>
      <w:rFonts w:ascii="Wingdings" w:eastAsia="Wingdings" w:hAnsi="Wingdings" w:cs="Wingdings"/>
    </w:rPr>
  </w:style>
  <w:style w:type="character" w:customStyle="1" w:styleId="RTFNum227">
    <w:name w:val="RTF_Num 22 7"/>
    <w:uiPriority w:val="99"/>
    <w:rsid w:val="00D76658"/>
    <w:rPr>
      <w:rFonts w:ascii="Symbol" w:eastAsia="Symbol" w:hAnsi="Symbol" w:cs="Symbol"/>
    </w:rPr>
  </w:style>
  <w:style w:type="character" w:customStyle="1" w:styleId="RTFNum228">
    <w:name w:val="RTF_Num 22 8"/>
    <w:uiPriority w:val="99"/>
    <w:rsid w:val="00D76658"/>
    <w:rPr>
      <w:rFonts w:ascii="Courier New" w:eastAsia="Courier New" w:hAnsi="Courier New" w:cs="Courier New"/>
    </w:rPr>
  </w:style>
  <w:style w:type="character" w:customStyle="1" w:styleId="RTFNum229">
    <w:name w:val="RTF_Num 22 9"/>
    <w:uiPriority w:val="99"/>
    <w:rsid w:val="00D76658"/>
    <w:rPr>
      <w:rFonts w:ascii="Wingdings" w:eastAsia="Wingdings" w:hAnsi="Wingdings" w:cs="Wingdings"/>
    </w:rPr>
  </w:style>
  <w:style w:type="character" w:customStyle="1" w:styleId="RTFNum231">
    <w:name w:val="RTF_Num 23 1"/>
    <w:uiPriority w:val="99"/>
    <w:rsid w:val="00D76658"/>
    <w:rPr>
      <w:rFonts w:ascii="Symbol" w:eastAsia="Symbol" w:hAnsi="Symbol" w:cs="Symbol"/>
    </w:rPr>
  </w:style>
  <w:style w:type="character" w:customStyle="1" w:styleId="RTFNum233">
    <w:name w:val="RTF_Num 23 3"/>
    <w:uiPriority w:val="99"/>
    <w:rsid w:val="00D76658"/>
    <w:rPr>
      <w:rFonts w:ascii="Wingdings" w:eastAsia="Wingdings" w:hAnsi="Wingdings" w:cs="Wingdings"/>
    </w:rPr>
  </w:style>
  <w:style w:type="character" w:customStyle="1" w:styleId="RTFNum234">
    <w:name w:val="RTF_Num 23 4"/>
    <w:uiPriority w:val="99"/>
    <w:rsid w:val="00D76658"/>
    <w:rPr>
      <w:rFonts w:ascii="Symbol" w:eastAsia="Symbol" w:hAnsi="Symbol" w:cs="Symbol"/>
    </w:rPr>
  </w:style>
  <w:style w:type="character" w:customStyle="1" w:styleId="RTFNum235">
    <w:name w:val="RTF_Num 23 5"/>
    <w:uiPriority w:val="99"/>
    <w:rsid w:val="00D76658"/>
    <w:rPr>
      <w:rFonts w:ascii="Courier New" w:eastAsia="Courier New" w:hAnsi="Courier New" w:cs="Courier New"/>
    </w:rPr>
  </w:style>
  <w:style w:type="character" w:customStyle="1" w:styleId="RTFNum236">
    <w:name w:val="RTF_Num 23 6"/>
    <w:uiPriority w:val="99"/>
    <w:rsid w:val="00D76658"/>
    <w:rPr>
      <w:rFonts w:ascii="Wingdings" w:eastAsia="Wingdings" w:hAnsi="Wingdings" w:cs="Wingdings"/>
    </w:rPr>
  </w:style>
  <w:style w:type="character" w:customStyle="1" w:styleId="RTFNum237">
    <w:name w:val="RTF_Num 23 7"/>
    <w:uiPriority w:val="99"/>
    <w:rsid w:val="00D76658"/>
    <w:rPr>
      <w:rFonts w:ascii="Symbol" w:eastAsia="Symbol" w:hAnsi="Symbol" w:cs="Symbol"/>
    </w:rPr>
  </w:style>
  <w:style w:type="character" w:customStyle="1" w:styleId="RTFNum238">
    <w:name w:val="RTF_Num 23 8"/>
    <w:uiPriority w:val="99"/>
    <w:rsid w:val="00D76658"/>
    <w:rPr>
      <w:rFonts w:ascii="Courier New" w:eastAsia="Courier New" w:hAnsi="Courier New" w:cs="Courier New"/>
    </w:rPr>
  </w:style>
  <w:style w:type="character" w:customStyle="1" w:styleId="RTFNum239">
    <w:name w:val="RTF_Num 23 9"/>
    <w:uiPriority w:val="99"/>
    <w:rsid w:val="00D76658"/>
    <w:rPr>
      <w:rFonts w:ascii="Wingdings" w:eastAsia="Wingdings" w:hAnsi="Wingdings" w:cs="Wingdings"/>
    </w:rPr>
  </w:style>
  <w:style w:type="character" w:customStyle="1" w:styleId="RTFNum241">
    <w:name w:val="RTF_Num 24 1"/>
    <w:uiPriority w:val="99"/>
    <w:rsid w:val="00D76658"/>
    <w:rPr>
      <w:rFonts w:ascii="Times New Roman" w:eastAsia="Times New Roman" w:hAnsi="Times New Roman" w:cs="Times New Roman"/>
    </w:rPr>
  </w:style>
  <w:style w:type="character" w:customStyle="1" w:styleId="RTFNum243">
    <w:name w:val="RTF_Num 24 3"/>
    <w:uiPriority w:val="99"/>
    <w:rsid w:val="00D76658"/>
    <w:rPr>
      <w:rFonts w:ascii="Times New Roman" w:eastAsia="Times New Roman" w:hAnsi="Times New Roman" w:cs="Times New Roman"/>
    </w:rPr>
  </w:style>
  <w:style w:type="character" w:customStyle="1" w:styleId="RTFNum244">
    <w:name w:val="RTF_Num 24 4"/>
    <w:uiPriority w:val="99"/>
    <w:rsid w:val="00D76658"/>
    <w:rPr>
      <w:rFonts w:ascii="Times New Roman" w:eastAsia="Times New Roman" w:hAnsi="Times New Roman" w:cs="Times New Roman"/>
    </w:rPr>
  </w:style>
  <w:style w:type="character" w:customStyle="1" w:styleId="RTFNum245">
    <w:name w:val="RTF_Num 24 5"/>
    <w:uiPriority w:val="99"/>
    <w:rsid w:val="00D76658"/>
    <w:rPr>
      <w:rFonts w:ascii="Times New Roman" w:eastAsia="Times New Roman" w:hAnsi="Times New Roman" w:cs="Times New Roman"/>
    </w:rPr>
  </w:style>
  <w:style w:type="character" w:customStyle="1" w:styleId="RTFNum246">
    <w:name w:val="RTF_Num 24 6"/>
    <w:uiPriority w:val="99"/>
    <w:rsid w:val="00D76658"/>
    <w:rPr>
      <w:rFonts w:ascii="Times New Roman" w:eastAsia="Times New Roman" w:hAnsi="Times New Roman" w:cs="Times New Roman"/>
    </w:rPr>
  </w:style>
  <w:style w:type="character" w:customStyle="1" w:styleId="RTFNum247">
    <w:name w:val="RTF_Num 24 7"/>
    <w:uiPriority w:val="99"/>
    <w:rsid w:val="00D76658"/>
    <w:rPr>
      <w:rFonts w:ascii="Times New Roman" w:eastAsia="Times New Roman" w:hAnsi="Times New Roman" w:cs="Times New Roman"/>
    </w:rPr>
  </w:style>
  <w:style w:type="character" w:customStyle="1" w:styleId="RTFNum248">
    <w:name w:val="RTF_Num 24 8"/>
    <w:uiPriority w:val="99"/>
    <w:rsid w:val="00D76658"/>
    <w:rPr>
      <w:rFonts w:ascii="Times New Roman" w:eastAsia="Times New Roman" w:hAnsi="Times New Roman" w:cs="Times New Roman"/>
    </w:rPr>
  </w:style>
  <w:style w:type="character" w:customStyle="1" w:styleId="RTFNum249">
    <w:name w:val="RTF_Num 24 9"/>
    <w:uiPriority w:val="99"/>
    <w:rsid w:val="00D76658"/>
    <w:rPr>
      <w:rFonts w:ascii="Times New Roman" w:eastAsia="Times New Roman" w:hAnsi="Times New Roman" w:cs="Times New Roman"/>
    </w:rPr>
  </w:style>
  <w:style w:type="character" w:customStyle="1" w:styleId="RTFNum251">
    <w:name w:val="RTF_Num 25 1"/>
    <w:uiPriority w:val="99"/>
    <w:rsid w:val="00D76658"/>
    <w:rPr>
      <w:rFonts w:ascii="Times New Roman" w:eastAsia="Times New Roman" w:hAnsi="Times New Roman" w:cs="Times New Roman"/>
    </w:rPr>
  </w:style>
  <w:style w:type="character" w:customStyle="1" w:styleId="RTFNum253">
    <w:name w:val="RTF_Num 25 3"/>
    <w:uiPriority w:val="99"/>
    <w:rsid w:val="00D76658"/>
    <w:rPr>
      <w:rFonts w:ascii="Times New Roman" w:eastAsia="Times New Roman" w:hAnsi="Times New Roman" w:cs="Times New Roman"/>
    </w:rPr>
  </w:style>
  <w:style w:type="character" w:customStyle="1" w:styleId="RTFNum254">
    <w:name w:val="RTF_Num 25 4"/>
    <w:uiPriority w:val="99"/>
    <w:rsid w:val="00D76658"/>
    <w:rPr>
      <w:rFonts w:ascii="Times New Roman" w:eastAsia="Times New Roman" w:hAnsi="Times New Roman" w:cs="Times New Roman"/>
    </w:rPr>
  </w:style>
  <w:style w:type="character" w:customStyle="1" w:styleId="RTFNum255">
    <w:name w:val="RTF_Num 25 5"/>
    <w:uiPriority w:val="99"/>
    <w:rsid w:val="00D76658"/>
    <w:rPr>
      <w:rFonts w:ascii="Times New Roman" w:eastAsia="Times New Roman" w:hAnsi="Times New Roman" w:cs="Times New Roman"/>
    </w:rPr>
  </w:style>
  <w:style w:type="character" w:customStyle="1" w:styleId="RTFNum256">
    <w:name w:val="RTF_Num 25 6"/>
    <w:uiPriority w:val="99"/>
    <w:rsid w:val="00D76658"/>
    <w:rPr>
      <w:rFonts w:ascii="Times New Roman" w:eastAsia="Times New Roman" w:hAnsi="Times New Roman" w:cs="Times New Roman"/>
    </w:rPr>
  </w:style>
  <w:style w:type="character" w:customStyle="1" w:styleId="RTFNum257">
    <w:name w:val="RTF_Num 25 7"/>
    <w:uiPriority w:val="99"/>
    <w:rsid w:val="00D76658"/>
    <w:rPr>
      <w:rFonts w:ascii="Times New Roman" w:eastAsia="Times New Roman" w:hAnsi="Times New Roman" w:cs="Times New Roman"/>
    </w:rPr>
  </w:style>
  <w:style w:type="character" w:customStyle="1" w:styleId="RTFNum258">
    <w:name w:val="RTF_Num 25 8"/>
    <w:uiPriority w:val="99"/>
    <w:rsid w:val="00D76658"/>
    <w:rPr>
      <w:rFonts w:ascii="Times New Roman" w:eastAsia="Times New Roman" w:hAnsi="Times New Roman" w:cs="Times New Roman"/>
    </w:rPr>
  </w:style>
  <w:style w:type="character" w:customStyle="1" w:styleId="RTFNum259">
    <w:name w:val="RTF_Num 25 9"/>
    <w:uiPriority w:val="99"/>
    <w:rsid w:val="00D76658"/>
    <w:rPr>
      <w:rFonts w:ascii="Times New Roman" w:eastAsia="Times New Roman" w:hAnsi="Times New Roman" w:cs="Times New Roman"/>
    </w:rPr>
  </w:style>
  <w:style w:type="character" w:customStyle="1" w:styleId="RTFNum261">
    <w:name w:val="RTF_Num 26 1"/>
    <w:uiPriority w:val="99"/>
    <w:rsid w:val="00D76658"/>
    <w:rPr>
      <w:rFonts w:ascii="Times New Roman" w:eastAsia="Times New Roman" w:hAnsi="Times New Roman" w:cs="Times New Roman"/>
    </w:rPr>
  </w:style>
  <w:style w:type="character" w:customStyle="1" w:styleId="RTFNum263">
    <w:name w:val="RTF_Num 26 3"/>
    <w:uiPriority w:val="99"/>
    <w:rsid w:val="00D76658"/>
    <w:rPr>
      <w:rFonts w:ascii="Wingdings" w:eastAsia="Wingdings" w:hAnsi="Wingdings" w:cs="Wingdings"/>
    </w:rPr>
  </w:style>
  <w:style w:type="character" w:customStyle="1" w:styleId="RTFNum264">
    <w:name w:val="RTF_Num 26 4"/>
    <w:uiPriority w:val="99"/>
    <w:rsid w:val="00D76658"/>
    <w:rPr>
      <w:rFonts w:ascii="Times New Roman" w:eastAsia="Times New Roman" w:hAnsi="Times New Roman" w:cs="Times New Roman"/>
    </w:rPr>
  </w:style>
  <w:style w:type="character" w:customStyle="1" w:styleId="RTFNum265">
    <w:name w:val="RTF_Num 26 5"/>
    <w:uiPriority w:val="99"/>
    <w:rsid w:val="00D76658"/>
    <w:rPr>
      <w:rFonts w:ascii="Times New Roman" w:eastAsia="Times New Roman" w:hAnsi="Times New Roman" w:cs="Times New Roman"/>
    </w:rPr>
  </w:style>
  <w:style w:type="character" w:customStyle="1" w:styleId="RTFNum266">
    <w:name w:val="RTF_Num 26 6"/>
    <w:uiPriority w:val="99"/>
    <w:rsid w:val="00D76658"/>
    <w:rPr>
      <w:rFonts w:ascii="Times New Roman" w:eastAsia="Times New Roman" w:hAnsi="Times New Roman" w:cs="Times New Roman"/>
    </w:rPr>
  </w:style>
  <w:style w:type="character" w:customStyle="1" w:styleId="RTFNum267">
    <w:name w:val="RTF_Num 26 7"/>
    <w:uiPriority w:val="99"/>
    <w:rsid w:val="00D76658"/>
    <w:rPr>
      <w:rFonts w:ascii="Times New Roman" w:eastAsia="Times New Roman" w:hAnsi="Times New Roman" w:cs="Times New Roman"/>
    </w:rPr>
  </w:style>
  <w:style w:type="character" w:customStyle="1" w:styleId="RTFNum268">
    <w:name w:val="RTF_Num 26 8"/>
    <w:uiPriority w:val="99"/>
    <w:rsid w:val="00D76658"/>
    <w:rPr>
      <w:rFonts w:ascii="Times New Roman" w:eastAsia="Times New Roman" w:hAnsi="Times New Roman" w:cs="Times New Roman"/>
    </w:rPr>
  </w:style>
  <w:style w:type="character" w:customStyle="1" w:styleId="RTFNum269">
    <w:name w:val="RTF_Num 26 9"/>
    <w:uiPriority w:val="99"/>
    <w:rsid w:val="00D76658"/>
    <w:rPr>
      <w:rFonts w:ascii="Times New Roman" w:eastAsia="Times New Roman" w:hAnsi="Times New Roman" w:cs="Times New Roman"/>
    </w:rPr>
  </w:style>
  <w:style w:type="character" w:customStyle="1" w:styleId="RTFNum271">
    <w:name w:val="RTF_Num 27 1"/>
    <w:uiPriority w:val="99"/>
    <w:rsid w:val="00D76658"/>
    <w:rPr>
      <w:rFonts w:ascii="Wingdings" w:eastAsia="Wingdings" w:hAnsi="Wingdings" w:cs="Wingdings"/>
    </w:rPr>
  </w:style>
  <w:style w:type="character" w:customStyle="1" w:styleId="RTFNum273">
    <w:name w:val="RTF_Num 27 3"/>
    <w:uiPriority w:val="99"/>
    <w:rsid w:val="00D76658"/>
    <w:rPr>
      <w:rFonts w:ascii="Wingdings" w:eastAsia="Wingdings" w:hAnsi="Wingdings" w:cs="Wingdings"/>
    </w:rPr>
  </w:style>
  <w:style w:type="character" w:customStyle="1" w:styleId="RTFNum274">
    <w:name w:val="RTF_Num 27 4"/>
    <w:uiPriority w:val="99"/>
    <w:rsid w:val="00D76658"/>
    <w:rPr>
      <w:rFonts w:ascii="Symbol" w:eastAsia="Symbol" w:hAnsi="Symbol" w:cs="Symbol"/>
    </w:rPr>
  </w:style>
  <w:style w:type="character" w:customStyle="1" w:styleId="RTFNum275">
    <w:name w:val="RTF_Num 27 5"/>
    <w:uiPriority w:val="99"/>
    <w:rsid w:val="00D76658"/>
    <w:rPr>
      <w:rFonts w:ascii="Courier New" w:eastAsia="Courier New" w:hAnsi="Courier New" w:cs="Courier New"/>
    </w:rPr>
  </w:style>
  <w:style w:type="character" w:customStyle="1" w:styleId="RTFNum276">
    <w:name w:val="RTF_Num 27 6"/>
    <w:uiPriority w:val="99"/>
    <w:rsid w:val="00D76658"/>
    <w:rPr>
      <w:rFonts w:ascii="Wingdings" w:eastAsia="Wingdings" w:hAnsi="Wingdings" w:cs="Wingdings"/>
    </w:rPr>
  </w:style>
  <w:style w:type="character" w:customStyle="1" w:styleId="RTFNum277">
    <w:name w:val="RTF_Num 27 7"/>
    <w:uiPriority w:val="99"/>
    <w:rsid w:val="00D76658"/>
    <w:rPr>
      <w:rFonts w:ascii="Symbol" w:eastAsia="Symbol" w:hAnsi="Symbol" w:cs="Symbol"/>
    </w:rPr>
  </w:style>
  <w:style w:type="character" w:customStyle="1" w:styleId="RTFNum278">
    <w:name w:val="RTF_Num 27 8"/>
    <w:uiPriority w:val="99"/>
    <w:rsid w:val="00D76658"/>
    <w:rPr>
      <w:rFonts w:ascii="Courier New" w:eastAsia="Courier New" w:hAnsi="Courier New" w:cs="Courier New"/>
    </w:rPr>
  </w:style>
  <w:style w:type="character" w:customStyle="1" w:styleId="RTFNum279">
    <w:name w:val="RTF_Num 27 9"/>
    <w:uiPriority w:val="99"/>
    <w:rsid w:val="00D76658"/>
    <w:rPr>
      <w:rFonts w:ascii="Wingdings" w:eastAsia="Wingdings" w:hAnsi="Wingdings" w:cs="Wingdings"/>
    </w:rPr>
  </w:style>
  <w:style w:type="character" w:customStyle="1" w:styleId="RTFNum291">
    <w:name w:val="RTF_Num 29 1"/>
    <w:uiPriority w:val="99"/>
    <w:rsid w:val="00D76658"/>
    <w:rPr>
      <w:rFonts w:ascii="Wingdings" w:eastAsia="Wingdings" w:hAnsi="Wingdings" w:cs="Wingdings"/>
    </w:rPr>
  </w:style>
  <w:style w:type="character" w:customStyle="1" w:styleId="RTFNum293">
    <w:name w:val="RTF_Num 29 3"/>
    <w:uiPriority w:val="99"/>
    <w:rsid w:val="00D76658"/>
    <w:rPr>
      <w:rFonts w:ascii="Wingdings" w:eastAsia="Wingdings" w:hAnsi="Wingdings" w:cs="Wingdings"/>
    </w:rPr>
  </w:style>
  <w:style w:type="character" w:customStyle="1" w:styleId="RTFNum294">
    <w:name w:val="RTF_Num 29 4"/>
    <w:uiPriority w:val="99"/>
    <w:rsid w:val="00D76658"/>
    <w:rPr>
      <w:rFonts w:ascii="Symbol" w:eastAsia="Symbol" w:hAnsi="Symbol" w:cs="Symbo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056156">
      <w:bodyDiv w:val="1"/>
      <w:marLeft w:val="0"/>
      <w:marRight w:val="0"/>
      <w:marTop w:val="0"/>
      <w:marBottom w:val="0"/>
      <w:divBdr>
        <w:top w:val="none" w:sz="0" w:space="0" w:color="auto"/>
        <w:left w:val="none" w:sz="0" w:space="0" w:color="auto"/>
        <w:bottom w:val="none" w:sz="0" w:space="0" w:color="auto"/>
        <w:right w:val="none" w:sz="0" w:space="0" w:color="auto"/>
      </w:divBdr>
    </w:div>
    <w:div w:id="23872755">
      <w:bodyDiv w:val="1"/>
      <w:marLeft w:val="0"/>
      <w:marRight w:val="0"/>
      <w:marTop w:val="0"/>
      <w:marBottom w:val="0"/>
      <w:divBdr>
        <w:top w:val="none" w:sz="0" w:space="0" w:color="auto"/>
        <w:left w:val="none" w:sz="0" w:space="0" w:color="auto"/>
        <w:bottom w:val="none" w:sz="0" w:space="0" w:color="auto"/>
        <w:right w:val="none" w:sz="0" w:space="0" w:color="auto"/>
      </w:divBdr>
    </w:div>
    <w:div w:id="135031876">
      <w:bodyDiv w:val="1"/>
      <w:marLeft w:val="0"/>
      <w:marRight w:val="0"/>
      <w:marTop w:val="0"/>
      <w:marBottom w:val="0"/>
      <w:divBdr>
        <w:top w:val="none" w:sz="0" w:space="0" w:color="auto"/>
        <w:left w:val="none" w:sz="0" w:space="0" w:color="auto"/>
        <w:bottom w:val="none" w:sz="0" w:space="0" w:color="auto"/>
        <w:right w:val="none" w:sz="0" w:space="0" w:color="auto"/>
      </w:divBdr>
    </w:div>
    <w:div w:id="149568178">
      <w:bodyDiv w:val="1"/>
      <w:marLeft w:val="0"/>
      <w:marRight w:val="0"/>
      <w:marTop w:val="0"/>
      <w:marBottom w:val="0"/>
      <w:divBdr>
        <w:top w:val="none" w:sz="0" w:space="0" w:color="auto"/>
        <w:left w:val="none" w:sz="0" w:space="0" w:color="auto"/>
        <w:bottom w:val="none" w:sz="0" w:space="0" w:color="auto"/>
        <w:right w:val="none" w:sz="0" w:space="0" w:color="auto"/>
      </w:divBdr>
    </w:div>
    <w:div w:id="269314857">
      <w:bodyDiv w:val="1"/>
      <w:marLeft w:val="0"/>
      <w:marRight w:val="0"/>
      <w:marTop w:val="0"/>
      <w:marBottom w:val="0"/>
      <w:divBdr>
        <w:top w:val="none" w:sz="0" w:space="0" w:color="auto"/>
        <w:left w:val="none" w:sz="0" w:space="0" w:color="auto"/>
        <w:bottom w:val="none" w:sz="0" w:space="0" w:color="auto"/>
        <w:right w:val="none" w:sz="0" w:space="0" w:color="auto"/>
      </w:divBdr>
    </w:div>
    <w:div w:id="336227779">
      <w:bodyDiv w:val="1"/>
      <w:marLeft w:val="0"/>
      <w:marRight w:val="0"/>
      <w:marTop w:val="0"/>
      <w:marBottom w:val="0"/>
      <w:divBdr>
        <w:top w:val="none" w:sz="0" w:space="0" w:color="auto"/>
        <w:left w:val="none" w:sz="0" w:space="0" w:color="auto"/>
        <w:bottom w:val="none" w:sz="0" w:space="0" w:color="auto"/>
        <w:right w:val="none" w:sz="0" w:space="0" w:color="auto"/>
      </w:divBdr>
    </w:div>
    <w:div w:id="383796071">
      <w:bodyDiv w:val="1"/>
      <w:marLeft w:val="0"/>
      <w:marRight w:val="0"/>
      <w:marTop w:val="0"/>
      <w:marBottom w:val="0"/>
      <w:divBdr>
        <w:top w:val="none" w:sz="0" w:space="0" w:color="auto"/>
        <w:left w:val="none" w:sz="0" w:space="0" w:color="auto"/>
        <w:bottom w:val="none" w:sz="0" w:space="0" w:color="auto"/>
        <w:right w:val="none" w:sz="0" w:space="0" w:color="auto"/>
      </w:divBdr>
    </w:div>
    <w:div w:id="436025204">
      <w:bodyDiv w:val="1"/>
      <w:marLeft w:val="0"/>
      <w:marRight w:val="0"/>
      <w:marTop w:val="0"/>
      <w:marBottom w:val="0"/>
      <w:divBdr>
        <w:top w:val="none" w:sz="0" w:space="0" w:color="auto"/>
        <w:left w:val="none" w:sz="0" w:space="0" w:color="auto"/>
        <w:bottom w:val="none" w:sz="0" w:space="0" w:color="auto"/>
        <w:right w:val="none" w:sz="0" w:space="0" w:color="auto"/>
      </w:divBdr>
    </w:div>
    <w:div w:id="451872974">
      <w:bodyDiv w:val="1"/>
      <w:marLeft w:val="0"/>
      <w:marRight w:val="0"/>
      <w:marTop w:val="0"/>
      <w:marBottom w:val="0"/>
      <w:divBdr>
        <w:top w:val="none" w:sz="0" w:space="0" w:color="auto"/>
        <w:left w:val="none" w:sz="0" w:space="0" w:color="auto"/>
        <w:bottom w:val="none" w:sz="0" w:space="0" w:color="auto"/>
        <w:right w:val="none" w:sz="0" w:space="0" w:color="auto"/>
      </w:divBdr>
    </w:div>
    <w:div w:id="460731347">
      <w:bodyDiv w:val="1"/>
      <w:marLeft w:val="0"/>
      <w:marRight w:val="0"/>
      <w:marTop w:val="0"/>
      <w:marBottom w:val="0"/>
      <w:divBdr>
        <w:top w:val="none" w:sz="0" w:space="0" w:color="auto"/>
        <w:left w:val="none" w:sz="0" w:space="0" w:color="auto"/>
        <w:bottom w:val="none" w:sz="0" w:space="0" w:color="auto"/>
        <w:right w:val="none" w:sz="0" w:space="0" w:color="auto"/>
      </w:divBdr>
    </w:div>
    <w:div w:id="505485804">
      <w:bodyDiv w:val="1"/>
      <w:marLeft w:val="0"/>
      <w:marRight w:val="0"/>
      <w:marTop w:val="0"/>
      <w:marBottom w:val="0"/>
      <w:divBdr>
        <w:top w:val="none" w:sz="0" w:space="0" w:color="auto"/>
        <w:left w:val="none" w:sz="0" w:space="0" w:color="auto"/>
        <w:bottom w:val="none" w:sz="0" w:space="0" w:color="auto"/>
        <w:right w:val="none" w:sz="0" w:space="0" w:color="auto"/>
      </w:divBdr>
    </w:div>
    <w:div w:id="527644320">
      <w:bodyDiv w:val="1"/>
      <w:marLeft w:val="0"/>
      <w:marRight w:val="0"/>
      <w:marTop w:val="0"/>
      <w:marBottom w:val="0"/>
      <w:divBdr>
        <w:top w:val="none" w:sz="0" w:space="0" w:color="auto"/>
        <w:left w:val="none" w:sz="0" w:space="0" w:color="auto"/>
        <w:bottom w:val="none" w:sz="0" w:space="0" w:color="auto"/>
        <w:right w:val="none" w:sz="0" w:space="0" w:color="auto"/>
      </w:divBdr>
    </w:div>
    <w:div w:id="532889844">
      <w:bodyDiv w:val="1"/>
      <w:marLeft w:val="0"/>
      <w:marRight w:val="0"/>
      <w:marTop w:val="0"/>
      <w:marBottom w:val="0"/>
      <w:divBdr>
        <w:top w:val="none" w:sz="0" w:space="0" w:color="auto"/>
        <w:left w:val="none" w:sz="0" w:space="0" w:color="auto"/>
        <w:bottom w:val="none" w:sz="0" w:space="0" w:color="auto"/>
        <w:right w:val="none" w:sz="0" w:space="0" w:color="auto"/>
      </w:divBdr>
    </w:div>
    <w:div w:id="587662454">
      <w:bodyDiv w:val="1"/>
      <w:marLeft w:val="0"/>
      <w:marRight w:val="0"/>
      <w:marTop w:val="0"/>
      <w:marBottom w:val="0"/>
      <w:divBdr>
        <w:top w:val="none" w:sz="0" w:space="0" w:color="auto"/>
        <w:left w:val="none" w:sz="0" w:space="0" w:color="auto"/>
        <w:bottom w:val="none" w:sz="0" w:space="0" w:color="auto"/>
        <w:right w:val="none" w:sz="0" w:space="0" w:color="auto"/>
      </w:divBdr>
    </w:div>
    <w:div w:id="597563064">
      <w:bodyDiv w:val="1"/>
      <w:marLeft w:val="0"/>
      <w:marRight w:val="0"/>
      <w:marTop w:val="0"/>
      <w:marBottom w:val="0"/>
      <w:divBdr>
        <w:top w:val="none" w:sz="0" w:space="0" w:color="auto"/>
        <w:left w:val="none" w:sz="0" w:space="0" w:color="auto"/>
        <w:bottom w:val="none" w:sz="0" w:space="0" w:color="auto"/>
        <w:right w:val="none" w:sz="0" w:space="0" w:color="auto"/>
      </w:divBdr>
    </w:div>
    <w:div w:id="605112814">
      <w:bodyDiv w:val="1"/>
      <w:marLeft w:val="0"/>
      <w:marRight w:val="0"/>
      <w:marTop w:val="0"/>
      <w:marBottom w:val="0"/>
      <w:divBdr>
        <w:top w:val="none" w:sz="0" w:space="0" w:color="auto"/>
        <w:left w:val="none" w:sz="0" w:space="0" w:color="auto"/>
        <w:bottom w:val="none" w:sz="0" w:space="0" w:color="auto"/>
        <w:right w:val="none" w:sz="0" w:space="0" w:color="auto"/>
      </w:divBdr>
    </w:div>
    <w:div w:id="687635183">
      <w:bodyDiv w:val="1"/>
      <w:marLeft w:val="0"/>
      <w:marRight w:val="0"/>
      <w:marTop w:val="0"/>
      <w:marBottom w:val="0"/>
      <w:divBdr>
        <w:top w:val="none" w:sz="0" w:space="0" w:color="auto"/>
        <w:left w:val="none" w:sz="0" w:space="0" w:color="auto"/>
        <w:bottom w:val="none" w:sz="0" w:space="0" w:color="auto"/>
        <w:right w:val="none" w:sz="0" w:space="0" w:color="auto"/>
      </w:divBdr>
    </w:div>
    <w:div w:id="694816006">
      <w:bodyDiv w:val="1"/>
      <w:marLeft w:val="0"/>
      <w:marRight w:val="0"/>
      <w:marTop w:val="0"/>
      <w:marBottom w:val="0"/>
      <w:divBdr>
        <w:top w:val="none" w:sz="0" w:space="0" w:color="auto"/>
        <w:left w:val="none" w:sz="0" w:space="0" w:color="auto"/>
        <w:bottom w:val="none" w:sz="0" w:space="0" w:color="auto"/>
        <w:right w:val="none" w:sz="0" w:space="0" w:color="auto"/>
      </w:divBdr>
    </w:div>
    <w:div w:id="707994116">
      <w:bodyDiv w:val="1"/>
      <w:marLeft w:val="0"/>
      <w:marRight w:val="0"/>
      <w:marTop w:val="0"/>
      <w:marBottom w:val="0"/>
      <w:divBdr>
        <w:top w:val="none" w:sz="0" w:space="0" w:color="auto"/>
        <w:left w:val="none" w:sz="0" w:space="0" w:color="auto"/>
        <w:bottom w:val="none" w:sz="0" w:space="0" w:color="auto"/>
        <w:right w:val="none" w:sz="0" w:space="0" w:color="auto"/>
      </w:divBdr>
    </w:div>
    <w:div w:id="712998120">
      <w:bodyDiv w:val="1"/>
      <w:marLeft w:val="0"/>
      <w:marRight w:val="0"/>
      <w:marTop w:val="0"/>
      <w:marBottom w:val="0"/>
      <w:divBdr>
        <w:top w:val="none" w:sz="0" w:space="0" w:color="auto"/>
        <w:left w:val="none" w:sz="0" w:space="0" w:color="auto"/>
        <w:bottom w:val="none" w:sz="0" w:space="0" w:color="auto"/>
        <w:right w:val="none" w:sz="0" w:space="0" w:color="auto"/>
      </w:divBdr>
    </w:div>
    <w:div w:id="730882088">
      <w:bodyDiv w:val="1"/>
      <w:marLeft w:val="0"/>
      <w:marRight w:val="0"/>
      <w:marTop w:val="0"/>
      <w:marBottom w:val="0"/>
      <w:divBdr>
        <w:top w:val="none" w:sz="0" w:space="0" w:color="auto"/>
        <w:left w:val="none" w:sz="0" w:space="0" w:color="auto"/>
        <w:bottom w:val="none" w:sz="0" w:space="0" w:color="auto"/>
        <w:right w:val="none" w:sz="0" w:space="0" w:color="auto"/>
      </w:divBdr>
    </w:div>
    <w:div w:id="743339338">
      <w:bodyDiv w:val="1"/>
      <w:marLeft w:val="0"/>
      <w:marRight w:val="0"/>
      <w:marTop w:val="0"/>
      <w:marBottom w:val="0"/>
      <w:divBdr>
        <w:top w:val="none" w:sz="0" w:space="0" w:color="auto"/>
        <w:left w:val="none" w:sz="0" w:space="0" w:color="auto"/>
        <w:bottom w:val="none" w:sz="0" w:space="0" w:color="auto"/>
        <w:right w:val="none" w:sz="0" w:space="0" w:color="auto"/>
      </w:divBdr>
    </w:div>
    <w:div w:id="816068868">
      <w:bodyDiv w:val="1"/>
      <w:marLeft w:val="0"/>
      <w:marRight w:val="0"/>
      <w:marTop w:val="0"/>
      <w:marBottom w:val="0"/>
      <w:divBdr>
        <w:top w:val="none" w:sz="0" w:space="0" w:color="auto"/>
        <w:left w:val="none" w:sz="0" w:space="0" w:color="auto"/>
        <w:bottom w:val="none" w:sz="0" w:space="0" w:color="auto"/>
        <w:right w:val="none" w:sz="0" w:space="0" w:color="auto"/>
      </w:divBdr>
    </w:div>
    <w:div w:id="821772270">
      <w:bodyDiv w:val="1"/>
      <w:marLeft w:val="0"/>
      <w:marRight w:val="0"/>
      <w:marTop w:val="0"/>
      <w:marBottom w:val="0"/>
      <w:divBdr>
        <w:top w:val="none" w:sz="0" w:space="0" w:color="auto"/>
        <w:left w:val="none" w:sz="0" w:space="0" w:color="auto"/>
        <w:bottom w:val="none" w:sz="0" w:space="0" w:color="auto"/>
        <w:right w:val="none" w:sz="0" w:space="0" w:color="auto"/>
      </w:divBdr>
    </w:div>
    <w:div w:id="905185685">
      <w:bodyDiv w:val="1"/>
      <w:marLeft w:val="0"/>
      <w:marRight w:val="0"/>
      <w:marTop w:val="0"/>
      <w:marBottom w:val="0"/>
      <w:divBdr>
        <w:top w:val="none" w:sz="0" w:space="0" w:color="auto"/>
        <w:left w:val="none" w:sz="0" w:space="0" w:color="auto"/>
        <w:bottom w:val="none" w:sz="0" w:space="0" w:color="auto"/>
        <w:right w:val="none" w:sz="0" w:space="0" w:color="auto"/>
      </w:divBdr>
    </w:div>
    <w:div w:id="922488670">
      <w:bodyDiv w:val="1"/>
      <w:marLeft w:val="0"/>
      <w:marRight w:val="0"/>
      <w:marTop w:val="0"/>
      <w:marBottom w:val="0"/>
      <w:divBdr>
        <w:top w:val="none" w:sz="0" w:space="0" w:color="auto"/>
        <w:left w:val="none" w:sz="0" w:space="0" w:color="auto"/>
        <w:bottom w:val="none" w:sz="0" w:space="0" w:color="auto"/>
        <w:right w:val="none" w:sz="0" w:space="0" w:color="auto"/>
      </w:divBdr>
    </w:div>
    <w:div w:id="940836253">
      <w:bodyDiv w:val="1"/>
      <w:marLeft w:val="0"/>
      <w:marRight w:val="0"/>
      <w:marTop w:val="0"/>
      <w:marBottom w:val="0"/>
      <w:divBdr>
        <w:top w:val="none" w:sz="0" w:space="0" w:color="auto"/>
        <w:left w:val="none" w:sz="0" w:space="0" w:color="auto"/>
        <w:bottom w:val="none" w:sz="0" w:space="0" w:color="auto"/>
        <w:right w:val="none" w:sz="0" w:space="0" w:color="auto"/>
      </w:divBdr>
    </w:div>
    <w:div w:id="953561482">
      <w:bodyDiv w:val="1"/>
      <w:marLeft w:val="0"/>
      <w:marRight w:val="0"/>
      <w:marTop w:val="0"/>
      <w:marBottom w:val="0"/>
      <w:divBdr>
        <w:top w:val="none" w:sz="0" w:space="0" w:color="auto"/>
        <w:left w:val="none" w:sz="0" w:space="0" w:color="auto"/>
        <w:bottom w:val="none" w:sz="0" w:space="0" w:color="auto"/>
        <w:right w:val="none" w:sz="0" w:space="0" w:color="auto"/>
      </w:divBdr>
    </w:div>
    <w:div w:id="963660876">
      <w:bodyDiv w:val="1"/>
      <w:marLeft w:val="0"/>
      <w:marRight w:val="0"/>
      <w:marTop w:val="0"/>
      <w:marBottom w:val="0"/>
      <w:divBdr>
        <w:top w:val="none" w:sz="0" w:space="0" w:color="auto"/>
        <w:left w:val="none" w:sz="0" w:space="0" w:color="auto"/>
        <w:bottom w:val="none" w:sz="0" w:space="0" w:color="auto"/>
        <w:right w:val="none" w:sz="0" w:space="0" w:color="auto"/>
      </w:divBdr>
    </w:div>
    <w:div w:id="994915526">
      <w:bodyDiv w:val="1"/>
      <w:marLeft w:val="0"/>
      <w:marRight w:val="0"/>
      <w:marTop w:val="0"/>
      <w:marBottom w:val="0"/>
      <w:divBdr>
        <w:top w:val="none" w:sz="0" w:space="0" w:color="auto"/>
        <w:left w:val="none" w:sz="0" w:space="0" w:color="auto"/>
        <w:bottom w:val="none" w:sz="0" w:space="0" w:color="auto"/>
        <w:right w:val="none" w:sz="0" w:space="0" w:color="auto"/>
      </w:divBdr>
    </w:div>
    <w:div w:id="999456587">
      <w:bodyDiv w:val="1"/>
      <w:marLeft w:val="0"/>
      <w:marRight w:val="0"/>
      <w:marTop w:val="0"/>
      <w:marBottom w:val="0"/>
      <w:divBdr>
        <w:top w:val="none" w:sz="0" w:space="0" w:color="auto"/>
        <w:left w:val="none" w:sz="0" w:space="0" w:color="auto"/>
        <w:bottom w:val="none" w:sz="0" w:space="0" w:color="auto"/>
        <w:right w:val="none" w:sz="0" w:space="0" w:color="auto"/>
      </w:divBdr>
    </w:div>
    <w:div w:id="1029380126">
      <w:bodyDiv w:val="1"/>
      <w:marLeft w:val="0"/>
      <w:marRight w:val="0"/>
      <w:marTop w:val="0"/>
      <w:marBottom w:val="0"/>
      <w:divBdr>
        <w:top w:val="none" w:sz="0" w:space="0" w:color="auto"/>
        <w:left w:val="none" w:sz="0" w:space="0" w:color="auto"/>
        <w:bottom w:val="none" w:sz="0" w:space="0" w:color="auto"/>
        <w:right w:val="none" w:sz="0" w:space="0" w:color="auto"/>
      </w:divBdr>
    </w:div>
    <w:div w:id="1041631932">
      <w:bodyDiv w:val="1"/>
      <w:marLeft w:val="0"/>
      <w:marRight w:val="0"/>
      <w:marTop w:val="0"/>
      <w:marBottom w:val="0"/>
      <w:divBdr>
        <w:top w:val="none" w:sz="0" w:space="0" w:color="auto"/>
        <w:left w:val="none" w:sz="0" w:space="0" w:color="auto"/>
        <w:bottom w:val="none" w:sz="0" w:space="0" w:color="auto"/>
        <w:right w:val="none" w:sz="0" w:space="0" w:color="auto"/>
      </w:divBdr>
    </w:div>
    <w:div w:id="1058895791">
      <w:bodyDiv w:val="1"/>
      <w:marLeft w:val="0"/>
      <w:marRight w:val="0"/>
      <w:marTop w:val="0"/>
      <w:marBottom w:val="0"/>
      <w:divBdr>
        <w:top w:val="none" w:sz="0" w:space="0" w:color="auto"/>
        <w:left w:val="none" w:sz="0" w:space="0" w:color="auto"/>
        <w:bottom w:val="none" w:sz="0" w:space="0" w:color="auto"/>
        <w:right w:val="none" w:sz="0" w:space="0" w:color="auto"/>
      </w:divBdr>
    </w:div>
    <w:div w:id="1145245153">
      <w:bodyDiv w:val="1"/>
      <w:marLeft w:val="0"/>
      <w:marRight w:val="0"/>
      <w:marTop w:val="0"/>
      <w:marBottom w:val="0"/>
      <w:divBdr>
        <w:top w:val="none" w:sz="0" w:space="0" w:color="auto"/>
        <w:left w:val="none" w:sz="0" w:space="0" w:color="auto"/>
        <w:bottom w:val="none" w:sz="0" w:space="0" w:color="auto"/>
        <w:right w:val="none" w:sz="0" w:space="0" w:color="auto"/>
      </w:divBdr>
    </w:div>
    <w:div w:id="1249388906">
      <w:bodyDiv w:val="1"/>
      <w:marLeft w:val="0"/>
      <w:marRight w:val="0"/>
      <w:marTop w:val="0"/>
      <w:marBottom w:val="0"/>
      <w:divBdr>
        <w:top w:val="none" w:sz="0" w:space="0" w:color="auto"/>
        <w:left w:val="none" w:sz="0" w:space="0" w:color="auto"/>
        <w:bottom w:val="none" w:sz="0" w:space="0" w:color="auto"/>
        <w:right w:val="none" w:sz="0" w:space="0" w:color="auto"/>
      </w:divBdr>
    </w:div>
    <w:div w:id="1330720103">
      <w:bodyDiv w:val="1"/>
      <w:marLeft w:val="0"/>
      <w:marRight w:val="0"/>
      <w:marTop w:val="0"/>
      <w:marBottom w:val="0"/>
      <w:divBdr>
        <w:top w:val="none" w:sz="0" w:space="0" w:color="auto"/>
        <w:left w:val="none" w:sz="0" w:space="0" w:color="auto"/>
        <w:bottom w:val="none" w:sz="0" w:space="0" w:color="auto"/>
        <w:right w:val="none" w:sz="0" w:space="0" w:color="auto"/>
      </w:divBdr>
    </w:div>
    <w:div w:id="1338652444">
      <w:bodyDiv w:val="1"/>
      <w:marLeft w:val="0"/>
      <w:marRight w:val="0"/>
      <w:marTop w:val="0"/>
      <w:marBottom w:val="0"/>
      <w:divBdr>
        <w:top w:val="none" w:sz="0" w:space="0" w:color="auto"/>
        <w:left w:val="none" w:sz="0" w:space="0" w:color="auto"/>
        <w:bottom w:val="none" w:sz="0" w:space="0" w:color="auto"/>
        <w:right w:val="none" w:sz="0" w:space="0" w:color="auto"/>
      </w:divBdr>
    </w:div>
    <w:div w:id="1351561679">
      <w:bodyDiv w:val="1"/>
      <w:marLeft w:val="0"/>
      <w:marRight w:val="0"/>
      <w:marTop w:val="0"/>
      <w:marBottom w:val="0"/>
      <w:divBdr>
        <w:top w:val="none" w:sz="0" w:space="0" w:color="auto"/>
        <w:left w:val="none" w:sz="0" w:space="0" w:color="auto"/>
        <w:bottom w:val="none" w:sz="0" w:space="0" w:color="auto"/>
        <w:right w:val="none" w:sz="0" w:space="0" w:color="auto"/>
      </w:divBdr>
    </w:div>
    <w:div w:id="1375498315">
      <w:bodyDiv w:val="1"/>
      <w:marLeft w:val="0"/>
      <w:marRight w:val="0"/>
      <w:marTop w:val="0"/>
      <w:marBottom w:val="0"/>
      <w:divBdr>
        <w:top w:val="none" w:sz="0" w:space="0" w:color="auto"/>
        <w:left w:val="none" w:sz="0" w:space="0" w:color="auto"/>
        <w:bottom w:val="none" w:sz="0" w:space="0" w:color="auto"/>
        <w:right w:val="none" w:sz="0" w:space="0" w:color="auto"/>
      </w:divBdr>
    </w:div>
    <w:div w:id="1384214974">
      <w:bodyDiv w:val="1"/>
      <w:marLeft w:val="0"/>
      <w:marRight w:val="0"/>
      <w:marTop w:val="0"/>
      <w:marBottom w:val="0"/>
      <w:divBdr>
        <w:top w:val="none" w:sz="0" w:space="0" w:color="auto"/>
        <w:left w:val="none" w:sz="0" w:space="0" w:color="auto"/>
        <w:bottom w:val="none" w:sz="0" w:space="0" w:color="auto"/>
        <w:right w:val="none" w:sz="0" w:space="0" w:color="auto"/>
      </w:divBdr>
    </w:div>
    <w:div w:id="1425957085">
      <w:bodyDiv w:val="1"/>
      <w:marLeft w:val="0"/>
      <w:marRight w:val="0"/>
      <w:marTop w:val="0"/>
      <w:marBottom w:val="0"/>
      <w:divBdr>
        <w:top w:val="none" w:sz="0" w:space="0" w:color="auto"/>
        <w:left w:val="none" w:sz="0" w:space="0" w:color="auto"/>
        <w:bottom w:val="none" w:sz="0" w:space="0" w:color="auto"/>
        <w:right w:val="none" w:sz="0" w:space="0" w:color="auto"/>
      </w:divBdr>
    </w:div>
    <w:div w:id="1428964630">
      <w:bodyDiv w:val="1"/>
      <w:marLeft w:val="0"/>
      <w:marRight w:val="0"/>
      <w:marTop w:val="0"/>
      <w:marBottom w:val="0"/>
      <w:divBdr>
        <w:top w:val="none" w:sz="0" w:space="0" w:color="auto"/>
        <w:left w:val="none" w:sz="0" w:space="0" w:color="auto"/>
        <w:bottom w:val="none" w:sz="0" w:space="0" w:color="auto"/>
        <w:right w:val="none" w:sz="0" w:space="0" w:color="auto"/>
      </w:divBdr>
    </w:div>
    <w:div w:id="1431462284">
      <w:bodyDiv w:val="1"/>
      <w:marLeft w:val="0"/>
      <w:marRight w:val="0"/>
      <w:marTop w:val="0"/>
      <w:marBottom w:val="0"/>
      <w:divBdr>
        <w:top w:val="none" w:sz="0" w:space="0" w:color="auto"/>
        <w:left w:val="none" w:sz="0" w:space="0" w:color="auto"/>
        <w:bottom w:val="none" w:sz="0" w:space="0" w:color="auto"/>
        <w:right w:val="none" w:sz="0" w:space="0" w:color="auto"/>
      </w:divBdr>
    </w:div>
    <w:div w:id="1440106746">
      <w:bodyDiv w:val="1"/>
      <w:marLeft w:val="0"/>
      <w:marRight w:val="0"/>
      <w:marTop w:val="0"/>
      <w:marBottom w:val="0"/>
      <w:divBdr>
        <w:top w:val="none" w:sz="0" w:space="0" w:color="auto"/>
        <w:left w:val="none" w:sz="0" w:space="0" w:color="auto"/>
        <w:bottom w:val="none" w:sz="0" w:space="0" w:color="auto"/>
        <w:right w:val="none" w:sz="0" w:space="0" w:color="auto"/>
      </w:divBdr>
    </w:div>
    <w:div w:id="1441728946">
      <w:bodyDiv w:val="1"/>
      <w:marLeft w:val="0"/>
      <w:marRight w:val="0"/>
      <w:marTop w:val="0"/>
      <w:marBottom w:val="0"/>
      <w:divBdr>
        <w:top w:val="none" w:sz="0" w:space="0" w:color="auto"/>
        <w:left w:val="none" w:sz="0" w:space="0" w:color="auto"/>
        <w:bottom w:val="none" w:sz="0" w:space="0" w:color="auto"/>
        <w:right w:val="none" w:sz="0" w:space="0" w:color="auto"/>
      </w:divBdr>
    </w:div>
    <w:div w:id="1525364575">
      <w:bodyDiv w:val="1"/>
      <w:marLeft w:val="0"/>
      <w:marRight w:val="0"/>
      <w:marTop w:val="0"/>
      <w:marBottom w:val="0"/>
      <w:divBdr>
        <w:top w:val="none" w:sz="0" w:space="0" w:color="auto"/>
        <w:left w:val="none" w:sz="0" w:space="0" w:color="auto"/>
        <w:bottom w:val="none" w:sz="0" w:space="0" w:color="auto"/>
        <w:right w:val="none" w:sz="0" w:space="0" w:color="auto"/>
      </w:divBdr>
    </w:div>
    <w:div w:id="1531452463">
      <w:bodyDiv w:val="1"/>
      <w:marLeft w:val="0"/>
      <w:marRight w:val="0"/>
      <w:marTop w:val="0"/>
      <w:marBottom w:val="0"/>
      <w:divBdr>
        <w:top w:val="none" w:sz="0" w:space="0" w:color="auto"/>
        <w:left w:val="none" w:sz="0" w:space="0" w:color="auto"/>
        <w:bottom w:val="none" w:sz="0" w:space="0" w:color="auto"/>
        <w:right w:val="none" w:sz="0" w:space="0" w:color="auto"/>
      </w:divBdr>
    </w:div>
    <w:div w:id="1587614621">
      <w:bodyDiv w:val="1"/>
      <w:marLeft w:val="0"/>
      <w:marRight w:val="0"/>
      <w:marTop w:val="0"/>
      <w:marBottom w:val="0"/>
      <w:divBdr>
        <w:top w:val="none" w:sz="0" w:space="0" w:color="auto"/>
        <w:left w:val="none" w:sz="0" w:space="0" w:color="auto"/>
        <w:bottom w:val="none" w:sz="0" w:space="0" w:color="auto"/>
        <w:right w:val="none" w:sz="0" w:space="0" w:color="auto"/>
      </w:divBdr>
    </w:div>
    <w:div w:id="1609894565">
      <w:bodyDiv w:val="1"/>
      <w:marLeft w:val="0"/>
      <w:marRight w:val="0"/>
      <w:marTop w:val="0"/>
      <w:marBottom w:val="0"/>
      <w:divBdr>
        <w:top w:val="none" w:sz="0" w:space="0" w:color="auto"/>
        <w:left w:val="none" w:sz="0" w:space="0" w:color="auto"/>
        <w:bottom w:val="none" w:sz="0" w:space="0" w:color="auto"/>
        <w:right w:val="none" w:sz="0" w:space="0" w:color="auto"/>
      </w:divBdr>
    </w:div>
    <w:div w:id="1619530706">
      <w:bodyDiv w:val="1"/>
      <w:marLeft w:val="0"/>
      <w:marRight w:val="0"/>
      <w:marTop w:val="0"/>
      <w:marBottom w:val="0"/>
      <w:divBdr>
        <w:top w:val="none" w:sz="0" w:space="0" w:color="auto"/>
        <w:left w:val="none" w:sz="0" w:space="0" w:color="auto"/>
        <w:bottom w:val="none" w:sz="0" w:space="0" w:color="auto"/>
        <w:right w:val="none" w:sz="0" w:space="0" w:color="auto"/>
      </w:divBdr>
    </w:div>
    <w:div w:id="1644508802">
      <w:bodyDiv w:val="1"/>
      <w:marLeft w:val="0"/>
      <w:marRight w:val="0"/>
      <w:marTop w:val="0"/>
      <w:marBottom w:val="0"/>
      <w:divBdr>
        <w:top w:val="none" w:sz="0" w:space="0" w:color="auto"/>
        <w:left w:val="none" w:sz="0" w:space="0" w:color="auto"/>
        <w:bottom w:val="none" w:sz="0" w:space="0" w:color="auto"/>
        <w:right w:val="none" w:sz="0" w:space="0" w:color="auto"/>
      </w:divBdr>
    </w:div>
    <w:div w:id="1686784816">
      <w:bodyDiv w:val="1"/>
      <w:marLeft w:val="0"/>
      <w:marRight w:val="0"/>
      <w:marTop w:val="0"/>
      <w:marBottom w:val="0"/>
      <w:divBdr>
        <w:top w:val="none" w:sz="0" w:space="0" w:color="auto"/>
        <w:left w:val="none" w:sz="0" w:space="0" w:color="auto"/>
        <w:bottom w:val="none" w:sz="0" w:space="0" w:color="auto"/>
        <w:right w:val="none" w:sz="0" w:space="0" w:color="auto"/>
      </w:divBdr>
    </w:div>
    <w:div w:id="1714190369">
      <w:bodyDiv w:val="1"/>
      <w:marLeft w:val="0"/>
      <w:marRight w:val="0"/>
      <w:marTop w:val="0"/>
      <w:marBottom w:val="0"/>
      <w:divBdr>
        <w:top w:val="none" w:sz="0" w:space="0" w:color="auto"/>
        <w:left w:val="none" w:sz="0" w:space="0" w:color="auto"/>
        <w:bottom w:val="none" w:sz="0" w:space="0" w:color="auto"/>
        <w:right w:val="none" w:sz="0" w:space="0" w:color="auto"/>
      </w:divBdr>
    </w:div>
    <w:div w:id="1721981421">
      <w:bodyDiv w:val="1"/>
      <w:marLeft w:val="0"/>
      <w:marRight w:val="0"/>
      <w:marTop w:val="0"/>
      <w:marBottom w:val="0"/>
      <w:divBdr>
        <w:top w:val="none" w:sz="0" w:space="0" w:color="auto"/>
        <w:left w:val="none" w:sz="0" w:space="0" w:color="auto"/>
        <w:bottom w:val="none" w:sz="0" w:space="0" w:color="auto"/>
        <w:right w:val="none" w:sz="0" w:space="0" w:color="auto"/>
      </w:divBdr>
    </w:div>
    <w:div w:id="1733580979">
      <w:bodyDiv w:val="1"/>
      <w:marLeft w:val="0"/>
      <w:marRight w:val="0"/>
      <w:marTop w:val="0"/>
      <w:marBottom w:val="0"/>
      <w:divBdr>
        <w:top w:val="none" w:sz="0" w:space="0" w:color="auto"/>
        <w:left w:val="none" w:sz="0" w:space="0" w:color="auto"/>
        <w:bottom w:val="none" w:sz="0" w:space="0" w:color="auto"/>
        <w:right w:val="none" w:sz="0" w:space="0" w:color="auto"/>
      </w:divBdr>
    </w:div>
    <w:div w:id="1759449165">
      <w:bodyDiv w:val="1"/>
      <w:marLeft w:val="0"/>
      <w:marRight w:val="0"/>
      <w:marTop w:val="0"/>
      <w:marBottom w:val="0"/>
      <w:divBdr>
        <w:top w:val="none" w:sz="0" w:space="0" w:color="auto"/>
        <w:left w:val="none" w:sz="0" w:space="0" w:color="auto"/>
        <w:bottom w:val="none" w:sz="0" w:space="0" w:color="auto"/>
        <w:right w:val="none" w:sz="0" w:space="0" w:color="auto"/>
      </w:divBdr>
    </w:div>
    <w:div w:id="1765491482">
      <w:bodyDiv w:val="1"/>
      <w:marLeft w:val="0"/>
      <w:marRight w:val="0"/>
      <w:marTop w:val="0"/>
      <w:marBottom w:val="0"/>
      <w:divBdr>
        <w:top w:val="none" w:sz="0" w:space="0" w:color="auto"/>
        <w:left w:val="none" w:sz="0" w:space="0" w:color="auto"/>
        <w:bottom w:val="none" w:sz="0" w:space="0" w:color="auto"/>
        <w:right w:val="none" w:sz="0" w:space="0" w:color="auto"/>
      </w:divBdr>
    </w:div>
    <w:div w:id="1766806518">
      <w:bodyDiv w:val="1"/>
      <w:marLeft w:val="0"/>
      <w:marRight w:val="0"/>
      <w:marTop w:val="0"/>
      <w:marBottom w:val="0"/>
      <w:divBdr>
        <w:top w:val="none" w:sz="0" w:space="0" w:color="auto"/>
        <w:left w:val="none" w:sz="0" w:space="0" w:color="auto"/>
        <w:bottom w:val="none" w:sz="0" w:space="0" w:color="auto"/>
        <w:right w:val="none" w:sz="0" w:space="0" w:color="auto"/>
      </w:divBdr>
    </w:div>
    <w:div w:id="1784031233">
      <w:bodyDiv w:val="1"/>
      <w:marLeft w:val="0"/>
      <w:marRight w:val="0"/>
      <w:marTop w:val="0"/>
      <w:marBottom w:val="0"/>
      <w:divBdr>
        <w:top w:val="none" w:sz="0" w:space="0" w:color="auto"/>
        <w:left w:val="none" w:sz="0" w:space="0" w:color="auto"/>
        <w:bottom w:val="none" w:sz="0" w:space="0" w:color="auto"/>
        <w:right w:val="none" w:sz="0" w:space="0" w:color="auto"/>
      </w:divBdr>
    </w:div>
    <w:div w:id="1785999706">
      <w:bodyDiv w:val="1"/>
      <w:marLeft w:val="0"/>
      <w:marRight w:val="0"/>
      <w:marTop w:val="0"/>
      <w:marBottom w:val="0"/>
      <w:divBdr>
        <w:top w:val="none" w:sz="0" w:space="0" w:color="auto"/>
        <w:left w:val="none" w:sz="0" w:space="0" w:color="auto"/>
        <w:bottom w:val="none" w:sz="0" w:space="0" w:color="auto"/>
        <w:right w:val="none" w:sz="0" w:space="0" w:color="auto"/>
      </w:divBdr>
    </w:div>
    <w:div w:id="1880585396">
      <w:bodyDiv w:val="1"/>
      <w:marLeft w:val="0"/>
      <w:marRight w:val="0"/>
      <w:marTop w:val="0"/>
      <w:marBottom w:val="0"/>
      <w:divBdr>
        <w:top w:val="none" w:sz="0" w:space="0" w:color="auto"/>
        <w:left w:val="none" w:sz="0" w:space="0" w:color="auto"/>
        <w:bottom w:val="none" w:sz="0" w:space="0" w:color="auto"/>
        <w:right w:val="none" w:sz="0" w:space="0" w:color="auto"/>
      </w:divBdr>
    </w:div>
    <w:div w:id="1902716801">
      <w:bodyDiv w:val="1"/>
      <w:marLeft w:val="0"/>
      <w:marRight w:val="0"/>
      <w:marTop w:val="0"/>
      <w:marBottom w:val="0"/>
      <w:divBdr>
        <w:top w:val="none" w:sz="0" w:space="0" w:color="auto"/>
        <w:left w:val="none" w:sz="0" w:space="0" w:color="auto"/>
        <w:bottom w:val="none" w:sz="0" w:space="0" w:color="auto"/>
        <w:right w:val="none" w:sz="0" w:space="0" w:color="auto"/>
      </w:divBdr>
    </w:div>
    <w:div w:id="1945528876">
      <w:bodyDiv w:val="1"/>
      <w:marLeft w:val="0"/>
      <w:marRight w:val="0"/>
      <w:marTop w:val="0"/>
      <w:marBottom w:val="0"/>
      <w:divBdr>
        <w:top w:val="none" w:sz="0" w:space="0" w:color="auto"/>
        <w:left w:val="none" w:sz="0" w:space="0" w:color="auto"/>
        <w:bottom w:val="none" w:sz="0" w:space="0" w:color="auto"/>
        <w:right w:val="none" w:sz="0" w:space="0" w:color="auto"/>
      </w:divBdr>
    </w:div>
    <w:div w:id="1972517621">
      <w:bodyDiv w:val="1"/>
      <w:marLeft w:val="0"/>
      <w:marRight w:val="0"/>
      <w:marTop w:val="0"/>
      <w:marBottom w:val="0"/>
      <w:divBdr>
        <w:top w:val="none" w:sz="0" w:space="0" w:color="auto"/>
        <w:left w:val="none" w:sz="0" w:space="0" w:color="auto"/>
        <w:bottom w:val="none" w:sz="0" w:space="0" w:color="auto"/>
        <w:right w:val="none" w:sz="0" w:space="0" w:color="auto"/>
      </w:divBdr>
    </w:div>
    <w:div w:id="2002076954">
      <w:bodyDiv w:val="1"/>
      <w:marLeft w:val="0"/>
      <w:marRight w:val="0"/>
      <w:marTop w:val="0"/>
      <w:marBottom w:val="0"/>
      <w:divBdr>
        <w:top w:val="none" w:sz="0" w:space="0" w:color="auto"/>
        <w:left w:val="none" w:sz="0" w:space="0" w:color="auto"/>
        <w:bottom w:val="none" w:sz="0" w:space="0" w:color="auto"/>
        <w:right w:val="none" w:sz="0" w:space="0" w:color="auto"/>
      </w:divBdr>
    </w:div>
    <w:div w:id="2025208252">
      <w:bodyDiv w:val="1"/>
      <w:marLeft w:val="0"/>
      <w:marRight w:val="0"/>
      <w:marTop w:val="0"/>
      <w:marBottom w:val="0"/>
      <w:divBdr>
        <w:top w:val="none" w:sz="0" w:space="0" w:color="auto"/>
        <w:left w:val="none" w:sz="0" w:space="0" w:color="auto"/>
        <w:bottom w:val="none" w:sz="0" w:space="0" w:color="auto"/>
        <w:right w:val="none" w:sz="0" w:space="0" w:color="auto"/>
      </w:divBdr>
    </w:div>
    <w:div w:id="2037342508">
      <w:bodyDiv w:val="1"/>
      <w:marLeft w:val="0"/>
      <w:marRight w:val="0"/>
      <w:marTop w:val="0"/>
      <w:marBottom w:val="0"/>
      <w:divBdr>
        <w:top w:val="none" w:sz="0" w:space="0" w:color="auto"/>
        <w:left w:val="none" w:sz="0" w:space="0" w:color="auto"/>
        <w:bottom w:val="none" w:sz="0" w:space="0" w:color="auto"/>
        <w:right w:val="none" w:sz="0" w:space="0" w:color="auto"/>
      </w:divBdr>
    </w:div>
    <w:div w:id="207435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diagramQuickStyle" Target="diagrams/quickStyle1.xml"/><Relationship Id="rId117" Type="http://schemas.openxmlformats.org/officeDocument/2006/relationships/image" Target="media/image52.emf"/><Relationship Id="rId21" Type="http://schemas.openxmlformats.org/officeDocument/2006/relationships/image" Target="media/image8.svg"/><Relationship Id="rId42" Type="http://schemas.openxmlformats.org/officeDocument/2006/relationships/package" Target="embeddings/Microsoft_Excel_Worksheet9.xlsx"/><Relationship Id="rId47" Type="http://schemas.openxmlformats.org/officeDocument/2006/relationships/image" Target="media/image18.emf"/><Relationship Id="rId63" Type="http://schemas.openxmlformats.org/officeDocument/2006/relationships/image" Target="media/image26.emf"/><Relationship Id="rId68" Type="http://schemas.openxmlformats.org/officeDocument/2006/relationships/package" Target="embeddings/Microsoft_Excel_Worksheet19.xlsx"/><Relationship Id="rId84" Type="http://schemas.openxmlformats.org/officeDocument/2006/relationships/package" Target="embeddings/Microsoft_Excel_Worksheet27.xlsx"/><Relationship Id="rId89" Type="http://schemas.openxmlformats.org/officeDocument/2006/relationships/image" Target="media/image39.emf"/><Relationship Id="rId112" Type="http://schemas.openxmlformats.org/officeDocument/2006/relationships/oleObject" Target="embeddings/oleObject8.bin"/><Relationship Id="rId16" Type="http://schemas.openxmlformats.org/officeDocument/2006/relationships/image" Target="media/image3.png"/><Relationship Id="rId107" Type="http://schemas.openxmlformats.org/officeDocument/2006/relationships/image" Target="media/image47.emf"/><Relationship Id="rId11" Type="http://schemas.openxmlformats.org/officeDocument/2006/relationships/chart" Target="charts/chart3.xml"/><Relationship Id="rId32" Type="http://schemas.openxmlformats.org/officeDocument/2006/relationships/hyperlink" Target="https://planificacion.poder-judicial.go.cr/index.php/component/phocadownload/category/33-circulares-de-interes?download=2353:circular-externa-5-2021-recordatorio-de-reprogramacin-de-objetivos-y-metas-de-los-planes-anuales-operativos-pao-2021" TargetMode="External"/><Relationship Id="rId37" Type="http://schemas.openxmlformats.org/officeDocument/2006/relationships/image" Target="media/image13.emf"/><Relationship Id="rId53" Type="http://schemas.openxmlformats.org/officeDocument/2006/relationships/image" Target="media/image21.emf"/><Relationship Id="rId58" Type="http://schemas.openxmlformats.org/officeDocument/2006/relationships/package" Target="embeddings/Microsoft_Excel_Worksheet14.xlsx"/><Relationship Id="rId74" Type="http://schemas.openxmlformats.org/officeDocument/2006/relationships/package" Target="embeddings/Microsoft_Excel_Worksheet22.xlsx"/><Relationship Id="rId79" Type="http://schemas.openxmlformats.org/officeDocument/2006/relationships/image" Target="media/image34.emf"/><Relationship Id="rId102" Type="http://schemas.openxmlformats.org/officeDocument/2006/relationships/package" Target="embeddings/Microsoft_PowerPoint_Presentation34.pptx"/><Relationship Id="rId123" Type="http://schemas.openxmlformats.org/officeDocument/2006/relationships/header" Target="header3.xml"/><Relationship Id="rId5" Type="http://schemas.openxmlformats.org/officeDocument/2006/relationships/webSettings" Target="webSettings.xml"/><Relationship Id="rId90" Type="http://schemas.openxmlformats.org/officeDocument/2006/relationships/package" Target="embeddings/Microsoft_Word_Document30.docx"/><Relationship Id="rId95" Type="http://schemas.openxmlformats.org/officeDocument/2006/relationships/image" Target="media/image41.emf"/><Relationship Id="rId22" Type="http://schemas.openxmlformats.org/officeDocument/2006/relationships/image" Target="media/image9.png"/><Relationship Id="rId27" Type="http://schemas.openxmlformats.org/officeDocument/2006/relationships/diagramColors" Target="diagrams/colors1.xml"/><Relationship Id="rId43" Type="http://schemas.openxmlformats.org/officeDocument/2006/relationships/image" Target="media/image16.emf"/><Relationship Id="rId48" Type="http://schemas.openxmlformats.org/officeDocument/2006/relationships/oleObject" Target="embeddings/oleObject3.bin"/><Relationship Id="rId64" Type="http://schemas.openxmlformats.org/officeDocument/2006/relationships/package" Target="embeddings/Microsoft_Excel_Worksheet17.xlsx"/><Relationship Id="rId69" Type="http://schemas.openxmlformats.org/officeDocument/2006/relationships/image" Target="media/image29.emf"/><Relationship Id="rId113" Type="http://schemas.openxmlformats.org/officeDocument/2006/relationships/image" Target="media/image50.emf"/><Relationship Id="rId118" Type="http://schemas.openxmlformats.org/officeDocument/2006/relationships/oleObject" Target="embeddings/oleObject11.bin"/><Relationship Id="rId80" Type="http://schemas.openxmlformats.org/officeDocument/2006/relationships/package" Target="embeddings/Microsoft_Excel_Worksheet25.xlsx"/><Relationship Id="rId85" Type="http://schemas.openxmlformats.org/officeDocument/2006/relationships/image" Target="media/image37.emf"/><Relationship Id="rId12" Type="http://schemas.openxmlformats.org/officeDocument/2006/relationships/chart" Target="charts/chart4.xml"/><Relationship Id="rId17" Type="http://schemas.openxmlformats.org/officeDocument/2006/relationships/image" Target="media/image4.svg"/><Relationship Id="rId33" Type="http://schemas.openxmlformats.org/officeDocument/2006/relationships/image" Target="media/image11.emf"/><Relationship Id="rId38" Type="http://schemas.openxmlformats.org/officeDocument/2006/relationships/package" Target="embeddings/Microsoft_Excel_Worksheet7.xlsx"/><Relationship Id="rId59" Type="http://schemas.openxmlformats.org/officeDocument/2006/relationships/image" Target="media/image24.emf"/><Relationship Id="rId103" Type="http://schemas.openxmlformats.org/officeDocument/2006/relationships/image" Target="media/image45.emf"/><Relationship Id="rId108" Type="http://schemas.openxmlformats.org/officeDocument/2006/relationships/oleObject" Target="embeddings/oleObject6.bin"/><Relationship Id="rId124" Type="http://schemas.openxmlformats.org/officeDocument/2006/relationships/footer" Target="footer3.xml"/><Relationship Id="rId54" Type="http://schemas.openxmlformats.org/officeDocument/2006/relationships/package" Target="embeddings/Microsoft_Excel_Worksheet12.xlsx"/><Relationship Id="rId70" Type="http://schemas.openxmlformats.org/officeDocument/2006/relationships/package" Target="embeddings/Microsoft_Excel_Worksheet20.xlsx"/><Relationship Id="rId75" Type="http://schemas.openxmlformats.org/officeDocument/2006/relationships/image" Target="media/image32.emf"/><Relationship Id="rId91" Type="http://schemas.openxmlformats.org/officeDocument/2006/relationships/hyperlink" Target="https://planificacion.poder-judicial.go.cr/index.php/component/phocadownload/category/33-circulares-de-interes?download=2353:circular-externa-5-2021-recordatorio-de-reprogramacin-de-objetivos-y-metas-de-los-planes-anuales-operativos-pao-2021" TargetMode="External"/><Relationship Id="rId96" Type="http://schemas.openxmlformats.org/officeDocument/2006/relationships/package" Target="embeddings/Microsoft_Word_Document32.docx"/><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image" Target="media/image10.svg"/><Relationship Id="rId28" Type="http://schemas.microsoft.com/office/2007/relationships/diagramDrawing" Target="diagrams/drawing1.xml"/><Relationship Id="rId49" Type="http://schemas.openxmlformats.org/officeDocument/2006/relationships/image" Target="media/image19.emf"/><Relationship Id="rId114" Type="http://schemas.openxmlformats.org/officeDocument/2006/relationships/oleObject" Target="embeddings/oleObject9.bin"/><Relationship Id="rId119" Type="http://schemas.openxmlformats.org/officeDocument/2006/relationships/header" Target="header1.xml"/><Relationship Id="rId44" Type="http://schemas.openxmlformats.org/officeDocument/2006/relationships/oleObject" Target="embeddings/oleObject1.bin"/><Relationship Id="rId60" Type="http://schemas.openxmlformats.org/officeDocument/2006/relationships/package" Target="embeddings/Microsoft_Excel_Worksheet15.xlsx"/><Relationship Id="rId65" Type="http://schemas.openxmlformats.org/officeDocument/2006/relationships/image" Target="media/image27.emf"/><Relationship Id="rId81" Type="http://schemas.openxmlformats.org/officeDocument/2006/relationships/image" Target="media/image35.emf"/><Relationship Id="rId86" Type="http://schemas.openxmlformats.org/officeDocument/2006/relationships/package" Target="embeddings/Microsoft_Excel_Worksheet28.xlsx"/><Relationship Id="rId13" Type="http://schemas.openxmlformats.org/officeDocument/2006/relationships/chart" Target="charts/chart5.xml"/><Relationship Id="rId18" Type="http://schemas.openxmlformats.org/officeDocument/2006/relationships/image" Target="media/image5.png"/><Relationship Id="rId39" Type="http://schemas.openxmlformats.org/officeDocument/2006/relationships/image" Target="media/image14.emf"/><Relationship Id="rId109" Type="http://schemas.openxmlformats.org/officeDocument/2006/relationships/image" Target="media/image48.emf"/><Relationship Id="rId34" Type="http://schemas.openxmlformats.org/officeDocument/2006/relationships/package" Target="embeddings/Microsoft_Word_Document.docx"/><Relationship Id="rId50" Type="http://schemas.openxmlformats.org/officeDocument/2006/relationships/package" Target="embeddings/Microsoft_Excel_Worksheet10.xlsx"/><Relationship Id="rId55" Type="http://schemas.openxmlformats.org/officeDocument/2006/relationships/image" Target="media/image22.emf"/><Relationship Id="rId76" Type="http://schemas.openxmlformats.org/officeDocument/2006/relationships/package" Target="embeddings/Microsoft_Excel_Worksheet23.xlsx"/><Relationship Id="rId97" Type="http://schemas.openxmlformats.org/officeDocument/2006/relationships/image" Target="media/image42.emf"/><Relationship Id="rId104" Type="http://schemas.openxmlformats.org/officeDocument/2006/relationships/oleObject" Target="embeddings/oleObject4.bin"/><Relationship Id="rId120" Type="http://schemas.openxmlformats.org/officeDocument/2006/relationships/header" Target="header2.xml"/><Relationship Id="rId125"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30.emf"/><Relationship Id="rId92" Type="http://schemas.openxmlformats.org/officeDocument/2006/relationships/image" Target="media/image40.emf"/><Relationship Id="rId2" Type="http://schemas.openxmlformats.org/officeDocument/2006/relationships/numbering" Target="numbering.xml"/><Relationship Id="rId29" Type="http://schemas.openxmlformats.org/officeDocument/2006/relationships/chart" Target="charts/chart7.xml"/><Relationship Id="rId24" Type="http://schemas.openxmlformats.org/officeDocument/2006/relationships/diagramData" Target="diagrams/data1.xml"/><Relationship Id="rId40" Type="http://schemas.openxmlformats.org/officeDocument/2006/relationships/package" Target="embeddings/Microsoft_Word_Document8.docx"/><Relationship Id="rId45" Type="http://schemas.openxmlformats.org/officeDocument/2006/relationships/image" Target="media/image17.emf"/><Relationship Id="rId66" Type="http://schemas.openxmlformats.org/officeDocument/2006/relationships/package" Target="embeddings/Microsoft_Excel_Worksheet18.xlsx"/><Relationship Id="rId87" Type="http://schemas.openxmlformats.org/officeDocument/2006/relationships/image" Target="media/image38.emf"/><Relationship Id="rId110" Type="http://schemas.openxmlformats.org/officeDocument/2006/relationships/oleObject" Target="embeddings/oleObject7.bin"/><Relationship Id="rId115" Type="http://schemas.openxmlformats.org/officeDocument/2006/relationships/image" Target="media/image51.emf"/><Relationship Id="rId61" Type="http://schemas.openxmlformats.org/officeDocument/2006/relationships/image" Target="media/image25.emf"/><Relationship Id="rId82" Type="http://schemas.openxmlformats.org/officeDocument/2006/relationships/package" Target="embeddings/Microsoft_Excel_Worksheet26.xlsx"/><Relationship Id="rId19" Type="http://schemas.openxmlformats.org/officeDocument/2006/relationships/image" Target="media/image6.svg"/><Relationship Id="rId14" Type="http://schemas.openxmlformats.org/officeDocument/2006/relationships/chart" Target="charts/chart6.xml"/><Relationship Id="rId30" Type="http://schemas.openxmlformats.org/officeDocument/2006/relationships/hyperlink" Target="https://planificacion.poder-judicial.go.cr/index.php/evaluacion/plan-anual-operativo" TargetMode="External"/><Relationship Id="rId35" Type="http://schemas.openxmlformats.org/officeDocument/2006/relationships/image" Target="media/image12.emf"/><Relationship Id="rId56" Type="http://schemas.openxmlformats.org/officeDocument/2006/relationships/package" Target="embeddings/Microsoft_Excel_Worksheet13.xlsx"/><Relationship Id="rId77" Type="http://schemas.openxmlformats.org/officeDocument/2006/relationships/image" Target="media/image33.emf"/><Relationship Id="rId100" Type="http://schemas.openxmlformats.org/officeDocument/2006/relationships/package" Target="embeddings/Microsoft_PowerPoint_Presentation33.pptx"/><Relationship Id="rId105" Type="http://schemas.openxmlformats.org/officeDocument/2006/relationships/image" Target="media/image46.emf"/><Relationship Id="rId126" Type="http://schemas.openxmlformats.org/officeDocument/2006/relationships/theme" Target="theme/theme1.xml"/><Relationship Id="rId8" Type="http://schemas.openxmlformats.org/officeDocument/2006/relationships/chart" Target="charts/chart1.xml"/><Relationship Id="rId51" Type="http://schemas.openxmlformats.org/officeDocument/2006/relationships/image" Target="media/image20.emf"/><Relationship Id="rId72" Type="http://schemas.openxmlformats.org/officeDocument/2006/relationships/package" Target="embeddings/Microsoft_Excel_Worksheet21.xlsx"/><Relationship Id="rId93" Type="http://schemas.openxmlformats.org/officeDocument/2006/relationships/package" Target="embeddings/Microsoft_Word_Document31.docx"/><Relationship Id="rId98" Type="http://schemas.openxmlformats.org/officeDocument/2006/relationships/package" Target="embeddings/Microsoft_PowerPoint_Presentation.pptx"/><Relationship Id="rId121" Type="http://schemas.openxmlformats.org/officeDocument/2006/relationships/footer" Target="footer1.xml"/><Relationship Id="rId3" Type="http://schemas.openxmlformats.org/officeDocument/2006/relationships/styles" Target="styles.xml"/><Relationship Id="rId25" Type="http://schemas.openxmlformats.org/officeDocument/2006/relationships/diagramLayout" Target="diagrams/layout1.xml"/><Relationship Id="rId46" Type="http://schemas.openxmlformats.org/officeDocument/2006/relationships/oleObject" Target="embeddings/oleObject2.bin"/><Relationship Id="rId67" Type="http://schemas.openxmlformats.org/officeDocument/2006/relationships/image" Target="media/image28.emf"/><Relationship Id="rId116" Type="http://schemas.openxmlformats.org/officeDocument/2006/relationships/oleObject" Target="embeddings/oleObject10.bin"/><Relationship Id="rId20" Type="http://schemas.openxmlformats.org/officeDocument/2006/relationships/image" Target="media/image7.png"/><Relationship Id="rId41" Type="http://schemas.openxmlformats.org/officeDocument/2006/relationships/image" Target="media/image15.emf"/><Relationship Id="rId62" Type="http://schemas.openxmlformats.org/officeDocument/2006/relationships/package" Target="embeddings/Microsoft_Excel_Worksheet16.xlsx"/><Relationship Id="rId83" Type="http://schemas.openxmlformats.org/officeDocument/2006/relationships/image" Target="media/image36.emf"/><Relationship Id="rId88" Type="http://schemas.openxmlformats.org/officeDocument/2006/relationships/package" Target="embeddings/Microsoft_Excel_Worksheet29.xlsx"/><Relationship Id="rId111" Type="http://schemas.openxmlformats.org/officeDocument/2006/relationships/image" Target="media/image49.emf"/><Relationship Id="rId15" Type="http://schemas.openxmlformats.org/officeDocument/2006/relationships/image" Target="media/image2.png"/><Relationship Id="rId36" Type="http://schemas.openxmlformats.org/officeDocument/2006/relationships/oleObject" Target="embeddings/Microsoft_Excel_97-2003_Worksheet.xls"/><Relationship Id="rId57" Type="http://schemas.openxmlformats.org/officeDocument/2006/relationships/image" Target="media/image23.emf"/><Relationship Id="rId106" Type="http://schemas.openxmlformats.org/officeDocument/2006/relationships/oleObject" Target="embeddings/oleObject5.bin"/><Relationship Id="rId10" Type="http://schemas.openxmlformats.org/officeDocument/2006/relationships/image" Target="media/image1.jpeg"/><Relationship Id="rId31" Type="http://schemas.openxmlformats.org/officeDocument/2006/relationships/hyperlink" Target="https://pjenlinea3.poder-judicial.go.cr/SitioExternoPAO/" TargetMode="External"/><Relationship Id="rId52" Type="http://schemas.openxmlformats.org/officeDocument/2006/relationships/package" Target="embeddings/Microsoft_Excel_Worksheet11.xlsx"/><Relationship Id="rId73" Type="http://schemas.openxmlformats.org/officeDocument/2006/relationships/image" Target="media/image31.emf"/><Relationship Id="rId78" Type="http://schemas.openxmlformats.org/officeDocument/2006/relationships/package" Target="embeddings/Microsoft_Excel_Worksheet24.xlsx"/><Relationship Id="rId94" Type="http://schemas.openxmlformats.org/officeDocument/2006/relationships/hyperlink" Target="https://planificacion.poder-judicial.go.cr/index.php/component/phocadownload/category/33-circulares-de-interes?download=2353:circular-externa-5-2021-recordatorio-de-reprogramacin-de-objetivos-y-metas-de-los-planes-anuales-operativos-pao-2021" TargetMode="External"/><Relationship Id="rId99" Type="http://schemas.openxmlformats.org/officeDocument/2006/relationships/image" Target="media/image43.emf"/><Relationship Id="rId101" Type="http://schemas.openxmlformats.org/officeDocument/2006/relationships/image" Target="media/image44.emf"/><Relationship Id="rId122" Type="http://schemas.openxmlformats.org/officeDocument/2006/relationships/footer" Target="footer2.xml"/><Relationship Id="rId4" Type="http://schemas.openxmlformats.org/officeDocument/2006/relationships/settings" Target="settings.xml"/><Relationship Id="rId9" Type="http://schemas.openxmlformats.org/officeDocument/2006/relationships/chart" Target="charts/chart2.xml"/></Relationships>
</file>

<file path=word/_rels/footer2.xml.rels><?xml version="1.0" encoding="UTF-8" standalone="yes"?>
<Relationships xmlns="http://schemas.openxmlformats.org/package/2006/relationships"><Relationship Id="rId1" Type="http://schemas.openxmlformats.org/officeDocument/2006/relationships/hyperlink" Target="mailto:secre_corte@poder-judicial.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530.png"/><Relationship Id="rId1" Type="http://schemas.openxmlformats.org/officeDocument/2006/relationships/image" Target="media/image53.pn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2" Type="http://schemas.openxmlformats.org/officeDocument/2006/relationships/package" Target="../embeddings/Microsoft_Excel_Worksheet4.xlsx"/><Relationship Id="rId1" Type="http://schemas.openxmlformats.org/officeDocument/2006/relationships/themeOverride" Target="../theme/themeOverride5.xml"/></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6.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00B050"/>
              </a:solidFill>
              <a:ln w="19050">
                <a:solidFill>
                  <a:schemeClr val="lt1"/>
                </a:solidFill>
              </a:ln>
              <a:effectLst/>
              <a:scene3d>
                <a:camera prst="orthographicFront"/>
                <a:lightRig rig="threePt" dir="t"/>
              </a:scene3d>
              <a:sp3d>
                <a:bevelB w="114300" prst="hardEdge"/>
              </a:sp3d>
            </c:spPr>
            <c:extLst>
              <c:ext xmlns:c16="http://schemas.microsoft.com/office/drawing/2014/chart" uri="{C3380CC4-5D6E-409C-BE32-E72D297353CC}">
                <c16:uniqueId val="{00000001-3A01-4349-AFF4-34239350844E}"/>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3A01-4349-AFF4-34239350844E}"/>
              </c:ext>
            </c:extLst>
          </c:dPt>
          <c:dLbls>
            <c:dLbl>
              <c:idx val="0"/>
              <c:layout>
                <c:manualLayout>
                  <c:x val="9.5303805774278216E-2"/>
                  <c:y val="-2.0838801399825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3A01-4349-AFF4-34239350844E}"/>
                </c:ext>
              </c:extLst>
            </c:dLbl>
            <c:dLbl>
              <c:idx val="1"/>
              <c:layout>
                <c:manualLayout>
                  <c:x val="5.5258311461067369E-2"/>
                  <c:y val="-1.7261592300962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3A01-4349-AFF4-34239350844E}"/>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 y 3'!$A$2:$A$3</c:f>
              <c:strCache>
                <c:ptCount val="2"/>
                <c:pt idx="0">
                  <c:v>Cumplido</c:v>
                </c:pt>
                <c:pt idx="1">
                  <c:v>No cumplido</c:v>
                </c:pt>
              </c:strCache>
            </c:strRef>
          </c:cat>
          <c:val>
            <c:numRef>
              <c:f>'1 y 3'!$B$2:$B$3</c:f>
              <c:numCache>
                <c:formatCode>0.00%</c:formatCode>
                <c:ptCount val="2"/>
                <c:pt idx="0">
                  <c:v>0.96399999999999997</c:v>
                </c:pt>
                <c:pt idx="1">
                  <c:v>3.5999999999999997E-2</c:v>
                </c:pt>
              </c:numCache>
            </c:numRef>
          </c:val>
          <c:extLst>
            <c:ext xmlns:c16="http://schemas.microsoft.com/office/drawing/2014/chart" uri="{C3380CC4-5D6E-409C-BE32-E72D297353CC}">
              <c16:uniqueId val="{00000004-3A01-4349-AFF4-34239350844E}"/>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a:scene3d>
              <a:camera prst="orthographicFront"/>
              <a:lightRig rig="threePt" dir="t"/>
            </a:scene3d>
            <a:sp3d>
              <a:bevelT/>
              <a:bevelB prst="angle"/>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 y 4'!$A$2:$A$6</c:f>
              <c:numCache>
                <c:formatCode>General</c:formatCode>
                <c:ptCount val="5"/>
                <c:pt idx="0">
                  <c:v>2017</c:v>
                </c:pt>
                <c:pt idx="1">
                  <c:v>2018</c:v>
                </c:pt>
                <c:pt idx="2">
                  <c:v>2019</c:v>
                </c:pt>
                <c:pt idx="3">
                  <c:v>2020</c:v>
                </c:pt>
                <c:pt idx="4">
                  <c:v>2021</c:v>
                </c:pt>
              </c:numCache>
            </c:numRef>
          </c:cat>
          <c:val>
            <c:numRef>
              <c:f>'2 y 4'!$B$2:$B$6</c:f>
              <c:numCache>
                <c:formatCode>0.00%</c:formatCode>
                <c:ptCount val="5"/>
                <c:pt idx="0">
                  <c:v>0.76339999999999997</c:v>
                </c:pt>
                <c:pt idx="1">
                  <c:v>0.80149999999999999</c:v>
                </c:pt>
                <c:pt idx="2">
                  <c:v>0.9677</c:v>
                </c:pt>
                <c:pt idx="3">
                  <c:v>0.96060000000000001</c:v>
                </c:pt>
                <c:pt idx="4">
                  <c:v>0.96399999999999997</c:v>
                </c:pt>
              </c:numCache>
            </c:numRef>
          </c:val>
          <c:extLst>
            <c:ext xmlns:c16="http://schemas.microsoft.com/office/drawing/2014/chart" uri="{C3380CC4-5D6E-409C-BE32-E72D297353CC}">
              <c16:uniqueId val="{00000000-2CFD-4AAE-8673-DC8F22D821ED}"/>
            </c:ext>
          </c:extLst>
        </c:ser>
        <c:dLbls>
          <c:showLegendKey val="0"/>
          <c:showVal val="0"/>
          <c:showCatName val="0"/>
          <c:showSerName val="0"/>
          <c:showPercent val="0"/>
          <c:showBubbleSize val="0"/>
        </c:dLbls>
        <c:gapWidth val="219"/>
        <c:overlap val="-27"/>
        <c:axId val="2079606271"/>
        <c:axId val="2079604191"/>
      </c:barChart>
      <c:catAx>
        <c:axId val="2079606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2079604191"/>
        <c:crosses val="autoZero"/>
        <c:auto val="1"/>
        <c:lblAlgn val="ctr"/>
        <c:lblOffset val="100"/>
        <c:noMultiLvlLbl val="0"/>
      </c:catAx>
      <c:valAx>
        <c:axId val="207960419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2079606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dPt>
            <c:idx val="0"/>
            <c:bubble3D val="0"/>
            <c:spPr>
              <a:solidFill>
                <a:srgbClr val="00B050"/>
              </a:solidFill>
              <a:ln w="19050">
                <a:solidFill>
                  <a:schemeClr val="lt1"/>
                </a:solidFill>
              </a:ln>
              <a:effectLst/>
              <a:scene3d>
                <a:camera prst="orthographicFront"/>
                <a:lightRig rig="threePt" dir="t"/>
              </a:scene3d>
              <a:sp3d>
                <a:bevelB w="114300" prst="hardEdge"/>
              </a:sp3d>
            </c:spPr>
            <c:extLst>
              <c:ext xmlns:c16="http://schemas.microsoft.com/office/drawing/2014/chart" uri="{C3380CC4-5D6E-409C-BE32-E72D297353CC}">
                <c16:uniqueId val="{00000001-5844-4C4B-B45F-BB246EAF56E4}"/>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5844-4C4B-B45F-BB246EAF56E4}"/>
              </c:ext>
            </c:extLst>
          </c:dPt>
          <c:dLbls>
            <c:dLbl>
              <c:idx val="0"/>
              <c:layout>
                <c:manualLayout>
                  <c:x val="9.5303805774278216E-2"/>
                  <c:y val="-2.083880139982502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5844-4C4B-B45F-BB246EAF56E4}"/>
                </c:ext>
              </c:extLst>
            </c:dLbl>
            <c:dLbl>
              <c:idx val="1"/>
              <c:layout>
                <c:manualLayout>
                  <c:x val="5.5258311461067369E-2"/>
                  <c:y val="-1.726159230096237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5844-4C4B-B45F-BB246EAF56E4}"/>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'1 y 3'!$A$2:$A$3</c:f>
              <c:strCache>
                <c:ptCount val="2"/>
                <c:pt idx="0">
                  <c:v>Cumplido</c:v>
                </c:pt>
                <c:pt idx="1">
                  <c:v>No cumplido</c:v>
                </c:pt>
              </c:strCache>
            </c:strRef>
          </c:cat>
          <c:val>
            <c:numRef>
              <c:f>'1 y 3'!$B$2:$B$3</c:f>
              <c:numCache>
                <c:formatCode>0.00%</c:formatCode>
                <c:ptCount val="2"/>
                <c:pt idx="0">
                  <c:v>0.96399999999999997</c:v>
                </c:pt>
                <c:pt idx="1">
                  <c:v>3.5999999999999997E-2</c:v>
                </c:pt>
              </c:numCache>
            </c:numRef>
          </c:val>
          <c:extLst>
            <c:ext xmlns:c16="http://schemas.microsoft.com/office/drawing/2014/chart" uri="{C3380CC4-5D6E-409C-BE32-E72D297353CC}">
              <c16:uniqueId val="{00000004-5844-4C4B-B45F-BB246EAF56E4}"/>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spPr>
            <a:solidFill>
              <a:schemeClr val="accent1"/>
            </a:solidFill>
            <a:ln>
              <a:noFill/>
            </a:ln>
            <a:effectLst/>
            <a:scene3d>
              <a:camera prst="orthographicFront"/>
              <a:lightRig rig="threePt" dir="t"/>
            </a:scene3d>
            <a:sp3d>
              <a:bevelT/>
              <a:bevelB prst="angle"/>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'2 y 4'!$A$2:$A$6</c:f>
              <c:numCache>
                <c:formatCode>General</c:formatCode>
                <c:ptCount val="5"/>
                <c:pt idx="0">
                  <c:v>2017</c:v>
                </c:pt>
                <c:pt idx="1">
                  <c:v>2018</c:v>
                </c:pt>
                <c:pt idx="2">
                  <c:v>2019</c:v>
                </c:pt>
                <c:pt idx="3">
                  <c:v>2020</c:v>
                </c:pt>
                <c:pt idx="4">
                  <c:v>2021</c:v>
                </c:pt>
              </c:numCache>
            </c:numRef>
          </c:cat>
          <c:val>
            <c:numRef>
              <c:f>'2 y 4'!$B$2:$B$6</c:f>
              <c:numCache>
                <c:formatCode>0.00%</c:formatCode>
                <c:ptCount val="5"/>
                <c:pt idx="0">
                  <c:v>0.76339999999999997</c:v>
                </c:pt>
                <c:pt idx="1">
                  <c:v>0.80149999999999999</c:v>
                </c:pt>
                <c:pt idx="2">
                  <c:v>0.9677</c:v>
                </c:pt>
                <c:pt idx="3">
                  <c:v>0.96060000000000001</c:v>
                </c:pt>
                <c:pt idx="4">
                  <c:v>0.96399999999999997</c:v>
                </c:pt>
              </c:numCache>
            </c:numRef>
          </c:val>
          <c:extLst>
            <c:ext xmlns:c16="http://schemas.microsoft.com/office/drawing/2014/chart" uri="{C3380CC4-5D6E-409C-BE32-E72D297353CC}">
              <c16:uniqueId val="{00000000-9418-41CE-93D0-380C729FD489}"/>
            </c:ext>
          </c:extLst>
        </c:ser>
        <c:dLbls>
          <c:showLegendKey val="0"/>
          <c:showVal val="0"/>
          <c:showCatName val="0"/>
          <c:showSerName val="0"/>
          <c:showPercent val="0"/>
          <c:showBubbleSize val="0"/>
        </c:dLbls>
        <c:gapWidth val="219"/>
        <c:overlap val="-27"/>
        <c:axId val="2079606271"/>
        <c:axId val="2079604191"/>
      </c:barChart>
      <c:catAx>
        <c:axId val="2079606271"/>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2079604191"/>
        <c:crosses val="autoZero"/>
        <c:auto val="1"/>
        <c:lblAlgn val="ctr"/>
        <c:lblOffset val="100"/>
        <c:noMultiLvlLbl val="0"/>
      </c:catAx>
      <c:valAx>
        <c:axId val="207960419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2079606271"/>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manualLayout>
          <c:layoutTarget val="inner"/>
          <c:xMode val="edge"/>
          <c:yMode val="edge"/>
          <c:x val="8.5135033097581234E-2"/>
          <c:y val="6.0185185185185182E-2"/>
          <c:w val="0.88561552467742832"/>
          <c:h val="0.49908719743365415"/>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Hoja1!$A$2:$A$9</c:f>
              <c:strCache>
                <c:ptCount val="8"/>
                <c:pt idx="0">
                  <c:v>Valores institucionales</c:v>
                </c:pt>
                <c:pt idx="1">
                  <c:v>Valor del servicio de Administración de Justicia</c:v>
                </c:pt>
                <c:pt idx="2">
                  <c:v>Bienestar y salud del personal judicial</c:v>
                </c:pt>
                <c:pt idx="3">
                  <c:v>Ambiente</c:v>
                </c:pt>
                <c:pt idx="4">
                  <c:v>Género</c:v>
                </c:pt>
                <c:pt idx="5">
                  <c:v>Innovación</c:v>
                </c:pt>
                <c:pt idx="6">
                  <c:v>Acceso a la Justicia</c:v>
                </c:pt>
                <c:pt idx="7">
                  <c:v>Justicia Abierta</c:v>
                </c:pt>
              </c:strCache>
            </c:strRef>
          </c:cat>
          <c:val>
            <c:numRef>
              <c:f>Hoja1!$B$2:$B$9</c:f>
              <c:numCache>
                <c:formatCode>0.00%</c:formatCode>
                <c:ptCount val="8"/>
                <c:pt idx="0">
                  <c:v>0.97799999999999998</c:v>
                </c:pt>
                <c:pt idx="1">
                  <c:v>0.97389999999999999</c:v>
                </c:pt>
                <c:pt idx="2">
                  <c:v>0.97250000000000003</c:v>
                </c:pt>
                <c:pt idx="3">
                  <c:v>0.97040000000000004</c:v>
                </c:pt>
                <c:pt idx="4">
                  <c:v>0.96630000000000005</c:v>
                </c:pt>
                <c:pt idx="5">
                  <c:v>0.96579999999999999</c:v>
                </c:pt>
                <c:pt idx="6">
                  <c:v>0.95760000000000001</c:v>
                </c:pt>
                <c:pt idx="7">
                  <c:v>0.91149999999999998</c:v>
                </c:pt>
              </c:numCache>
            </c:numRef>
          </c:val>
          <c:extLst>
            <c:ext xmlns:c16="http://schemas.microsoft.com/office/drawing/2014/chart" uri="{C3380CC4-5D6E-409C-BE32-E72D297353CC}">
              <c16:uniqueId val="{00000000-0943-44B1-A583-851863515676}"/>
            </c:ext>
          </c:extLst>
        </c:ser>
        <c:dLbls>
          <c:showLegendKey val="0"/>
          <c:showVal val="0"/>
          <c:showCatName val="0"/>
          <c:showSerName val="0"/>
          <c:showPercent val="0"/>
          <c:showBubbleSize val="0"/>
        </c:dLbls>
        <c:gapWidth val="219"/>
        <c:overlap val="-27"/>
        <c:axId val="819796719"/>
        <c:axId val="1"/>
      </c:barChart>
      <c:catAx>
        <c:axId val="81979671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1"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crossAx val="1"/>
        <c:crosses val="autoZero"/>
        <c:auto val="1"/>
        <c:lblAlgn val="ctr"/>
        <c:lblOffset val="100"/>
        <c:noMultiLvlLbl val="0"/>
      </c:catAx>
      <c:valAx>
        <c:axId val="1"/>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819796719"/>
        <c:crosses val="autoZero"/>
        <c:crossBetween val="between"/>
      </c:valAx>
      <c:spPr>
        <a:noFill/>
        <a:ln w="25400">
          <a:noFill/>
        </a:ln>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2">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Hoja1!$A$1:$A$5</c:f>
              <c:strCache>
                <c:ptCount val="5"/>
                <c:pt idx="0">
                  <c:v>Gestión del personal</c:v>
                </c:pt>
                <c:pt idx="1">
                  <c:v>Planificación Institucional</c:v>
                </c:pt>
                <c:pt idx="2">
                  <c:v>Confianza y priobidad en la justicia</c:v>
                </c:pt>
                <c:pt idx="3">
                  <c:v>Optimización e Innovación de los servicios judiciales</c:v>
                </c:pt>
                <c:pt idx="4">
                  <c:v>Resolución oportuna de conflictos</c:v>
                </c:pt>
              </c:strCache>
            </c:strRef>
          </c:cat>
          <c:val>
            <c:numRef>
              <c:f>Hoja1!$B$1:$B$5</c:f>
              <c:numCache>
                <c:formatCode>0.00%</c:formatCode>
                <c:ptCount val="5"/>
                <c:pt idx="0">
                  <c:v>0.99319999999999997</c:v>
                </c:pt>
                <c:pt idx="1">
                  <c:v>0.99260000000000004</c:v>
                </c:pt>
                <c:pt idx="2">
                  <c:v>0.99180000000000001</c:v>
                </c:pt>
                <c:pt idx="3">
                  <c:v>0.98619999999999997</c:v>
                </c:pt>
                <c:pt idx="4">
                  <c:v>0.90639999999999998</c:v>
                </c:pt>
              </c:numCache>
            </c:numRef>
          </c:val>
          <c:extLst>
            <c:ext xmlns:c16="http://schemas.microsoft.com/office/drawing/2014/chart" uri="{C3380CC4-5D6E-409C-BE32-E72D297353CC}">
              <c16:uniqueId val="{00000000-A58C-45D4-B0DC-CDB8E5F36EFF}"/>
            </c:ext>
          </c:extLst>
        </c:ser>
        <c:dLbls>
          <c:showLegendKey val="0"/>
          <c:showVal val="0"/>
          <c:showCatName val="0"/>
          <c:showSerName val="0"/>
          <c:showPercent val="0"/>
          <c:showBubbleSize val="0"/>
        </c:dLbls>
        <c:gapWidth val="182"/>
        <c:axId val="649492095"/>
        <c:axId val="649480863"/>
      </c:barChart>
      <c:catAx>
        <c:axId val="649492095"/>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649480863"/>
        <c:crosses val="autoZero"/>
        <c:auto val="1"/>
        <c:lblAlgn val="ctr"/>
        <c:lblOffset val="100"/>
        <c:noMultiLvlLbl val="0"/>
      </c:catAx>
      <c:valAx>
        <c:axId val="649480863"/>
        <c:scaling>
          <c:orientation val="minMax"/>
        </c:scaling>
        <c:delete val="0"/>
        <c:axPos val="b"/>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1" i="0" u="none" strike="noStrike" kern="1200" baseline="0">
                <a:solidFill>
                  <a:schemeClr val="tx1">
                    <a:lumMod val="65000"/>
                    <a:lumOff val="35000"/>
                  </a:schemeClr>
                </a:solidFill>
                <a:latin typeface="+mn-lt"/>
                <a:ea typeface="+mn-ea"/>
                <a:cs typeface="+mn-cs"/>
              </a:defRPr>
            </a:pPr>
            <a:endParaRPr lang="es-CR"/>
          </a:p>
        </c:txPr>
        <c:crossAx val="649492095"/>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spPr>
            <a:solidFill>
              <a:srgbClr val="FF0000"/>
            </a:solidFill>
          </c:spPr>
          <c:dPt>
            <c:idx val="0"/>
            <c:bubble3D val="0"/>
            <c:spPr>
              <a:solidFill>
                <a:srgbClr val="00B050"/>
              </a:solidFill>
              <a:ln w="19050">
                <a:solidFill>
                  <a:schemeClr val="lt1"/>
                </a:solidFill>
              </a:ln>
              <a:effectLst/>
            </c:spPr>
            <c:extLst>
              <c:ext xmlns:c16="http://schemas.microsoft.com/office/drawing/2014/chart" uri="{C3380CC4-5D6E-409C-BE32-E72D297353CC}">
                <c16:uniqueId val="{00000001-64A7-487E-81BE-763DB8C0E6E7}"/>
              </c:ext>
            </c:extLst>
          </c:dPt>
          <c:dPt>
            <c:idx val="1"/>
            <c:bubble3D val="0"/>
            <c:spPr>
              <a:solidFill>
                <a:srgbClr val="FF0000"/>
              </a:solidFill>
              <a:ln w="19050">
                <a:solidFill>
                  <a:schemeClr val="lt1"/>
                </a:solidFill>
              </a:ln>
              <a:effectLst/>
            </c:spPr>
            <c:extLst>
              <c:ext xmlns:c16="http://schemas.microsoft.com/office/drawing/2014/chart" uri="{C3380CC4-5D6E-409C-BE32-E72D297353CC}">
                <c16:uniqueId val="{00000003-64A7-487E-81BE-763DB8C0E6E7}"/>
              </c:ext>
            </c:extLst>
          </c:dPt>
          <c:dLbls>
            <c:dLbl>
              <c:idx val="0"/>
              <c:layout>
                <c:manualLayout>
                  <c:x val="0.1360391513560805"/>
                  <c:y val="-9.871463983668699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64A7-487E-81BE-763DB8C0E6E7}"/>
                </c:ext>
              </c:extLst>
            </c:dLbl>
            <c:dLbl>
              <c:idx val="1"/>
              <c:layout>
                <c:manualLayout>
                  <c:x val="2.6504155730533736E-2"/>
                  <c:y val="-1.3043525809273841E-2"/>
                </c:manualLayout>
              </c:layou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64A7-487E-81BE-763DB8C0E6E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1">
                        <a:lumMod val="75000"/>
                        <a:lumOff val="25000"/>
                      </a:schemeClr>
                    </a:solidFill>
                    <a:latin typeface="Book Antiqua" panose="02040602050305030304" pitchFamily="18" charset="0"/>
                    <a:ea typeface="+mn-ea"/>
                    <a:cs typeface="+mn-cs"/>
                  </a:defRPr>
                </a:pPr>
                <a:endParaRPr lang="es-CR"/>
              </a:p>
            </c:txPr>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RP_Reporte_Porcentaje_Avance_In!$B$31:$B$32</c:f>
              <c:strCache>
                <c:ptCount val="2"/>
                <c:pt idx="0">
                  <c:v>Cumplido</c:v>
                </c:pt>
                <c:pt idx="1">
                  <c:v>No cumplido</c:v>
                </c:pt>
              </c:strCache>
            </c:strRef>
          </c:cat>
          <c:val>
            <c:numRef>
              <c:f>RP_Reporte_Porcentaje_Avance_In!$C$31:$C$32</c:f>
              <c:numCache>
                <c:formatCode>0.00%</c:formatCode>
                <c:ptCount val="2"/>
                <c:pt idx="0">
                  <c:v>0.93330000000000002</c:v>
                </c:pt>
                <c:pt idx="1">
                  <c:v>6.6699999999999995E-2</c:v>
                </c:pt>
              </c:numCache>
            </c:numRef>
          </c:val>
          <c:extLst>
            <c:ext xmlns:c16="http://schemas.microsoft.com/office/drawing/2014/chart" uri="{C3380CC4-5D6E-409C-BE32-E72D297353CC}">
              <c16:uniqueId val="{00000004-64A7-487E-81BE-763DB8C0E6E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Book Antiqua" panose="02040602050305030304" pitchFamily="18" charset="0"/>
              <a:ea typeface="+mn-ea"/>
              <a:cs typeface="+mn-cs"/>
            </a:defRPr>
          </a:pPr>
          <a:endParaRPr lang="es-CR"/>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s-C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colorful2">
  <dgm:title val=""/>
  <dgm:desc val=""/>
  <dgm:catLst>
    <dgm:cat type="colorful" pri="10200"/>
  </dgm:catLst>
  <dgm:styleLbl name="node0">
    <dgm:fillClrLst meth="repeat">
      <a:schemeClr val="accent1"/>
    </dgm:fillClrLst>
    <dgm:linClrLst meth="repeat">
      <a:schemeClr val="lt1"/>
    </dgm:linClrLst>
    <dgm:effectClrLst/>
    <dgm:txLinClrLst/>
    <dgm:txFillClrLst/>
    <dgm:txEffectClrLst/>
  </dgm:styleLbl>
  <dgm:styleLbl name="node1">
    <dgm:fillClrLst>
      <a:schemeClr val="accent2"/>
      <a:schemeClr val="accent3"/>
    </dgm:fillClrLst>
    <dgm:linClrLst meth="repeat">
      <a:schemeClr val="lt1"/>
    </dgm:linClrLst>
    <dgm:effectClrLst/>
    <dgm:txLinClrLst/>
    <dgm:txFillClrLst/>
    <dgm:txEffectClrLst/>
  </dgm:styleLbl>
  <dgm:styleLbl name="alignNode1">
    <dgm:fillClrLst>
      <a:schemeClr val="accent2"/>
      <a:schemeClr val="accent3"/>
    </dgm:fillClrLst>
    <dgm:linClrLst>
      <a:schemeClr val="accent2"/>
      <a:schemeClr val="accent3"/>
    </dgm:linClrLst>
    <dgm:effectClrLst/>
    <dgm:txLinClrLst/>
    <dgm:txFillClrLst/>
    <dgm:txEffectClrLst/>
  </dgm:styleLbl>
  <dgm:styleLbl name="lnNode1">
    <dgm:fillClrLst>
      <a:schemeClr val="accent2"/>
      <a:schemeClr val="accent3"/>
    </dgm:fillClrLst>
    <dgm:linClrLst meth="repeat">
      <a:schemeClr val="lt1"/>
    </dgm:linClrLst>
    <dgm:effectClrLst/>
    <dgm:txLinClrLst/>
    <dgm:txFillClrLst/>
    <dgm:txEffectClrLst/>
  </dgm:styleLbl>
  <dgm:styleLbl name="vennNode1">
    <dgm:fillClrLst>
      <a:schemeClr val="accent2">
        <a:alpha val="50000"/>
      </a:schemeClr>
      <a:schemeClr val="accent3">
        <a:alpha val="50000"/>
      </a:schemeClr>
    </dgm:fillClrLst>
    <dgm:linClrLst meth="repeat">
      <a:schemeClr val="lt1"/>
    </dgm:linClrLst>
    <dgm:effectClrLst/>
    <dgm:txLinClrLst/>
    <dgm:txFillClrLst/>
    <dgm:txEffectClrLst/>
  </dgm:styleLbl>
  <dgm:styleLbl name="node2">
    <dgm:fillClrLst>
      <a:schemeClr val="accent3"/>
    </dgm:fillClrLst>
    <dgm:linClrLst meth="repeat">
      <a:schemeClr val="lt1"/>
    </dgm:linClrLst>
    <dgm:effectClrLst/>
    <dgm:txLinClrLst/>
    <dgm:txFillClrLst/>
    <dgm:txEffectClrLst/>
  </dgm:styleLbl>
  <dgm:styleLbl name="node3">
    <dgm:fillClrLst>
      <a:schemeClr val="accent4"/>
    </dgm:fillClrLst>
    <dgm:linClrLst meth="repeat">
      <a:schemeClr val="lt1"/>
    </dgm:linClrLst>
    <dgm:effectClrLst/>
    <dgm:txLinClrLst/>
    <dgm:txFillClrLst/>
    <dgm:txEffectClrLst/>
  </dgm:styleLbl>
  <dgm:styleLbl name="node4">
    <dgm:fillClrLst>
      <a:schemeClr val="accent5"/>
    </dgm:fillClrLst>
    <dgm:linClrLst meth="repeat">
      <a:schemeClr val="lt1"/>
    </dgm:linClrLst>
    <dgm:effectClrLst/>
    <dgm:txLinClrLst/>
    <dgm:txFillClrLst/>
    <dgm:txEffectClrLst/>
  </dgm:styleLbl>
  <dgm:styleLbl name="fgImgPlace1">
    <dgm:fillClrLst>
      <a:schemeClr val="accent2">
        <a:tint val="50000"/>
      </a:schemeClr>
      <a:schemeClr val="accent3">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2">
        <a:tint val="50000"/>
      </a:schemeClr>
      <a:schemeClr val="accent3">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2"/>
      <a:schemeClr val="accent3"/>
    </dgm:fillClrLst>
    <dgm:linClrLst meth="repeat">
      <a:schemeClr val="lt1"/>
    </dgm:linClrLst>
    <dgm:effectClrLst/>
    <dgm:txLinClrLst/>
    <dgm:txFillClrLst/>
    <dgm:txEffectClrLst/>
  </dgm:styleLbl>
  <dgm:styleLbl name="fgSibTrans2D1">
    <dgm:fillClrLst>
      <a:schemeClr val="accent2"/>
      <a:schemeClr val="accent3"/>
    </dgm:fillClrLst>
    <dgm:linClrLst meth="repeat">
      <a:schemeClr val="lt1"/>
    </dgm:linClrLst>
    <dgm:effectClrLst/>
    <dgm:txLinClrLst/>
    <dgm:txFillClrLst meth="repeat">
      <a:schemeClr val="lt1"/>
    </dgm:txFillClrLst>
    <dgm:txEffectClrLst/>
  </dgm:styleLbl>
  <dgm:styleLbl name="bgSibTrans2D1">
    <dgm:fillClrLst>
      <a:schemeClr val="accent2"/>
      <a:schemeClr val="accent3"/>
    </dgm:fillClrLst>
    <dgm:linClrLst meth="repeat">
      <a:schemeClr val="lt1"/>
    </dgm:linClrLst>
    <dgm:effectClrLst/>
    <dgm:txLinClrLst/>
    <dgm:txFillClrLst meth="repeat">
      <a:schemeClr val="lt1"/>
    </dgm:txFillClrLst>
    <dgm:txEffectClrLst/>
  </dgm:styleLbl>
  <dgm:styleLbl name="sibTrans1D1">
    <dgm:fillClrLst/>
    <dgm:linClrLst>
      <a:schemeClr val="accent2"/>
      <a:schemeClr val="accent3"/>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2"/>
    </dgm:fillClrLst>
    <dgm:linClrLst meth="repeat">
      <a:schemeClr val="lt1">
        <a:shade val="80000"/>
      </a:schemeClr>
    </dgm:linClrLst>
    <dgm:effectClrLst/>
    <dgm:txLinClrLst/>
    <dgm:txFillClrLst/>
    <dgm:txEffectClrLst/>
  </dgm:styleLbl>
  <dgm:styleLbl name="asst1">
    <dgm:fillClrLst meth="repeat">
      <a:schemeClr val="accent3"/>
    </dgm:fillClrLst>
    <dgm:linClrLst meth="repeat">
      <a:schemeClr val="lt1">
        <a:shade val="80000"/>
      </a:schemeClr>
    </dgm:linClrLst>
    <dgm:effectClrLst/>
    <dgm:txLinClrLst/>
    <dgm:txFillClrLst/>
    <dgm:txEffectClrLst/>
  </dgm:styleLbl>
  <dgm:styleLbl name="asst2">
    <dgm:fillClrLst>
      <a:schemeClr val="accent4"/>
    </dgm:fillClrLst>
    <dgm:linClrLst meth="repeat">
      <a:schemeClr val="lt1"/>
    </dgm:linClrLst>
    <dgm:effectClrLst/>
    <dgm:txLinClrLst/>
    <dgm:txFillClrLst/>
    <dgm:txEffectClrLst/>
  </dgm:styleLbl>
  <dgm:styleLbl name="asst3">
    <dgm:fillClrLst>
      <a:schemeClr val="accent5"/>
    </dgm:fillClrLst>
    <dgm:linClrLst meth="repeat">
      <a:schemeClr val="lt1"/>
    </dgm:linClrLst>
    <dgm:effectClrLst/>
    <dgm:txLinClrLst/>
    <dgm:txFillClrLst/>
    <dgm:txEffectClrLst/>
  </dgm:styleLbl>
  <dgm:styleLbl name="asst4">
    <dgm:fillClrLst>
      <a:schemeClr val="accent6"/>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2"/>
    </dgm:linClrLst>
    <dgm:effectClrLst/>
    <dgm:txLinClrLst/>
    <dgm:txFillClrLst meth="repeat">
      <a:schemeClr val="tx1"/>
    </dgm:txFillClrLst>
    <dgm:txEffectClrLst/>
  </dgm:styleLbl>
  <dgm:styleLbl name="parChTrans1D2">
    <dgm:fillClrLst meth="repeat">
      <a:schemeClr val="accent2">
        <a:tint val="90000"/>
      </a:schemeClr>
    </dgm:fillClrLst>
    <dgm:linClrLst meth="repeat">
      <a:schemeClr val="accent3"/>
    </dgm:linClrLst>
    <dgm:effectClrLst/>
    <dgm:txLinClrLst/>
    <dgm:txFillClrLst meth="repeat">
      <a:schemeClr val="tx1"/>
    </dgm:txFillClrLst>
    <dgm:txEffectClrLst/>
  </dgm:styleLbl>
  <dgm:styleLbl name="parChTrans1D3">
    <dgm:fillClrLst meth="repeat">
      <a:schemeClr val="accent2">
        <a:tint val="70000"/>
      </a:schemeClr>
    </dgm:fillClrLst>
    <dgm:linClrLst meth="repeat">
      <a:schemeClr val="accent4"/>
    </dgm:linClrLst>
    <dgm:effectClrLst/>
    <dgm:txLinClrLst/>
    <dgm:txFillClrLst meth="repeat">
      <a:schemeClr val="tx1"/>
    </dgm:txFillClrLst>
    <dgm:txEffectClrLst/>
  </dgm:styleLbl>
  <dgm:styleLbl name="parChTrans1D4">
    <dgm:fillClrLst meth="repeat">
      <a:schemeClr val="accent2">
        <a:tint val="50000"/>
      </a:schemeClr>
    </dgm:fillClrLst>
    <dgm:linClrLst meth="repeat">
      <a:schemeClr val="accent5"/>
    </dgm:linClrLst>
    <dgm:effectClrLst/>
    <dgm:txLinClrLst/>
    <dgm:txFillClrLst meth="repeat">
      <a:schemeClr val="tx1"/>
    </dgm:txFillClrLst>
    <dgm:txEffectClrLst/>
  </dgm:styleLbl>
  <dgm:styleLbl name="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conF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align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2"/>
    </dgm:linClrLst>
    <dgm:effectClrLst/>
    <dgm:txLinClrLst/>
    <dgm:txFillClrLst meth="repeat">
      <a:schemeClr val="dk1"/>
    </dgm:txFillClrLst>
    <dgm:txEffectClrLst/>
  </dgm:styleLbl>
  <dgm:styleLbl name="bgAcc1">
    <dgm:fillClrLst meth="repeat">
      <a:schemeClr val="lt1">
        <a:alpha val="90000"/>
      </a:schemeClr>
    </dgm:fillClrLst>
    <dgm:linClrLst>
      <a:schemeClr val="accent2"/>
      <a:schemeClr val="accent3"/>
    </dgm:linClrLst>
    <dgm:effectClrLst/>
    <dgm:txLinClrLst/>
    <dgm:txFillClrLst meth="repeat">
      <a:schemeClr val="dk1"/>
    </dgm:txFillClrLst>
    <dgm:txEffectClrLst/>
  </dgm:styleLbl>
  <dgm:styleLbl name="solidFgAcc1">
    <dgm:fillClrLst meth="repeat">
      <a:schemeClr val="lt1"/>
    </dgm:fillClrLst>
    <dgm:linClrLst>
      <a:schemeClr val="accent2"/>
      <a:schemeClr val="accent3"/>
    </dgm:linClrLst>
    <dgm:effectClrLst/>
    <dgm:txLinClrLst/>
    <dgm:txFillClrLst meth="repeat">
      <a:schemeClr val="dk1"/>
    </dgm:txFillClrLst>
    <dgm:txEffectClrLst/>
  </dgm:styleLbl>
  <dgm:styleLbl name="solidAlignAcc1">
    <dgm:fillClrLst meth="repeat">
      <a:schemeClr val="lt1"/>
    </dgm:fillClrLst>
    <dgm:linClrLst>
      <a:schemeClr val="accent2"/>
      <a:schemeClr val="accent3"/>
    </dgm:linClrLst>
    <dgm:effectClrLst/>
    <dgm:txLinClrLst/>
    <dgm:txFillClrLst meth="repeat">
      <a:schemeClr val="dk1"/>
    </dgm:txFillClrLst>
    <dgm:txEffectClrLst/>
  </dgm:styleLbl>
  <dgm:styleLbl name="solidBgAcc1">
    <dgm:fillClrLst meth="repeat">
      <a:schemeClr val="lt1"/>
    </dgm:fillClrLst>
    <dgm:linClrLst>
      <a:schemeClr val="accent2"/>
      <a:schemeClr val="accent3"/>
    </dgm:linClrLst>
    <dgm:effectClrLst/>
    <dgm:txLinClrLst/>
    <dgm:txFillClrLst meth="repeat">
      <a:schemeClr val="dk1"/>
    </dgm:txFillClrLst>
    <dgm:txEffectClrLst/>
  </dgm:styleLbl>
  <dgm:styleLbl name="f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align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bgAccFollowNode1">
    <dgm:fillClrLst>
      <a:schemeClr val="accent2">
        <a:tint val="40000"/>
        <a:alpha val="90000"/>
      </a:schemeClr>
      <a:schemeClr val="accent3">
        <a:tint val="40000"/>
        <a:alpha val="90000"/>
      </a:schemeClr>
    </dgm:fillClrLst>
    <dgm:linClrLst>
      <a:schemeClr val="accent2">
        <a:tint val="40000"/>
        <a:alpha val="90000"/>
      </a:schemeClr>
      <a:schemeClr val="accent3">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3"/>
    </dgm:linClrLst>
    <dgm:effectClrLst/>
    <dgm:txLinClrLst/>
    <dgm:txFillClrLst meth="repeat">
      <a:schemeClr val="dk1"/>
    </dgm:txFillClrLst>
    <dgm:txEffectClrLst/>
  </dgm:styleLbl>
  <dgm:styleLbl name="fgAcc3">
    <dgm:fillClrLst meth="repeat">
      <a:schemeClr val="lt1">
        <a:alpha val="90000"/>
      </a:schemeClr>
    </dgm:fillClrLst>
    <dgm:linClrLst>
      <a:schemeClr val="accent4"/>
    </dgm:linClrLst>
    <dgm:effectClrLst/>
    <dgm:txLinClrLst/>
    <dgm:txFillClrLst meth="repeat">
      <a:schemeClr val="dk1"/>
    </dgm:txFillClrLst>
    <dgm:txEffectClrLst/>
  </dgm:styleLbl>
  <dgm:styleLbl name="fgAcc4">
    <dgm:fillClrLst meth="repeat">
      <a:schemeClr val="lt1">
        <a:alpha val="90000"/>
      </a:schemeClr>
    </dgm:fillClrLst>
    <dgm:linClrLst>
      <a:schemeClr val="accent5"/>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2">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9BBA3016-23BE-461E-B63B-77C5883F022D}" type="doc">
      <dgm:prSet loTypeId="urn:microsoft.com/office/officeart/2008/layout/AlternatingHexagons" loCatId="list" qsTypeId="urn:microsoft.com/office/officeart/2005/8/quickstyle/simple4" qsCatId="simple" csTypeId="urn:microsoft.com/office/officeart/2005/8/colors/colorful2" csCatId="colorful" phldr="1"/>
      <dgm:spPr/>
      <dgm:t>
        <a:bodyPr/>
        <a:lstStyle/>
        <a:p>
          <a:endParaRPr lang="es-CR"/>
        </a:p>
      </dgm:t>
    </dgm:pt>
    <dgm:pt modelId="{1174BA30-6C89-44D0-B5DF-ED87C1A64DE5}">
      <dgm:prSet phldrT="[Texto]"/>
      <dgm:spPr>
        <a:xfrm rot="5400000">
          <a:off x="2404550" y="56007"/>
          <a:ext cx="861658" cy="749642"/>
        </a:xfrm>
        <a:prstGeom prst="hexagon">
          <a:avLst>
            <a:gd name="adj" fmla="val 25000"/>
            <a:gd name="vf" fmla="val 11547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s-CR">
              <a:solidFill>
                <a:sysClr val="window" lastClr="FFFFFF"/>
              </a:solidFill>
              <a:latin typeface="Calibri"/>
              <a:ea typeface="+mn-ea"/>
              <a:cs typeface="+mn-cs"/>
            </a:rPr>
            <a:t>145 metas</a:t>
          </a:r>
        </a:p>
      </dgm:t>
    </dgm:pt>
    <dgm:pt modelId="{9C60FCA2-0FBE-4170-B51E-851EF5D138B0}" type="parTrans" cxnId="{ABFBD91B-2E5E-430B-8319-716BE7E1091F}">
      <dgm:prSet/>
      <dgm:spPr/>
      <dgm:t>
        <a:bodyPr/>
        <a:lstStyle/>
        <a:p>
          <a:endParaRPr lang="es-CR"/>
        </a:p>
      </dgm:t>
    </dgm:pt>
    <dgm:pt modelId="{6F438CD2-8B39-4027-B085-4C7E0243BC69}" type="sibTrans" cxnId="{ABFBD91B-2E5E-430B-8319-716BE7E1091F}">
      <dgm:prSet/>
      <dgm:spPr>
        <a:xfrm rot="5400000">
          <a:off x="1580370" y="85027"/>
          <a:ext cx="861658" cy="749642"/>
        </a:xfrm>
        <a:prstGeom prst="hexagon">
          <a:avLst>
            <a:gd name="adj" fmla="val 25000"/>
            <a:gd name="vf" fmla="val 115470"/>
          </a:avLst>
        </a:prstGeom>
        <a:gradFill rotWithShape="0">
          <a:gsLst>
            <a:gs pos="0">
              <a:srgbClr val="C0504D">
                <a:hueOff val="668788"/>
                <a:satOff val="-834"/>
                <a:lumOff val="196"/>
                <a:alphaOff val="0"/>
                <a:shade val="51000"/>
                <a:satMod val="130000"/>
              </a:srgbClr>
            </a:gs>
            <a:gs pos="80000">
              <a:srgbClr val="C0504D">
                <a:hueOff val="668788"/>
                <a:satOff val="-834"/>
                <a:lumOff val="196"/>
                <a:alphaOff val="0"/>
                <a:shade val="93000"/>
                <a:satMod val="130000"/>
              </a:srgbClr>
            </a:gs>
            <a:gs pos="100000">
              <a:srgbClr val="C0504D">
                <a:hueOff val="668788"/>
                <a:satOff val="-834"/>
                <a:lumOff val="196"/>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s-CR">
            <a:solidFill>
              <a:sysClr val="window" lastClr="FFFFFF"/>
            </a:solidFill>
            <a:latin typeface="Calibri"/>
            <a:ea typeface="+mn-ea"/>
            <a:cs typeface="+mn-cs"/>
          </a:endParaRPr>
        </a:p>
      </dgm:t>
    </dgm:pt>
    <dgm:pt modelId="{67E77016-162A-4A53-9BFA-0E78FDEEE9F4}">
      <dgm:prSet phldrT="[Texto]"/>
      <dgm:spPr>
        <a:xfrm rot="5400000">
          <a:off x="2434727" y="1519568"/>
          <a:ext cx="861658" cy="749642"/>
        </a:xfrm>
        <a:prstGeom prst="hexagon">
          <a:avLst>
            <a:gd name="adj" fmla="val 25000"/>
            <a:gd name="vf" fmla="val 115470"/>
          </a:avLst>
        </a:prstGeom>
        <a:gradFill rotWithShape="0">
          <a:gsLst>
            <a:gs pos="0">
              <a:srgbClr val="C0504D">
                <a:hueOff val="2675154"/>
                <a:satOff val="-3337"/>
                <a:lumOff val="785"/>
                <a:alphaOff val="0"/>
                <a:shade val="51000"/>
                <a:satMod val="130000"/>
              </a:srgbClr>
            </a:gs>
            <a:gs pos="80000">
              <a:srgbClr val="C0504D">
                <a:hueOff val="2675154"/>
                <a:satOff val="-3337"/>
                <a:lumOff val="785"/>
                <a:alphaOff val="0"/>
                <a:shade val="93000"/>
                <a:satMod val="130000"/>
              </a:srgbClr>
            </a:gs>
            <a:gs pos="100000">
              <a:srgbClr val="C0504D">
                <a:hueOff val="2675154"/>
                <a:satOff val="-3337"/>
                <a:lumOff val="785"/>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s-CR">
              <a:solidFill>
                <a:sysClr val="window" lastClr="FFFFFF"/>
              </a:solidFill>
              <a:latin typeface="Calibri"/>
              <a:ea typeface="+mn-ea"/>
              <a:cs typeface="+mn-cs"/>
            </a:rPr>
            <a:t>302 metas</a:t>
          </a:r>
        </a:p>
      </dgm:t>
    </dgm:pt>
    <dgm:pt modelId="{80C5A804-F746-440F-91DD-305089983C52}" type="parTrans" cxnId="{EA3600EE-E252-401D-AF45-D52D4B4D0616}">
      <dgm:prSet/>
      <dgm:spPr/>
      <dgm:t>
        <a:bodyPr/>
        <a:lstStyle/>
        <a:p>
          <a:endParaRPr lang="es-CR"/>
        </a:p>
      </dgm:t>
    </dgm:pt>
    <dgm:pt modelId="{1DAA911E-3457-4D49-B63C-E41167D54CEE}" type="sibTrans" cxnId="{EA3600EE-E252-401D-AF45-D52D4B4D0616}">
      <dgm:prSet/>
      <dgm:spPr>
        <a:xfrm rot="5400000">
          <a:off x="1625113" y="1519568"/>
          <a:ext cx="861658" cy="749642"/>
        </a:xfrm>
        <a:prstGeom prst="hexagon">
          <a:avLst>
            <a:gd name="adj" fmla="val 25000"/>
            <a:gd name="vf" fmla="val 115470"/>
          </a:avLst>
        </a:prstGeom>
        <a:gradFill rotWithShape="0">
          <a:gsLst>
            <a:gs pos="0">
              <a:srgbClr val="C0504D">
                <a:hueOff val="3343942"/>
                <a:satOff val="-4171"/>
                <a:lumOff val="981"/>
                <a:alphaOff val="0"/>
                <a:shade val="51000"/>
                <a:satMod val="130000"/>
              </a:srgbClr>
            </a:gs>
            <a:gs pos="80000">
              <a:srgbClr val="C0504D">
                <a:hueOff val="3343942"/>
                <a:satOff val="-4171"/>
                <a:lumOff val="981"/>
                <a:alphaOff val="0"/>
                <a:shade val="93000"/>
                <a:satMod val="130000"/>
              </a:srgbClr>
            </a:gs>
            <a:gs pos="100000">
              <a:srgbClr val="C0504D">
                <a:hueOff val="3343942"/>
                <a:satOff val="-4171"/>
                <a:lumOff val="981"/>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s-CR">
            <a:solidFill>
              <a:sysClr val="window" lastClr="FFFFFF"/>
            </a:solidFill>
            <a:latin typeface="Calibri"/>
            <a:ea typeface="+mn-ea"/>
            <a:cs typeface="+mn-cs"/>
          </a:endParaRPr>
        </a:p>
      </dgm:t>
    </dgm:pt>
    <dgm:pt modelId="{31DEBB3E-734B-4BE2-A846-E021ADA9ABED}">
      <dgm:prSet phldrT="[Texto]"/>
      <dgm:spPr>
        <a:xfrm rot="5400000">
          <a:off x="2028369" y="2250944"/>
          <a:ext cx="861658" cy="749642"/>
        </a:xfrm>
        <a:prstGeom prst="hexagon">
          <a:avLst>
            <a:gd name="adj" fmla="val 25000"/>
            <a:gd name="vf" fmla="val 115470"/>
          </a:avLst>
        </a:prstGeom>
        <a:gradFill rotWithShape="0">
          <a:gsLst>
            <a:gs pos="0">
              <a:srgbClr val="C0504D">
                <a:hueOff val="4012731"/>
                <a:satOff val="-5005"/>
                <a:lumOff val="1177"/>
                <a:alphaOff val="0"/>
                <a:shade val="51000"/>
                <a:satMod val="130000"/>
              </a:srgbClr>
            </a:gs>
            <a:gs pos="80000">
              <a:srgbClr val="C0504D">
                <a:hueOff val="4012731"/>
                <a:satOff val="-5005"/>
                <a:lumOff val="1177"/>
                <a:alphaOff val="0"/>
                <a:shade val="93000"/>
                <a:satMod val="130000"/>
              </a:srgbClr>
            </a:gs>
            <a:gs pos="100000">
              <a:srgbClr val="C0504D">
                <a:hueOff val="4012731"/>
                <a:satOff val="-5005"/>
                <a:lumOff val="1177"/>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s-CR">
              <a:solidFill>
                <a:sysClr val="window" lastClr="FFFFFF"/>
              </a:solidFill>
              <a:latin typeface="Calibri"/>
              <a:ea typeface="+mn-ea"/>
              <a:cs typeface="+mn-cs"/>
            </a:rPr>
            <a:t>3000 metas</a:t>
          </a:r>
        </a:p>
      </dgm:t>
    </dgm:pt>
    <dgm:pt modelId="{5937E6DB-3237-4805-B47C-6E4D0B0C58FF}" type="parTrans" cxnId="{1C2B4FAC-62FA-49DF-9787-ECFA42EA83D9}">
      <dgm:prSet/>
      <dgm:spPr/>
      <dgm:t>
        <a:bodyPr/>
        <a:lstStyle/>
        <a:p>
          <a:endParaRPr lang="es-CR"/>
        </a:p>
      </dgm:t>
    </dgm:pt>
    <dgm:pt modelId="{7072F05B-8E18-49EC-9F30-437506AFB179}" type="sibTrans" cxnId="{1C2B4FAC-62FA-49DF-9787-ECFA42EA83D9}">
      <dgm:prSet/>
      <dgm:spPr>
        <a:xfrm rot="5400000">
          <a:off x="2837984" y="2250944"/>
          <a:ext cx="861658" cy="749642"/>
        </a:xfrm>
        <a:prstGeom prst="hexagon">
          <a:avLst>
            <a:gd name="adj" fmla="val 25000"/>
            <a:gd name="vf" fmla="val 115470"/>
          </a:avLst>
        </a:prstGeom>
        <a:gradFill rotWithShape="0">
          <a:gsLst>
            <a:gs pos="0">
              <a:srgbClr val="C0504D">
                <a:hueOff val="4681519"/>
                <a:satOff val="-5839"/>
                <a:lumOff val="1373"/>
                <a:alphaOff val="0"/>
                <a:shade val="51000"/>
                <a:satMod val="130000"/>
              </a:srgbClr>
            </a:gs>
            <a:gs pos="80000">
              <a:srgbClr val="C0504D">
                <a:hueOff val="4681519"/>
                <a:satOff val="-5839"/>
                <a:lumOff val="1373"/>
                <a:alphaOff val="0"/>
                <a:shade val="93000"/>
                <a:satMod val="130000"/>
              </a:srgbClr>
            </a:gs>
            <a:gs pos="100000">
              <a:srgbClr val="C0504D">
                <a:hueOff val="4681519"/>
                <a:satOff val="-5839"/>
                <a:lumOff val="1373"/>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s-CR">
            <a:solidFill>
              <a:sysClr val="window" lastClr="FFFFFF"/>
            </a:solidFill>
            <a:latin typeface="Calibri"/>
            <a:ea typeface="+mn-ea"/>
            <a:cs typeface="+mn-cs"/>
          </a:endParaRPr>
        </a:p>
      </dgm:t>
    </dgm:pt>
    <dgm:pt modelId="{114D3707-AF58-48FD-861C-1543BB5888AC}">
      <dgm:prSet/>
      <dgm:spPr>
        <a:xfrm rot="5400000">
          <a:off x="2028369" y="788192"/>
          <a:ext cx="861658" cy="749642"/>
        </a:xfrm>
        <a:prstGeom prst="hexagon">
          <a:avLst>
            <a:gd name="adj" fmla="val 25000"/>
            <a:gd name="vf" fmla="val 115470"/>
          </a:avLst>
        </a:prstGeom>
        <a:gradFill rotWithShape="0">
          <a:gsLst>
            <a:gs pos="0">
              <a:srgbClr val="C0504D">
                <a:hueOff val="1337577"/>
                <a:satOff val="-1668"/>
                <a:lumOff val="392"/>
                <a:alphaOff val="0"/>
                <a:shade val="51000"/>
                <a:satMod val="130000"/>
              </a:srgbClr>
            </a:gs>
            <a:gs pos="80000">
              <a:srgbClr val="C0504D">
                <a:hueOff val="1337577"/>
                <a:satOff val="-1668"/>
                <a:lumOff val="392"/>
                <a:alphaOff val="0"/>
                <a:shade val="93000"/>
                <a:satMod val="130000"/>
              </a:srgbClr>
            </a:gs>
            <a:gs pos="100000">
              <a:srgbClr val="C0504D">
                <a:hueOff val="1337577"/>
                <a:satOff val="-1668"/>
                <a:lumOff val="392"/>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r>
            <a:rPr lang="es-CR">
              <a:solidFill>
                <a:sysClr val="window" lastClr="FFFFFF"/>
              </a:solidFill>
              <a:latin typeface="Calibri"/>
              <a:ea typeface="+mn-ea"/>
              <a:cs typeface="+mn-cs"/>
            </a:rPr>
            <a:t>187 metas</a:t>
          </a:r>
        </a:p>
      </dgm:t>
    </dgm:pt>
    <dgm:pt modelId="{2697C09D-1040-4196-91A2-D84CC1CAF96B}" type="parTrans" cxnId="{D27B69A6-BE2C-46FB-9A3B-E06DF304FB83}">
      <dgm:prSet/>
      <dgm:spPr/>
      <dgm:t>
        <a:bodyPr/>
        <a:lstStyle/>
        <a:p>
          <a:endParaRPr lang="es-CR"/>
        </a:p>
      </dgm:t>
    </dgm:pt>
    <dgm:pt modelId="{BBEEFF7D-AF1A-4EB5-94F0-0A8B2D87F602}" type="sibTrans" cxnId="{D27B69A6-BE2C-46FB-9A3B-E06DF304FB83}">
      <dgm:prSet/>
      <dgm:spPr>
        <a:xfrm rot="5400000">
          <a:off x="2837984" y="788192"/>
          <a:ext cx="861658" cy="749642"/>
        </a:xfrm>
        <a:prstGeom prst="hexagon">
          <a:avLst>
            <a:gd name="adj" fmla="val 25000"/>
            <a:gd name="vf" fmla="val 115470"/>
          </a:avLst>
        </a:prstGeom>
        <a:gradFill rotWithShape="0">
          <a:gsLst>
            <a:gs pos="0">
              <a:srgbClr val="C0504D">
                <a:hueOff val="2006365"/>
                <a:satOff val="-2502"/>
                <a:lumOff val="588"/>
                <a:alphaOff val="0"/>
                <a:shade val="51000"/>
                <a:satMod val="130000"/>
              </a:srgbClr>
            </a:gs>
            <a:gs pos="80000">
              <a:srgbClr val="C0504D">
                <a:hueOff val="2006365"/>
                <a:satOff val="-2502"/>
                <a:lumOff val="588"/>
                <a:alphaOff val="0"/>
                <a:shade val="93000"/>
                <a:satMod val="130000"/>
              </a:srgbClr>
            </a:gs>
            <a:gs pos="100000">
              <a:srgbClr val="C0504D">
                <a:hueOff val="2006365"/>
                <a:satOff val="-2502"/>
                <a:lumOff val="588"/>
                <a:alphaOff val="0"/>
                <a:shade val="94000"/>
                <a:satMod val="135000"/>
              </a:srgbClr>
            </a:gs>
          </a:gsLst>
          <a:lin ang="16200000" scaled="0"/>
        </a:gradFill>
        <a:ln>
          <a:noFill/>
        </a:ln>
        <a:effectLst>
          <a:outerShdw blurRad="40000" dist="23000" dir="5400000" rotWithShape="0">
            <a:srgbClr val="000000">
              <a:alpha val="35000"/>
            </a:srgbClr>
          </a:outerShdw>
        </a:effectLst>
      </dgm:spPr>
      <dgm:t>
        <a:bodyPr/>
        <a:lstStyle/>
        <a:p>
          <a:pPr>
            <a:buNone/>
          </a:pPr>
          <a:endParaRPr lang="es-CR">
            <a:solidFill>
              <a:sysClr val="window" lastClr="FFFFFF"/>
            </a:solidFill>
            <a:latin typeface="Calibri"/>
            <a:ea typeface="+mn-ea"/>
            <a:cs typeface="+mn-cs"/>
          </a:endParaRPr>
        </a:p>
      </dgm:t>
    </dgm:pt>
    <dgm:pt modelId="{C72388E2-2731-4A1C-89E6-B915A2CD1FE9}" type="pres">
      <dgm:prSet presAssocID="{9BBA3016-23BE-461E-B63B-77C5883F022D}" presName="Name0" presStyleCnt="0">
        <dgm:presLayoutVars>
          <dgm:chMax/>
          <dgm:chPref/>
          <dgm:dir/>
          <dgm:animLvl val="lvl"/>
        </dgm:presLayoutVars>
      </dgm:prSet>
      <dgm:spPr/>
    </dgm:pt>
    <dgm:pt modelId="{E7AFC4A9-2A42-400D-ABBF-0D4126115D46}" type="pres">
      <dgm:prSet presAssocID="{1174BA30-6C89-44D0-B5DF-ED87C1A64DE5}" presName="composite" presStyleCnt="0"/>
      <dgm:spPr/>
    </dgm:pt>
    <dgm:pt modelId="{38F521FE-A417-454B-8D23-3F4F41B84C9D}" type="pres">
      <dgm:prSet presAssocID="{1174BA30-6C89-44D0-B5DF-ED87C1A64DE5}" presName="Parent1" presStyleLbl="node1" presStyleIdx="0" presStyleCnt="8" custLinFactNeighborX="18128" custLinFactNeighborY="-1232">
        <dgm:presLayoutVars>
          <dgm:chMax val="1"/>
          <dgm:chPref val="1"/>
          <dgm:bulletEnabled val="1"/>
        </dgm:presLayoutVars>
      </dgm:prSet>
      <dgm:spPr/>
    </dgm:pt>
    <dgm:pt modelId="{44A6193E-13BF-4107-9738-F1586A86ADF1}" type="pres">
      <dgm:prSet presAssocID="{1174BA30-6C89-44D0-B5DF-ED87C1A64DE5}" presName="Childtext1" presStyleLbl="revTx" presStyleIdx="0" presStyleCnt="4" custScaleX="169081" custLinFactNeighborX="49568" custLinFactNeighborY="-4694">
        <dgm:presLayoutVars>
          <dgm:chMax val="0"/>
          <dgm:chPref val="0"/>
          <dgm:bulletEnabled val="1"/>
        </dgm:presLayoutVars>
      </dgm:prSet>
      <dgm:spPr>
        <a:xfrm>
          <a:off x="3241559" y="148873"/>
          <a:ext cx="1625901" cy="516995"/>
        </a:xfrm>
        <a:prstGeom prst="rect">
          <a:avLst/>
        </a:prstGeom>
        <a:noFill/>
        <a:ln>
          <a:noFill/>
        </a:ln>
        <a:effectLst/>
      </dgm:spPr>
    </dgm:pt>
    <dgm:pt modelId="{66E58C49-E4CA-4A36-8433-9C076719578C}" type="pres">
      <dgm:prSet presAssocID="{1174BA30-6C89-44D0-B5DF-ED87C1A64DE5}" presName="BalanceSpacing" presStyleCnt="0"/>
      <dgm:spPr/>
    </dgm:pt>
    <dgm:pt modelId="{D3AD65F0-BA0A-497A-9ADA-C833454877E3}" type="pres">
      <dgm:prSet presAssocID="{1174BA30-6C89-44D0-B5DF-ED87C1A64DE5}" presName="BalanceSpacing1" presStyleCnt="0"/>
      <dgm:spPr/>
    </dgm:pt>
    <dgm:pt modelId="{AC0FD01D-FD1F-4AAC-A9D0-04068850C472}" type="pres">
      <dgm:prSet presAssocID="{6F438CD2-8B39-4027-B085-4C7E0243BC69}" presName="Accent1Text" presStyleLbl="node1" presStyleIdx="1" presStyleCnt="8" custLinFactNeighborX="16185" custLinFactNeighborY="3274"/>
      <dgm:spPr/>
    </dgm:pt>
    <dgm:pt modelId="{50F0F670-D6D0-41F4-A6BE-A378BF51F2C9}" type="pres">
      <dgm:prSet presAssocID="{6F438CD2-8B39-4027-B085-4C7E0243BC69}" presName="spaceBetweenRectangles" presStyleCnt="0"/>
      <dgm:spPr/>
    </dgm:pt>
    <dgm:pt modelId="{0C2A9B48-DDC9-44F3-905B-93F9DC15639C}" type="pres">
      <dgm:prSet presAssocID="{114D3707-AF58-48FD-861C-1543BB5888AC}" presName="composite" presStyleCnt="0"/>
      <dgm:spPr/>
    </dgm:pt>
    <dgm:pt modelId="{8E0C9894-14D8-429A-98C9-E3F2C5EDEEC3}" type="pres">
      <dgm:prSet presAssocID="{114D3707-AF58-48FD-861C-1543BB5888AC}" presName="Parent1" presStyleLbl="node1" presStyleIdx="2" presStyleCnt="8">
        <dgm:presLayoutVars>
          <dgm:chMax val="1"/>
          <dgm:chPref val="1"/>
          <dgm:bulletEnabled val="1"/>
        </dgm:presLayoutVars>
      </dgm:prSet>
      <dgm:spPr/>
    </dgm:pt>
    <dgm:pt modelId="{ABA6E344-F390-4818-A1FE-91B4D22C1734}" type="pres">
      <dgm:prSet presAssocID="{114D3707-AF58-48FD-861C-1543BB5888AC}" presName="Childtext1" presStyleLbl="revTx" presStyleIdx="1" presStyleCnt="4">
        <dgm:presLayoutVars>
          <dgm:chMax val="0"/>
          <dgm:chPref val="0"/>
          <dgm:bulletEnabled val="1"/>
        </dgm:presLayoutVars>
      </dgm:prSet>
      <dgm:spPr>
        <a:xfrm>
          <a:off x="1122766" y="904516"/>
          <a:ext cx="930591" cy="516995"/>
        </a:xfrm>
        <a:prstGeom prst="rect">
          <a:avLst/>
        </a:prstGeom>
        <a:noFill/>
        <a:ln>
          <a:noFill/>
        </a:ln>
        <a:effectLst/>
      </dgm:spPr>
    </dgm:pt>
    <dgm:pt modelId="{42C47CDF-6DCF-4493-820C-37C513696D23}" type="pres">
      <dgm:prSet presAssocID="{114D3707-AF58-48FD-861C-1543BB5888AC}" presName="BalanceSpacing" presStyleCnt="0"/>
      <dgm:spPr/>
    </dgm:pt>
    <dgm:pt modelId="{F5C61745-1A1D-4382-85D5-B1727FE02744}" type="pres">
      <dgm:prSet presAssocID="{114D3707-AF58-48FD-861C-1543BB5888AC}" presName="BalanceSpacing1" presStyleCnt="0"/>
      <dgm:spPr/>
    </dgm:pt>
    <dgm:pt modelId="{2E685358-2504-4303-9CE3-D4CB5CC0D0DF}" type="pres">
      <dgm:prSet presAssocID="{BBEEFF7D-AF1A-4EB5-94F0-0A8B2D87F602}" presName="Accent1Text" presStyleLbl="node1" presStyleIdx="3" presStyleCnt="8"/>
      <dgm:spPr/>
    </dgm:pt>
    <dgm:pt modelId="{87B5DC33-0F46-4088-9871-D37697D2ACFA}" type="pres">
      <dgm:prSet presAssocID="{BBEEFF7D-AF1A-4EB5-94F0-0A8B2D87F602}" presName="spaceBetweenRectangles" presStyleCnt="0"/>
      <dgm:spPr/>
    </dgm:pt>
    <dgm:pt modelId="{DFA5BC8B-277E-48BE-A76D-24B2819DAA35}" type="pres">
      <dgm:prSet presAssocID="{67E77016-162A-4A53-9BFA-0E78FDEEE9F4}" presName="composite" presStyleCnt="0"/>
      <dgm:spPr/>
    </dgm:pt>
    <dgm:pt modelId="{91B2E3ED-A37E-4985-9650-88933F9710AB}" type="pres">
      <dgm:prSet presAssocID="{67E77016-162A-4A53-9BFA-0E78FDEEE9F4}" presName="Parent1" presStyleLbl="node1" presStyleIdx="4" presStyleCnt="8">
        <dgm:presLayoutVars>
          <dgm:chMax val="1"/>
          <dgm:chPref val="1"/>
          <dgm:bulletEnabled val="1"/>
        </dgm:presLayoutVars>
      </dgm:prSet>
      <dgm:spPr/>
    </dgm:pt>
    <dgm:pt modelId="{839AE4EC-1EF1-4894-B2DC-AFC33CD27721}" type="pres">
      <dgm:prSet presAssocID="{67E77016-162A-4A53-9BFA-0E78FDEEE9F4}" presName="Childtext1" presStyleLbl="revTx" presStyleIdx="2" presStyleCnt="4">
        <dgm:presLayoutVars>
          <dgm:chMax val="0"/>
          <dgm:chPref val="0"/>
          <dgm:bulletEnabled val="1"/>
        </dgm:presLayoutVars>
      </dgm:prSet>
      <dgm:spPr>
        <a:xfrm>
          <a:off x="3263126" y="1635892"/>
          <a:ext cx="961610" cy="516995"/>
        </a:xfrm>
        <a:prstGeom prst="rect">
          <a:avLst/>
        </a:prstGeom>
        <a:noFill/>
        <a:ln>
          <a:noFill/>
        </a:ln>
        <a:effectLst/>
      </dgm:spPr>
    </dgm:pt>
    <dgm:pt modelId="{FA734F2E-DFE0-467B-A803-F96CB1C4255C}" type="pres">
      <dgm:prSet presAssocID="{67E77016-162A-4A53-9BFA-0E78FDEEE9F4}" presName="BalanceSpacing" presStyleCnt="0"/>
      <dgm:spPr/>
    </dgm:pt>
    <dgm:pt modelId="{CB020798-5D93-4D90-AFE6-E2291C4D466C}" type="pres">
      <dgm:prSet presAssocID="{67E77016-162A-4A53-9BFA-0E78FDEEE9F4}" presName="BalanceSpacing1" presStyleCnt="0"/>
      <dgm:spPr/>
    </dgm:pt>
    <dgm:pt modelId="{12CD4370-4EC8-4E0C-B268-6D69C37E1AE3}" type="pres">
      <dgm:prSet presAssocID="{1DAA911E-3457-4D49-B63C-E41167D54CEE}" presName="Accent1Text" presStyleLbl="node1" presStyleIdx="5" presStyleCnt="8"/>
      <dgm:spPr/>
    </dgm:pt>
    <dgm:pt modelId="{4EA2B37D-DD9A-428B-BBB6-E2F33877D34C}" type="pres">
      <dgm:prSet presAssocID="{1DAA911E-3457-4D49-B63C-E41167D54CEE}" presName="spaceBetweenRectangles" presStyleCnt="0"/>
      <dgm:spPr/>
    </dgm:pt>
    <dgm:pt modelId="{2339EEAC-7101-4971-AB80-4C0AD675A90F}" type="pres">
      <dgm:prSet presAssocID="{31DEBB3E-734B-4BE2-A846-E021ADA9ABED}" presName="composite" presStyleCnt="0"/>
      <dgm:spPr/>
    </dgm:pt>
    <dgm:pt modelId="{26BC1D26-273F-4BEE-B38B-C61EBBEC3623}" type="pres">
      <dgm:prSet presAssocID="{31DEBB3E-734B-4BE2-A846-E021ADA9ABED}" presName="Parent1" presStyleLbl="node1" presStyleIdx="6" presStyleCnt="8">
        <dgm:presLayoutVars>
          <dgm:chMax val="1"/>
          <dgm:chPref val="1"/>
          <dgm:bulletEnabled val="1"/>
        </dgm:presLayoutVars>
      </dgm:prSet>
      <dgm:spPr/>
    </dgm:pt>
    <dgm:pt modelId="{047167EC-1105-4839-AE16-105C840EFB2E}" type="pres">
      <dgm:prSet presAssocID="{31DEBB3E-734B-4BE2-A846-E021ADA9ABED}" presName="Childtext1" presStyleLbl="revTx" presStyleIdx="3" presStyleCnt="4">
        <dgm:presLayoutVars>
          <dgm:chMax val="0"/>
          <dgm:chPref val="0"/>
          <dgm:bulletEnabled val="1"/>
        </dgm:presLayoutVars>
      </dgm:prSet>
      <dgm:spPr>
        <a:xfrm>
          <a:off x="1122766" y="2367267"/>
          <a:ext cx="930591" cy="516995"/>
        </a:xfrm>
        <a:prstGeom prst="rect">
          <a:avLst/>
        </a:prstGeom>
        <a:noFill/>
        <a:ln>
          <a:noFill/>
        </a:ln>
        <a:effectLst/>
      </dgm:spPr>
    </dgm:pt>
    <dgm:pt modelId="{0FA4016F-9E20-4D94-ABF8-B275B12F0440}" type="pres">
      <dgm:prSet presAssocID="{31DEBB3E-734B-4BE2-A846-E021ADA9ABED}" presName="BalanceSpacing" presStyleCnt="0"/>
      <dgm:spPr/>
    </dgm:pt>
    <dgm:pt modelId="{2BC3FC70-4F9E-4F44-A9AD-06944CC49334}" type="pres">
      <dgm:prSet presAssocID="{31DEBB3E-734B-4BE2-A846-E021ADA9ABED}" presName="BalanceSpacing1" presStyleCnt="0"/>
      <dgm:spPr/>
    </dgm:pt>
    <dgm:pt modelId="{75FBA5E9-2A9F-4D8A-BA70-F0FDD4FE1FE5}" type="pres">
      <dgm:prSet presAssocID="{7072F05B-8E18-49EC-9F30-437506AFB179}" presName="Accent1Text" presStyleLbl="node1" presStyleIdx="7" presStyleCnt="8"/>
      <dgm:spPr/>
    </dgm:pt>
  </dgm:ptLst>
  <dgm:cxnLst>
    <dgm:cxn modelId="{ABFBD91B-2E5E-430B-8319-716BE7E1091F}" srcId="{9BBA3016-23BE-461E-B63B-77C5883F022D}" destId="{1174BA30-6C89-44D0-B5DF-ED87C1A64DE5}" srcOrd="0" destOrd="0" parTransId="{9C60FCA2-0FBE-4170-B51E-851EF5D138B0}" sibTransId="{6F438CD2-8B39-4027-B085-4C7E0243BC69}"/>
    <dgm:cxn modelId="{791C9425-29F1-408B-8A01-EFB6ED6C61A7}" type="presOf" srcId="{67E77016-162A-4A53-9BFA-0E78FDEEE9F4}" destId="{91B2E3ED-A37E-4985-9650-88933F9710AB}" srcOrd="0" destOrd="0" presId="urn:microsoft.com/office/officeart/2008/layout/AlternatingHexagons"/>
    <dgm:cxn modelId="{32FB6A64-5861-4135-8952-DA5F1150A0BC}" type="presOf" srcId="{1DAA911E-3457-4D49-B63C-E41167D54CEE}" destId="{12CD4370-4EC8-4E0C-B268-6D69C37E1AE3}" srcOrd="0" destOrd="0" presId="urn:microsoft.com/office/officeart/2008/layout/AlternatingHexagons"/>
    <dgm:cxn modelId="{94773C49-CE90-4CEB-85AE-EA3DA53BE164}" type="presOf" srcId="{9BBA3016-23BE-461E-B63B-77C5883F022D}" destId="{C72388E2-2731-4A1C-89E6-B915A2CD1FE9}" srcOrd="0" destOrd="0" presId="urn:microsoft.com/office/officeart/2008/layout/AlternatingHexagons"/>
    <dgm:cxn modelId="{14257054-D58C-4D72-8C4D-1B2EFBC7F1F6}" type="presOf" srcId="{6F438CD2-8B39-4027-B085-4C7E0243BC69}" destId="{AC0FD01D-FD1F-4AAC-A9D0-04068850C472}" srcOrd="0" destOrd="0" presId="urn:microsoft.com/office/officeart/2008/layout/AlternatingHexagons"/>
    <dgm:cxn modelId="{CBDE457C-1AF4-4FAD-A0FB-4E61917D0F23}" type="presOf" srcId="{114D3707-AF58-48FD-861C-1543BB5888AC}" destId="{8E0C9894-14D8-429A-98C9-E3F2C5EDEEC3}" srcOrd="0" destOrd="0" presId="urn:microsoft.com/office/officeart/2008/layout/AlternatingHexagons"/>
    <dgm:cxn modelId="{DA6B737C-17B4-4A1C-A301-1492D6F72368}" type="presOf" srcId="{1174BA30-6C89-44D0-B5DF-ED87C1A64DE5}" destId="{38F521FE-A417-454B-8D23-3F4F41B84C9D}" srcOrd="0" destOrd="0" presId="urn:microsoft.com/office/officeart/2008/layout/AlternatingHexagons"/>
    <dgm:cxn modelId="{1A13B692-C097-421A-B1C5-299F9CE37BE1}" type="presOf" srcId="{7072F05B-8E18-49EC-9F30-437506AFB179}" destId="{75FBA5E9-2A9F-4D8A-BA70-F0FDD4FE1FE5}" srcOrd="0" destOrd="0" presId="urn:microsoft.com/office/officeart/2008/layout/AlternatingHexagons"/>
    <dgm:cxn modelId="{D27B69A6-BE2C-46FB-9A3B-E06DF304FB83}" srcId="{9BBA3016-23BE-461E-B63B-77C5883F022D}" destId="{114D3707-AF58-48FD-861C-1543BB5888AC}" srcOrd="1" destOrd="0" parTransId="{2697C09D-1040-4196-91A2-D84CC1CAF96B}" sibTransId="{BBEEFF7D-AF1A-4EB5-94F0-0A8B2D87F602}"/>
    <dgm:cxn modelId="{1C2B4FAC-62FA-49DF-9787-ECFA42EA83D9}" srcId="{9BBA3016-23BE-461E-B63B-77C5883F022D}" destId="{31DEBB3E-734B-4BE2-A846-E021ADA9ABED}" srcOrd="3" destOrd="0" parTransId="{5937E6DB-3237-4805-B47C-6E4D0B0C58FF}" sibTransId="{7072F05B-8E18-49EC-9F30-437506AFB179}"/>
    <dgm:cxn modelId="{F3C1FECD-EFB9-430D-963E-E0965C986EC3}" type="presOf" srcId="{BBEEFF7D-AF1A-4EB5-94F0-0A8B2D87F602}" destId="{2E685358-2504-4303-9CE3-D4CB5CC0D0DF}" srcOrd="0" destOrd="0" presId="urn:microsoft.com/office/officeart/2008/layout/AlternatingHexagons"/>
    <dgm:cxn modelId="{B02F83DD-5434-4E2D-BE5D-F010046F468A}" type="presOf" srcId="{31DEBB3E-734B-4BE2-A846-E021ADA9ABED}" destId="{26BC1D26-273F-4BEE-B38B-C61EBBEC3623}" srcOrd="0" destOrd="0" presId="urn:microsoft.com/office/officeart/2008/layout/AlternatingHexagons"/>
    <dgm:cxn modelId="{EA3600EE-E252-401D-AF45-D52D4B4D0616}" srcId="{9BBA3016-23BE-461E-B63B-77C5883F022D}" destId="{67E77016-162A-4A53-9BFA-0E78FDEEE9F4}" srcOrd="2" destOrd="0" parTransId="{80C5A804-F746-440F-91DD-305089983C52}" sibTransId="{1DAA911E-3457-4D49-B63C-E41167D54CEE}"/>
    <dgm:cxn modelId="{C1E7F0AC-A912-4C39-882E-8B25AAD01EAC}" type="presParOf" srcId="{C72388E2-2731-4A1C-89E6-B915A2CD1FE9}" destId="{E7AFC4A9-2A42-400D-ABBF-0D4126115D46}" srcOrd="0" destOrd="0" presId="urn:microsoft.com/office/officeart/2008/layout/AlternatingHexagons"/>
    <dgm:cxn modelId="{B99489F0-34E7-4EFE-BBC8-171AE269D401}" type="presParOf" srcId="{E7AFC4A9-2A42-400D-ABBF-0D4126115D46}" destId="{38F521FE-A417-454B-8D23-3F4F41B84C9D}" srcOrd="0" destOrd="0" presId="urn:microsoft.com/office/officeart/2008/layout/AlternatingHexagons"/>
    <dgm:cxn modelId="{E1779EB5-B6F0-4072-B6BE-B7DF5C849B5C}" type="presParOf" srcId="{E7AFC4A9-2A42-400D-ABBF-0D4126115D46}" destId="{44A6193E-13BF-4107-9738-F1586A86ADF1}" srcOrd="1" destOrd="0" presId="urn:microsoft.com/office/officeart/2008/layout/AlternatingHexagons"/>
    <dgm:cxn modelId="{324C5642-9805-4DFC-9CE0-19223D243EA2}" type="presParOf" srcId="{E7AFC4A9-2A42-400D-ABBF-0D4126115D46}" destId="{66E58C49-E4CA-4A36-8433-9C076719578C}" srcOrd="2" destOrd="0" presId="urn:microsoft.com/office/officeart/2008/layout/AlternatingHexagons"/>
    <dgm:cxn modelId="{CCAAAB8B-6160-42C4-9B62-D7AD6EF2F18E}" type="presParOf" srcId="{E7AFC4A9-2A42-400D-ABBF-0D4126115D46}" destId="{D3AD65F0-BA0A-497A-9ADA-C833454877E3}" srcOrd="3" destOrd="0" presId="urn:microsoft.com/office/officeart/2008/layout/AlternatingHexagons"/>
    <dgm:cxn modelId="{89B8E0B9-AD9E-4593-A9E1-FF2C20444373}" type="presParOf" srcId="{E7AFC4A9-2A42-400D-ABBF-0D4126115D46}" destId="{AC0FD01D-FD1F-4AAC-A9D0-04068850C472}" srcOrd="4" destOrd="0" presId="urn:microsoft.com/office/officeart/2008/layout/AlternatingHexagons"/>
    <dgm:cxn modelId="{D33A8942-081E-4AE4-8BEF-0A4C97058730}" type="presParOf" srcId="{C72388E2-2731-4A1C-89E6-B915A2CD1FE9}" destId="{50F0F670-D6D0-41F4-A6BE-A378BF51F2C9}" srcOrd="1" destOrd="0" presId="urn:microsoft.com/office/officeart/2008/layout/AlternatingHexagons"/>
    <dgm:cxn modelId="{A5948E0E-2F75-4B4E-BCAB-DC50E93E895F}" type="presParOf" srcId="{C72388E2-2731-4A1C-89E6-B915A2CD1FE9}" destId="{0C2A9B48-DDC9-44F3-905B-93F9DC15639C}" srcOrd="2" destOrd="0" presId="urn:microsoft.com/office/officeart/2008/layout/AlternatingHexagons"/>
    <dgm:cxn modelId="{32F55451-883E-44F0-8388-3D26B9E6D5CA}" type="presParOf" srcId="{0C2A9B48-DDC9-44F3-905B-93F9DC15639C}" destId="{8E0C9894-14D8-429A-98C9-E3F2C5EDEEC3}" srcOrd="0" destOrd="0" presId="urn:microsoft.com/office/officeart/2008/layout/AlternatingHexagons"/>
    <dgm:cxn modelId="{96698A68-E359-4A74-B647-72A1A50A45E1}" type="presParOf" srcId="{0C2A9B48-DDC9-44F3-905B-93F9DC15639C}" destId="{ABA6E344-F390-4818-A1FE-91B4D22C1734}" srcOrd="1" destOrd="0" presId="urn:microsoft.com/office/officeart/2008/layout/AlternatingHexagons"/>
    <dgm:cxn modelId="{930BA731-4973-4CE1-9641-23D5CCBE9760}" type="presParOf" srcId="{0C2A9B48-DDC9-44F3-905B-93F9DC15639C}" destId="{42C47CDF-6DCF-4493-820C-37C513696D23}" srcOrd="2" destOrd="0" presId="urn:microsoft.com/office/officeart/2008/layout/AlternatingHexagons"/>
    <dgm:cxn modelId="{324AA2FD-3C7C-4087-B70F-4A26122455E9}" type="presParOf" srcId="{0C2A9B48-DDC9-44F3-905B-93F9DC15639C}" destId="{F5C61745-1A1D-4382-85D5-B1727FE02744}" srcOrd="3" destOrd="0" presId="urn:microsoft.com/office/officeart/2008/layout/AlternatingHexagons"/>
    <dgm:cxn modelId="{05BB9DF5-1EE1-49DF-8247-5392741F32A4}" type="presParOf" srcId="{0C2A9B48-DDC9-44F3-905B-93F9DC15639C}" destId="{2E685358-2504-4303-9CE3-D4CB5CC0D0DF}" srcOrd="4" destOrd="0" presId="urn:microsoft.com/office/officeart/2008/layout/AlternatingHexagons"/>
    <dgm:cxn modelId="{6B8ECB6E-8AE9-4459-AFE3-840FF3CDBCFC}" type="presParOf" srcId="{C72388E2-2731-4A1C-89E6-B915A2CD1FE9}" destId="{87B5DC33-0F46-4088-9871-D37697D2ACFA}" srcOrd="3" destOrd="0" presId="urn:microsoft.com/office/officeart/2008/layout/AlternatingHexagons"/>
    <dgm:cxn modelId="{1071B3CB-DA68-4A1A-B7A0-FCB9C99B0D46}" type="presParOf" srcId="{C72388E2-2731-4A1C-89E6-B915A2CD1FE9}" destId="{DFA5BC8B-277E-48BE-A76D-24B2819DAA35}" srcOrd="4" destOrd="0" presId="urn:microsoft.com/office/officeart/2008/layout/AlternatingHexagons"/>
    <dgm:cxn modelId="{C92347C0-64E1-4795-87FA-4A34DCE82B39}" type="presParOf" srcId="{DFA5BC8B-277E-48BE-A76D-24B2819DAA35}" destId="{91B2E3ED-A37E-4985-9650-88933F9710AB}" srcOrd="0" destOrd="0" presId="urn:microsoft.com/office/officeart/2008/layout/AlternatingHexagons"/>
    <dgm:cxn modelId="{30A5A343-2D9A-44CC-A460-58AA0A2A5944}" type="presParOf" srcId="{DFA5BC8B-277E-48BE-A76D-24B2819DAA35}" destId="{839AE4EC-1EF1-4894-B2DC-AFC33CD27721}" srcOrd="1" destOrd="0" presId="urn:microsoft.com/office/officeart/2008/layout/AlternatingHexagons"/>
    <dgm:cxn modelId="{591A61CF-6EB3-4ED1-A0EA-83B4548FDD16}" type="presParOf" srcId="{DFA5BC8B-277E-48BE-A76D-24B2819DAA35}" destId="{FA734F2E-DFE0-467B-A803-F96CB1C4255C}" srcOrd="2" destOrd="0" presId="urn:microsoft.com/office/officeart/2008/layout/AlternatingHexagons"/>
    <dgm:cxn modelId="{A7AAF08F-6754-46D4-A002-95EE7A92B3DB}" type="presParOf" srcId="{DFA5BC8B-277E-48BE-A76D-24B2819DAA35}" destId="{CB020798-5D93-4D90-AFE6-E2291C4D466C}" srcOrd="3" destOrd="0" presId="urn:microsoft.com/office/officeart/2008/layout/AlternatingHexagons"/>
    <dgm:cxn modelId="{98F26882-2DBB-497C-974D-68DF8421CEA3}" type="presParOf" srcId="{DFA5BC8B-277E-48BE-A76D-24B2819DAA35}" destId="{12CD4370-4EC8-4E0C-B268-6D69C37E1AE3}" srcOrd="4" destOrd="0" presId="urn:microsoft.com/office/officeart/2008/layout/AlternatingHexagons"/>
    <dgm:cxn modelId="{AEE3CCEB-85DA-4AE5-AA14-938B21D48BCF}" type="presParOf" srcId="{C72388E2-2731-4A1C-89E6-B915A2CD1FE9}" destId="{4EA2B37D-DD9A-428B-BBB6-E2F33877D34C}" srcOrd="5" destOrd="0" presId="urn:microsoft.com/office/officeart/2008/layout/AlternatingHexagons"/>
    <dgm:cxn modelId="{64BC23D2-AE53-4805-B0D3-1A6225C054F2}" type="presParOf" srcId="{C72388E2-2731-4A1C-89E6-B915A2CD1FE9}" destId="{2339EEAC-7101-4971-AB80-4C0AD675A90F}" srcOrd="6" destOrd="0" presId="urn:microsoft.com/office/officeart/2008/layout/AlternatingHexagons"/>
    <dgm:cxn modelId="{54900F8B-64D1-4880-951E-A293E92A32C4}" type="presParOf" srcId="{2339EEAC-7101-4971-AB80-4C0AD675A90F}" destId="{26BC1D26-273F-4BEE-B38B-C61EBBEC3623}" srcOrd="0" destOrd="0" presId="urn:microsoft.com/office/officeart/2008/layout/AlternatingHexagons"/>
    <dgm:cxn modelId="{C98C37F4-484E-45A1-8599-BC0931D0283F}" type="presParOf" srcId="{2339EEAC-7101-4971-AB80-4C0AD675A90F}" destId="{047167EC-1105-4839-AE16-105C840EFB2E}" srcOrd="1" destOrd="0" presId="urn:microsoft.com/office/officeart/2008/layout/AlternatingHexagons"/>
    <dgm:cxn modelId="{4998D051-76A7-4A83-9F10-2A3B9AEB4362}" type="presParOf" srcId="{2339EEAC-7101-4971-AB80-4C0AD675A90F}" destId="{0FA4016F-9E20-4D94-ABF8-B275B12F0440}" srcOrd="2" destOrd="0" presId="urn:microsoft.com/office/officeart/2008/layout/AlternatingHexagons"/>
    <dgm:cxn modelId="{FBBDF3B7-72CB-43D5-924B-FF3DED8E9803}" type="presParOf" srcId="{2339EEAC-7101-4971-AB80-4C0AD675A90F}" destId="{2BC3FC70-4F9E-4F44-A9AD-06944CC49334}" srcOrd="3" destOrd="0" presId="urn:microsoft.com/office/officeart/2008/layout/AlternatingHexagons"/>
    <dgm:cxn modelId="{2AE10F5C-73CF-46FB-8983-83094BD3415F}" type="presParOf" srcId="{2339EEAC-7101-4971-AB80-4C0AD675A90F}" destId="{75FBA5E9-2A9F-4D8A-BA70-F0FDD4FE1FE5}" srcOrd="4" destOrd="0" presId="urn:microsoft.com/office/officeart/2008/layout/AlternatingHexagons"/>
  </dgm:cxnLst>
  <dgm:bg/>
  <dgm:whole/>
  <dgm:extLst>
    <a:ext uri="http://schemas.microsoft.com/office/drawing/2008/diagram">
      <dsp:dataModelExt xmlns:dsp="http://schemas.microsoft.com/office/drawing/2008/diagram" relId="rId2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38F521FE-A417-454B-8D23-3F4F41B84C9D}">
      <dsp:nvSpPr>
        <dsp:cNvPr id="0" name=""/>
        <dsp:cNvSpPr/>
      </dsp:nvSpPr>
      <dsp:spPr>
        <a:xfrm rot="5400000">
          <a:off x="2404550" y="56007"/>
          <a:ext cx="861658" cy="749642"/>
        </a:xfrm>
        <a:prstGeom prst="hexagon">
          <a:avLst>
            <a:gd name="adj" fmla="val 25000"/>
            <a:gd name="vf" fmla="val 115470"/>
          </a:avLst>
        </a:prstGeom>
        <a:gradFill rotWithShape="0">
          <a:gsLst>
            <a:gs pos="0">
              <a:srgbClr val="C0504D">
                <a:hueOff val="0"/>
                <a:satOff val="0"/>
                <a:lumOff val="0"/>
                <a:alphaOff val="0"/>
                <a:shade val="51000"/>
                <a:satMod val="130000"/>
              </a:srgbClr>
            </a:gs>
            <a:gs pos="80000">
              <a:srgbClr val="C0504D">
                <a:hueOff val="0"/>
                <a:satOff val="0"/>
                <a:lumOff val="0"/>
                <a:alphaOff val="0"/>
                <a:shade val="93000"/>
                <a:satMod val="130000"/>
              </a:srgbClr>
            </a:gs>
            <a:gs pos="100000">
              <a:srgbClr val="C0504D">
                <a:hueOff val="0"/>
                <a:satOff val="0"/>
                <a:lumOff val="0"/>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R" sz="1300" kern="1200">
              <a:solidFill>
                <a:sysClr val="window" lastClr="FFFFFF"/>
              </a:solidFill>
              <a:latin typeface="Calibri"/>
              <a:ea typeface="+mn-ea"/>
              <a:cs typeface="+mn-cs"/>
            </a:rPr>
            <a:t>145 metas</a:t>
          </a:r>
        </a:p>
      </dsp:txBody>
      <dsp:txXfrm rot="-5400000">
        <a:off x="2577377" y="134274"/>
        <a:ext cx="516004" cy="593108"/>
      </dsp:txXfrm>
    </dsp:sp>
    <dsp:sp modelId="{44A6193E-13BF-4107-9738-F1586A86ADF1}">
      <dsp:nvSpPr>
        <dsp:cNvPr id="0" name=""/>
        <dsp:cNvSpPr/>
      </dsp:nvSpPr>
      <dsp:spPr>
        <a:xfrm>
          <a:off x="3241559" y="148873"/>
          <a:ext cx="1625901" cy="516995"/>
        </a:xfrm>
        <a:prstGeom prst="rect">
          <a:avLst/>
        </a:prstGeom>
        <a:noFill/>
        <a:ln>
          <a:noFill/>
        </a:ln>
        <a:effectLst/>
      </dsp:spPr>
      <dsp:style>
        <a:lnRef idx="0">
          <a:scrgbClr r="0" g="0" b="0"/>
        </a:lnRef>
        <a:fillRef idx="0">
          <a:scrgbClr r="0" g="0" b="0"/>
        </a:fillRef>
        <a:effectRef idx="0">
          <a:scrgbClr r="0" g="0" b="0"/>
        </a:effectRef>
        <a:fontRef idx="minor"/>
      </dsp:style>
    </dsp:sp>
    <dsp:sp modelId="{AC0FD01D-FD1F-4AAC-A9D0-04068850C472}">
      <dsp:nvSpPr>
        <dsp:cNvPr id="0" name=""/>
        <dsp:cNvSpPr/>
      </dsp:nvSpPr>
      <dsp:spPr>
        <a:xfrm rot="5400000">
          <a:off x="1580370" y="85027"/>
          <a:ext cx="861658" cy="749642"/>
        </a:xfrm>
        <a:prstGeom prst="hexagon">
          <a:avLst>
            <a:gd name="adj" fmla="val 25000"/>
            <a:gd name="vf" fmla="val 115470"/>
          </a:avLst>
        </a:prstGeom>
        <a:gradFill rotWithShape="0">
          <a:gsLst>
            <a:gs pos="0">
              <a:srgbClr val="C0504D">
                <a:hueOff val="668788"/>
                <a:satOff val="-834"/>
                <a:lumOff val="196"/>
                <a:alphaOff val="0"/>
                <a:shade val="51000"/>
                <a:satMod val="130000"/>
              </a:srgbClr>
            </a:gs>
            <a:gs pos="80000">
              <a:srgbClr val="C0504D">
                <a:hueOff val="668788"/>
                <a:satOff val="-834"/>
                <a:lumOff val="196"/>
                <a:alphaOff val="0"/>
                <a:shade val="93000"/>
                <a:satMod val="130000"/>
              </a:srgbClr>
            </a:gs>
            <a:gs pos="100000">
              <a:srgbClr val="C0504D">
                <a:hueOff val="668788"/>
                <a:satOff val="-834"/>
                <a:lumOff val="196"/>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solidFill>
              <a:sysClr val="window" lastClr="FFFFFF"/>
            </a:solidFill>
            <a:latin typeface="Calibri"/>
            <a:ea typeface="+mn-ea"/>
            <a:cs typeface="+mn-cs"/>
          </a:endParaRPr>
        </a:p>
      </dsp:txBody>
      <dsp:txXfrm rot="-5400000">
        <a:off x="1753197" y="163294"/>
        <a:ext cx="516004" cy="593108"/>
      </dsp:txXfrm>
    </dsp:sp>
    <dsp:sp modelId="{8E0C9894-14D8-429A-98C9-E3F2C5EDEEC3}">
      <dsp:nvSpPr>
        <dsp:cNvPr id="0" name=""/>
        <dsp:cNvSpPr/>
      </dsp:nvSpPr>
      <dsp:spPr>
        <a:xfrm rot="5400000">
          <a:off x="2028369" y="788192"/>
          <a:ext cx="861658" cy="749642"/>
        </a:xfrm>
        <a:prstGeom prst="hexagon">
          <a:avLst>
            <a:gd name="adj" fmla="val 25000"/>
            <a:gd name="vf" fmla="val 115470"/>
          </a:avLst>
        </a:prstGeom>
        <a:gradFill rotWithShape="0">
          <a:gsLst>
            <a:gs pos="0">
              <a:srgbClr val="C0504D">
                <a:hueOff val="1337577"/>
                <a:satOff val="-1668"/>
                <a:lumOff val="392"/>
                <a:alphaOff val="0"/>
                <a:shade val="51000"/>
                <a:satMod val="130000"/>
              </a:srgbClr>
            </a:gs>
            <a:gs pos="80000">
              <a:srgbClr val="C0504D">
                <a:hueOff val="1337577"/>
                <a:satOff val="-1668"/>
                <a:lumOff val="392"/>
                <a:alphaOff val="0"/>
                <a:shade val="93000"/>
                <a:satMod val="130000"/>
              </a:srgbClr>
            </a:gs>
            <a:gs pos="100000">
              <a:srgbClr val="C0504D">
                <a:hueOff val="1337577"/>
                <a:satOff val="-1668"/>
                <a:lumOff val="392"/>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R" sz="1300" kern="1200">
              <a:solidFill>
                <a:sysClr val="window" lastClr="FFFFFF"/>
              </a:solidFill>
              <a:latin typeface="Calibri"/>
              <a:ea typeface="+mn-ea"/>
              <a:cs typeface="+mn-cs"/>
            </a:rPr>
            <a:t>187 metas</a:t>
          </a:r>
        </a:p>
      </dsp:txBody>
      <dsp:txXfrm rot="-5400000">
        <a:off x="2201196" y="866459"/>
        <a:ext cx="516004" cy="593108"/>
      </dsp:txXfrm>
    </dsp:sp>
    <dsp:sp modelId="{ABA6E344-F390-4818-A1FE-91B4D22C1734}">
      <dsp:nvSpPr>
        <dsp:cNvPr id="0" name=""/>
        <dsp:cNvSpPr/>
      </dsp:nvSpPr>
      <dsp:spPr>
        <a:xfrm>
          <a:off x="1122766" y="904516"/>
          <a:ext cx="930591" cy="516995"/>
        </a:xfrm>
        <a:prstGeom prst="rect">
          <a:avLst/>
        </a:prstGeom>
        <a:noFill/>
        <a:ln>
          <a:noFill/>
        </a:ln>
        <a:effectLst/>
      </dsp:spPr>
      <dsp:style>
        <a:lnRef idx="0">
          <a:scrgbClr r="0" g="0" b="0"/>
        </a:lnRef>
        <a:fillRef idx="0">
          <a:scrgbClr r="0" g="0" b="0"/>
        </a:fillRef>
        <a:effectRef idx="0">
          <a:scrgbClr r="0" g="0" b="0"/>
        </a:effectRef>
        <a:fontRef idx="minor"/>
      </dsp:style>
    </dsp:sp>
    <dsp:sp modelId="{2E685358-2504-4303-9CE3-D4CB5CC0D0DF}">
      <dsp:nvSpPr>
        <dsp:cNvPr id="0" name=""/>
        <dsp:cNvSpPr/>
      </dsp:nvSpPr>
      <dsp:spPr>
        <a:xfrm rot="5400000">
          <a:off x="2837984" y="788192"/>
          <a:ext cx="861658" cy="749642"/>
        </a:xfrm>
        <a:prstGeom prst="hexagon">
          <a:avLst>
            <a:gd name="adj" fmla="val 25000"/>
            <a:gd name="vf" fmla="val 115470"/>
          </a:avLst>
        </a:prstGeom>
        <a:gradFill rotWithShape="0">
          <a:gsLst>
            <a:gs pos="0">
              <a:srgbClr val="C0504D">
                <a:hueOff val="2006365"/>
                <a:satOff val="-2502"/>
                <a:lumOff val="588"/>
                <a:alphaOff val="0"/>
                <a:shade val="51000"/>
                <a:satMod val="130000"/>
              </a:srgbClr>
            </a:gs>
            <a:gs pos="80000">
              <a:srgbClr val="C0504D">
                <a:hueOff val="2006365"/>
                <a:satOff val="-2502"/>
                <a:lumOff val="588"/>
                <a:alphaOff val="0"/>
                <a:shade val="93000"/>
                <a:satMod val="130000"/>
              </a:srgbClr>
            </a:gs>
            <a:gs pos="100000">
              <a:srgbClr val="C0504D">
                <a:hueOff val="2006365"/>
                <a:satOff val="-2502"/>
                <a:lumOff val="588"/>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solidFill>
              <a:sysClr val="window" lastClr="FFFFFF"/>
            </a:solidFill>
            <a:latin typeface="Calibri"/>
            <a:ea typeface="+mn-ea"/>
            <a:cs typeface="+mn-cs"/>
          </a:endParaRPr>
        </a:p>
      </dsp:txBody>
      <dsp:txXfrm rot="-5400000">
        <a:off x="3010811" y="866459"/>
        <a:ext cx="516004" cy="593108"/>
      </dsp:txXfrm>
    </dsp:sp>
    <dsp:sp modelId="{91B2E3ED-A37E-4985-9650-88933F9710AB}">
      <dsp:nvSpPr>
        <dsp:cNvPr id="0" name=""/>
        <dsp:cNvSpPr/>
      </dsp:nvSpPr>
      <dsp:spPr>
        <a:xfrm rot="5400000">
          <a:off x="2434727" y="1519568"/>
          <a:ext cx="861658" cy="749642"/>
        </a:xfrm>
        <a:prstGeom prst="hexagon">
          <a:avLst>
            <a:gd name="adj" fmla="val 25000"/>
            <a:gd name="vf" fmla="val 115470"/>
          </a:avLst>
        </a:prstGeom>
        <a:gradFill rotWithShape="0">
          <a:gsLst>
            <a:gs pos="0">
              <a:srgbClr val="C0504D">
                <a:hueOff val="2675154"/>
                <a:satOff val="-3337"/>
                <a:lumOff val="785"/>
                <a:alphaOff val="0"/>
                <a:shade val="51000"/>
                <a:satMod val="130000"/>
              </a:srgbClr>
            </a:gs>
            <a:gs pos="80000">
              <a:srgbClr val="C0504D">
                <a:hueOff val="2675154"/>
                <a:satOff val="-3337"/>
                <a:lumOff val="785"/>
                <a:alphaOff val="0"/>
                <a:shade val="93000"/>
                <a:satMod val="130000"/>
              </a:srgbClr>
            </a:gs>
            <a:gs pos="100000">
              <a:srgbClr val="C0504D">
                <a:hueOff val="2675154"/>
                <a:satOff val="-3337"/>
                <a:lumOff val="785"/>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R" sz="1300" kern="1200">
              <a:solidFill>
                <a:sysClr val="window" lastClr="FFFFFF"/>
              </a:solidFill>
              <a:latin typeface="Calibri"/>
              <a:ea typeface="+mn-ea"/>
              <a:cs typeface="+mn-cs"/>
            </a:rPr>
            <a:t>302 metas</a:t>
          </a:r>
        </a:p>
      </dsp:txBody>
      <dsp:txXfrm rot="-5400000">
        <a:off x="2607554" y="1597835"/>
        <a:ext cx="516004" cy="593108"/>
      </dsp:txXfrm>
    </dsp:sp>
    <dsp:sp modelId="{839AE4EC-1EF1-4894-B2DC-AFC33CD27721}">
      <dsp:nvSpPr>
        <dsp:cNvPr id="0" name=""/>
        <dsp:cNvSpPr/>
      </dsp:nvSpPr>
      <dsp:spPr>
        <a:xfrm>
          <a:off x="3263126" y="1635892"/>
          <a:ext cx="961610" cy="516995"/>
        </a:xfrm>
        <a:prstGeom prst="rect">
          <a:avLst/>
        </a:prstGeom>
        <a:noFill/>
        <a:ln>
          <a:noFill/>
        </a:ln>
        <a:effectLst/>
      </dsp:spPr>
      <dsp:style>
        <a:lnRef idx="0">
          <a:scrgbClr r="0" g="0" b="0"/>
        </a:lnRef>
        <a:fillRef idx="0">
          <a:scrgbClr r="0" g="0" b="0"/>
        </a:fillRef>
        <a:effectRef idx="0">
          <a:scrgbClr r="0" g="0" b="0"/>
        </a:effectRef>
        <a:fontRef idx="minor"/>
      </dsp:style>
    </dsp:sp>
    <dsp:sp modelId="{12CD4370-4EC8-4E0C-B268-6D69C37E1AE3}">
      <dsp:nvSpPr>
        <dsp:cNvPr id="0" name=""/>
        <dsp:cNvSpPr/>
      </dsp:nvSpPr>
      <dsp:spPr>
        <a:xfrm rot="5400000">
          <a:off x="1625113" y="1519568"/>
          <a:ext cx="861658" cy="749642"/>
        </a:xfrm>
        <a:prstGeom prst="hexagon">
          <a:avLst>
            <a:gd name="adj" fmla="val 25000"/>
            <a:gd name="vf" fmla="val 115470"/>
          </a:avLst>
        </a:prstGeom>
        <a:gradFill rotWithShape="0">
          <a:gsLst>
            <a:gs pos="0">
              <a:srgbClr val="C0504D">
                <a:hueOff val="3343942"/>
                <a:satOff val="-4171"/>
                <a:lumOff val="981"/>
                <a:alphaOff val="0"/>
                <a:shade val="51000"/>
                <a:satMod val="130000"/>
              </a:srgbClr>
            </a:gs>
            <a:gs pos="80000">
              <a:srgbClr val="C0504D">
                <a:hueOff val="3343942"/>
                <a:satOff val="-4171"/>
                <a:lumOff val="981"/>
                <a:alphaOff val="0"/>
                <a:shade val="93000"/>
                <a:satMod val="130000"/>
              </a:srgbClr>
            </a:gs>
            <a:gs pos="100000">
              <a:srgbClr val="C0504D">
                <a:hueOff val="3343942"/>
                <a:satOff val="-4171"/>
                <a:lumOff val="981"/>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solidFill>
              <a:sysClr val="window" lastClr="FFFFFF"/>
            </a:solidFill>
            <a:latin typeface="Calibri"/>
            <a:ea typeface="+mn-ea"/>
            <a:cs typeface="+mn-cs"/>
          </a:endParaRPr>
        </a:p>
      </dsp:txBody>
      <dsp:txXfrm rot="-5400000">
        <a:off x="1797940" y="1597835"/>
        <a:ext cx="516004" cy="593108"/>
      </dsp:txXfrm>
    </dsp:sp>
    <dsp:sp modelId="{26BC1D26-273F-4BEE-B38B-C61EBBEC3623}">
      <dsp:nvSpPr>
        <dsp:cNvPr id="0" name=""/>
        <dsp:cNvSpPr/>
      </dsp:nvSpPr>
      <dsp:spPr>
        <a:xfrm rot="5400000">
          <a:off x="2028369" y="2250944"/>
          <a:ext cx="861658" cy="749642"/>
        </a:xfrm>
        <a:prstGeom prst="hexagon">
          <a:avLst>
            <a:gd name="adj" fmla="val 25000"/>
            <a:gd name="vf" fmla="val 115470"/>
          </a:avLst>
        </a:prstGeom>
        <a:gradFill rotWithShape="0">
          <a:gsLst>
            <a:gs pos="0">
              <a:srgbClr val="C0504D">
                <a:hueOff val="4012731"/>
                <a:satOff val="-5005"/>
                <a:lumOff val="1177"/>
                <a:alphaOff val="0"/>
                <a:shade val="51000"/>
                <a:satMod val="130000"/>
              </a:srgbClr>
            </a:gs>
            <a:gs pos="80000">
              <a:srgbClr val="C0504D">
                <a:hueOff val="4012731"/>
                <a:satOff val="-5005"/>
                <a:lumOff val="1177"/>
                <a:alphaOff val="0"/>
                <a:shade val="93000"/>
                <a:satMod val="130000"/>
              </a:srgbClr>
            </a:gs>
            <a:gs pos="100000">
              <a:srgbClr val="C0504D">
                <a:hueOff val="4012731"/>
                <a:satOff val="-5005"/>
                <a:lumOff val="1177"/>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s-CR" sz="1300" kern="1200">
              <a:solidFill>
                <a:sysClr val="window" lastClr="FFFFFF"/>
              </a:solidFill>
              <a:latin typeface="Calibri"/>
              <a:ea typeface="+mn-ea"/>
              <a:cs typeface="+mn-cs"/>
            </a:rPr>
            <a:t>3000 metas</a:t>
          </a:r>
        </a:p>
      </dsp:txBody>
      <dsp:txXfrm rot="-5400000">
        <a:off x="2201196" y="2329211"/>
        <a:ext cx="516004" cy="593108"/>
      </dsp:txXfrm>
    </dsp:sp>
    <dsp:sp modelId="{047167EC-1105-4839-AE16-105C840EFB2E}">
      <dsp:nvSpPr>
        <dsp:cNvPr id="0" name=""/>
        <dsp:cNvSpPr/>
      </dsp:nvSpPr>
      <dsp:spPr>
        <a:xfrm>
          <a:off x="1122766" y="2367267"/>
          <a:ext cx="930591" cy="516995"/>
        </a:xfrm>
        <a:prstGeom prst="rect">
          <a:avLst/>
        </a:prstGeom>
        <a:noFill/>
        <a:ln>
          <a:noFill/>
        </a:ln>
        <a:effectLst/>
      </dsp:spPr>
      <dsp:style>
        <a:lnRef idx="0">
          <a:scrgbClr r="0" g="0" b="0"/>
        </a:lnRef>
        <a:fillRef idx="0">
          <a:scrgbClr r="0" g="0" b="0"/>
        </a:fillRef>
        <a:effectRef idx="0">
          <a:scrgbClr r="0" g="0" b="0"/>
        </a:effectRef>
        <a:fontRef idx="minor"/>
      </dsp:style>
    </dsp:sp>
    <dsp:sp modelId="{75FBA5E9-2A9F-4D8A-BA70-F0FDD4FE1FE5}">
      <dsp:nvSpPr>
        <dsp:cNvPr id="0" name=""/>
        <dsp:cNvSpPr/>
      </dsp:nvSpPr>
      <dsp:spPr>
        <a:xfrm rot="5400000">
          <a:off x="2837984" y="2250944"/>
          <a:ext cx="861658" cy="749642"/>
        </a:xfrm>
        <a:prstGeom prst="hexagon">
          <a:avLst>
            <a:gd name="adj" fmla="val 25000"/>
            <a:gd name="vf" fmla="val 115470"/>
          </a:avLst>
        </a:prstGeom>
        <a:gradFill rotWithShape="0">
          <a:gsLst>
            <a:gs pos="0">
              <a:srgbClr val="C0504D">
                <a:hueOff val="4681519"/>
                <a:satOff val="-5839"/>
                <a:lumOff val="1373"/>
                <a:alphaOff val="0"/>
                <a:shade val="51000"/>
                <a:satMod val="130000"/>
              </a:srgbClr>
            </a:gs>
            <a:gs pos="80000">
              <a:srgbClr val="C0504D">
                <a:hueOff val="4681519"/>
                <a:satOff val="-5839"/>
                <a:lumOff val="1373"/>
                <a:alphaOff val="0"/>
                <a:shade val="93000"/>
                <a:satMod val="130000"/>
              </a:srgbClr>
            </a:gs>
            <a:gs pos="100000">
              <a:srgbClr val="C0504D">
                <a:hueOff val="4681519"/>
                <a:satOff val="-5839"/>
                <a:lumOff val="1373"/>
                <a:alphaOff val="0"/>
                <a:shade val="94000"/>
                <a:satMod val="135000"/>
              </a:srgbClr>
            </a:gs>
          </a:gsLst>
          <a:lin ang="16200000" scaled="0"/>
        </a:gradFill>
        <a:ln>
          <a:noFill/>
        </a:ln>
        <a:effectLst>
          <a:outerShdw blurRad="40000" dist="23000" dir="5400000" rotWithShape="0">
            <a:srgbClr val="000000">
              <a:alpha val="35000"/>
            </a:srgbClr>
          </a:outerShdw>
        </a:effectLst>
      </dsp:spPr>
      <dsp:style>
        <a:lnRef idx="0">
          <a:scrgbClr r="0" g="0" b="0"/>
        </a:lnRef>
        <a:fillRef idx="3">
          <a:scrgbClr r="0" g="0" b="0"/>
        </a:fillRef>
        <a:effectRef idx="2">
          <a:scrgbClr r="0" g="0" b="0"/>
        </a:effectRef>
        <a:fontRef idx="minor">
          <a:schemeClr val="lt1"/>
        </a:fontRef>
      </dsp:style>
      <dsp:txBody>
        <a:bodyPr spcFirstLastPara="0" vert="horz" wrap="square" lIns="0" tIns="0" rIns="0" bIns="0" numCol="1" spcCol="1270" anchor="ctr" anchorCtr="0">
          <a:noAutofit/>
        </a:bodyPr>
        <a:lstStyle/>
        <a:p>
          <a:pPr marL="0" lvl="0" indent="0" algn="ctr" defTabSz="1600200">
            <a:lnSpc>
              <a:spcPct val="90000"/>
            </a:lnSpc>
            <a:spcBef>
              <a:spcPct val="0"/>
            </a:spcBef>
            <a:spcAft>
              <a:spcPct val="35000"/>
            </a:spcAft>
            <a:buNone/>
          </a:pPr>
          <a:endParaRPr lang="es-CR" sz="3600" kern="1200">
            <a:solidFill>
              <a:sysClr val="window" lastClr="FFFFFF"/>
            </a:solidFill>
            <a:latin typeface="Calibri"/>
            <a:ea typeface="+mn-ea"/>
            <a:cs typeface="+mn-cs"/>
          </a:endParaRPr>
        </a:p>
      </dsp:txBody>
      <dsp:txXfrm rot="-5400000">
        <a:off x="3010811" y="2329211"/>
        <a:ext cx="516004" cy="593108"/>
      </dsp:txXfrm>
    </dsp:sp>
  </dsp:spTree>
</dsp:drawing>
</file>

<file path=word/diagrams/layout1.xml><?xml version="1.0" encoding="utf-8"?>
<dgm:layoutDef xmlns:dgm="http://schemas.openxmlformats.org/drawingml/2006/diagram" xmlns:a="http://schemas.openxmlformats.org/drawingml/2006/main" uniqueId="urn:microsoft.com/office/officeart/2008/layout/AlternatingHexagons">
  <dgm:title val=""/>
  <dgm:desc val=""/>
  <dgm:catLst>
    <dgm:cat type="list" pri="1500"/>
  </dgm:catLst>
  <dgm:sampData>
    <dgm:dataModel>
      <dgm:ptLst>
        <dgm:pt modelId="0" type="doc"/>
        <dgm:pt modelId="10">
          <dgm:prSet phldr="1"/>
        </dgm:pt>
        <dgm:pt modelId="11">
          <dgm:prSet phldr="1"/>
        </dgm:pt>
        <dgm:pt modelId="20">
          <dgm:prSet phldr="1"/>
        </dgm:pt>
        <dgm:pt modelId="21">
          <dgm:prSet phldr="1"/>
        </dgm:pt>
        <dgm:pt modelId="30">
          <dgm:prSet phldr="1"/>
        </dgm:pt>
        <dgm:pt modelId="31">
          <dgm:prSet phldr="1"/>
        </dgm:pt>
      </dgm:ptLst>
      <dgm:cxnLst>
        <dgm:cxn modelId="40" srcId="0" destId="10" srcOrd="0" destOrd="0"/>
        <dgm:cxn modelId="12" srcId="10" destId="11" srcOrd="0" destOrd="0"/>
        <dgm:cxn modelId="50" srcId="0" destId="20" srcOrd="1" destOrd="0"/>
        <dgm:cxn modelId="22" srcId="20" destId="21" srcOrd="0" destOrd="0"/>
        <dgm:cxn modelId="60" srcId="0" destId="30" srcOrd="1" destOrd="0"/>
        <dgm:cxn modelId="32" srcId="30" destId="31" srcOrd="0" destOrd="0"/>
      </dgm:cxnLst>
      <dgm:bg/>
      <dgm:whole/>
    </dgm:dataModel>
  </dgm:sampData>
  <dgm:styleData>
    <dgm:dataModel>
      <dgm:ptLst>
        <dgm:pt modelId="0" type="doc"/>
        <dgm:pt modelId="10">
          <dgm:prSet phldr="1"/>
        </dgm:pt>
        <dgm:pt modelId="20">
          <dgm:prSet phldr="1"/>
        </dgm:pt>
      </dgm:ptLst>
      <dgm:cxnLst>
        <dgm:cxn modelId="60" srcId="0" destId="10" srcOrd="0" destOrd="0"/>
        <dgm:cxn modelId="70" srcId="0" destId="20" srcOrd="1" destOrd="0"/>
      </dgm:cxnLst>
      <dgm:bg/>
      <dgm:whole/>
    </dgm:dataModel>
  </dgm:styleData>
  <dgm:clrData>
    <dgm:dataModel>
      <dgm:ptLst>
        <dgm:pt modelId="0" type="doc"/>
        <dgm:pt modelId="10">
          <dgm:prSet phldr="1"/>
        </dgm:pt>
        <dgm:pt modelId="20">
          <dgm:prSet phldr="1"/>
        </dgm:pt>
        <dgm:pt modelId="30">
          <dgm:prSet phldr="1"/>
        </dgm:pt>
        <dgm:pt modelId="40">
          <dgm:prSet phldr="1"/>
        </dgm:pt>
      </dgm:ptLst>
      <dgm:cxnLst>
        <dgm:cxn modelId="60" srcId="0" destId="10" srcOrd="0" destOrd="0"/>
        <dgm:cxn modelId="70" srcId="0" destId="20" srcOrd="1" destOrd="0"/>
        <dgm:cxn modelId="80" srcId="0" destId="30" srcOrd="2" destOrd="0"/>
        <dgm:cxn modelId="90" srcId="0" destId="40" srcOrd="3" destOrd="0"/>
      </dgm:cxnLst>
      <dgm:bg/>
      <dgm:whole/>
    </dgm:dataModel>
  </dgm:clrData>
  <dgm:layoutNode name="Name0">
    <dgm:varLst>
      <dgm:chMax/>
      <dgm:chPref/>
      <dgm:dir/>
      <dgm:animLvl val="lvl"/>
    </dgm:varLst>
    <dgm:alg type="lin">
      <dgm:param type="linDir" val="fromT"/>
    </dgm:alg>
    <dgm:shape xmlns:r="http://schemas.openxmlformats.org/officeDocument/2006/relationships" r:blip="">
      <dgm:adjLst/>
    </dgm:shape>
    <dgm:constrLst>
      <dgm:constr type="primFontSz" for="des" forName="Parent1" val="65"/>
      <dgm:constr type="primFontSz" for="des" forName="Childtext1" refType="primFontSz" refFor="des" refForName="Parent1" op="lte"/>
      <dgm:constr type="w" for="ch" forName="composite" refType="w"/>
      <dgm:constr type="h" for="ch" forName="composite" refType="h"/>
      <dgm:constr type="h" for="ch" forName="spaceBetweenRectangles" refType="w" refFor="ch" refForName="composite" fact="-0.042"/>
      <dgm:constr type="sp" refType="h" refFor="ch" refForName="composite" op="equ" fact="0.1"/>
    </dgm:constrLst>
    <dgm:forEach name="nodesForEach" axis="ch" ptType="node">
      <dgm:layoutNode name="composite">
        <dgm:alg type="composite">
          <dgm:param type="ar" val="3.6"/>
        </dgm:alg>
        <dgm:shape xmlns:r="http://schemas.openxmlformats.org/officeDocument/2006/relationships" r:blip="">
          <dgm:adjLst/>
        </dgm:shape>
        <dgm:choose name="Name1">
          <dgm:if name="Name2" func="var" arg="dir" op="equ" val="norm">
            <dgm:choose name="Name3">
              <dgm:if name="Name4" axis="self" ptType="node" func="posOdd" op="equ" val="1">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dgm:constr type="h" for="ch" forName="BalanceSpacing" refType="h" fact="0.1"/>
                  <dgm:constr type="l" for="ch" forName="BalanceSpacing1" refType="w" fact="0.69"/>
                  <dgm:constr type="t" for="ch" forName="BalanceSpacing1" refType="h" fact="0.2"/>
                  <dgm:constr type="w" for="ch" forName="BalanceSpacing1" refType="w" fact="0.31"/>
                  <dgm:constr type="h" for="ch" forName="BalanceSpacing1" refType="h" fact="0.6"/>
                </dgm:constrLst>
              </dgm:if>
              <dgm:else name="Name5">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 type="l" for="ch" forName="BalanceSpacing1" refType="w" fact="0"/>
                  <dgm:constr type="t" for="ch" forName="BalanceSpacing1" refType="h" fact="0.2"/>
                  <dgm:constr type="w" for="ch" forName="BalanceSpacing1" refType="w" fact="0.3"/>
                  <dgm:constr type="h" for="ch" forName="BalanceSpacing1" refType="h" fact="0.6"/>
                </dgm:constrLst>
              </dgm:else>
            </dgm:choose>
          </dgm:if>
          <dgm:else name="Name6">
            <dgm:choose name="Name7">
              <dgm:if name="Name8" axis="self" ptType="node" func="posOdd" op="equ" val="1">
                <dgm:constrLst>
                  <dgm:constr type="l" for="ch" forName="Accent1" refType="w" fact="0.571"/>
                  <dgm:constr type="t" for="ch" forName="Accent1" refType="h" fact="0"/>
                  <dgm:constr type="h" for="ch" forName="Accent1" refType="h"/>
                  <dgm:constr type="w" for="ch" forName="Accent1" refType="h" fact="0.87"/>
                  <dgm:constr type="l" for="ch" forName="Accent1Text" refType="w" fact="0.571"/>
                  <dgm:constr type="t" for="ch" forName="Accent1Text" refType="h" fact="0"/>
                  <dgm:constr type="h" for="ch" forName="Accent1Text" refType="h"/>
                  <dgm:constr type="w" for="ch" forName="Accent1Text" refType="h" fact="0.87"/>
                  <dgm:constr type="l" for="ch" forName="Parent1" refType="w" fact="0.31"/>
                  <dgm:constr type="t" for="ch" forName="Parent1" refType="h" fact="0"/>
                  <dgm:constr type="h" for="ch" forName="Parent1" refType="h"/>
                  <dgm:constr type="w" for="ch" forName="Parent1" refType="h" fact="0.87"/>
                  <dgm:constr type="l" for="ch" forName="Childtext1" refType="w" fact="0"/>
                  <dgm:constr type="t" for="ch" forName="Childtext1" refType="h" fact="0.2"/>
                  <dgm:constr type="w" for="ch" forName="Childtext1" refType="w" fact="0.3"/>
                  <dgm:constr type="h" for="ch" forName="Childtext1" refType="h" fact="0.6"/>
                  <dgm:constr type="l" for="ch" forName="BalanceSpacing" refType="w" fact="0.82"/>
                  <dgm:constr type="t" for="ch" forName="BalanceSpacing" refType="h" fact="0"/>
                  <dgm:constr type="w" for="ch" forName="BalanceSpacing" refType="w" fact="0.18"/>
                  <dgm:constr type="h" for="ch" forName="BalanceSpacing" refType="h"/>
                </dgm:constrLst>
              </dgm:if>
              <dgm:else name="Name9">
                <dgm:constrLst>
                  <dgm:constr type="l" for="ch" forName="Accent1" refType="w" fact="0.18"/>
                  <dgm:constr type="t" for="ch" forName="Accent1" refType="h" fact="0"/>
                  <dgm:constr type="h" for="ch" forName="Accent1" refType="h"/>
                  <dgm:constr type="w" for="ch" forName="Accent1" refType="h" fact="0.87"/>
                  <dgm:constr type="l" for="ch" forName="Accent1Text" refType="w" fact="0.18"/>
                  <dgm:constr type="t" for="ch" forName="Accent1Text" refType="h" fact="0"/>
                  <dgm:constr type="h" for="ch" forName="Accent1Text" refType="h"/>
                  <dgm:constr type="w" for="ch" forName="Accent1Text" refType="h" fact="0.87"/>
                  <dgm:constr type="l" for="ch" forName="Parent1" refType="w" fact="0.441"/>
                  <dgm:constr type="t" for="ch" forName="Parent1" refType="h" fact="0"/>
                  <dgm:constr type="h" for="ch" forName="Parent1" refType="h"/>
                  <dgm:constr type="w" for="ch" forName="Parent1" refType="h" fact="0.87"/>
                  <dgm:constr type="l" for="ch" forName="Childtext1" refType="w" fact="0.69"/>
                  <dgm:constr type="t" for="ch" forName="Childtext1" refType="h" fact="0.2"/>
                  <dgm:constr type="w" for="ch" forName="Childtext1" refType="w" fact="0.31"/>
                  <dgm:constr type="h" for="ch" forName="Childtext1" refType="h" fact="0.6"/>
                  <dgm:constr type="l" for="ch" forName="BalanceSpacing" refType="w" fact="0"/>
                  <dgm:constr type="t" for="ch" forName="BalanceSpacing" refType="h" fact="0"/>
                  <dgm:constr type="w" for="ch" forName="BalanceSpacing" refType="w" fact="0.18"/>
                  <dgm:constr type="h" for="ch" forName="BalanceSpacing" refType="h"/>
                </dgm:constrLst>
              </dgm:else>
            </dgm:choose>
          </dgm:else>
        </dgm:choose>
        <dgm:layoutNode name="Parent1" styleLbl="node1">
          <dgm:varLst>
            <dgm:chMax val="1"/>
            <dgm:chPref val="1"/>
            <dgm:bulletEnabled val="1"/>
          </dgm:varLst>
          <dgm:alg type="tx"/>
          <dgm:shape xmlns:r="http://schemas.openxmlformats.org/officeDocument/2006/relationships" rot="90" type="hexagon" r:blip="">
            <dgm:adjLst>
              <dgm:adj idx="1" val="0.25"/>
              <dgm:adj idx="2" val="1.1547"/>
            </dgm:adjLst>
          </dgm:shape>
          <dgm:presOf axis="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Childtext1" styleLbl="revTx">
          <dgm:varLst>
            <dgm:chMax val="0"/>
            <dgm:chPref val="0"/>
            <dgm:bulletEnabled val="1"/>
          </dgm:varLst>
          <dgm:choose name="Name10">
            <dgm:if name="Name11" func="var" arg="dir" op="equ" val="norm">
              <dgm:choose name="Name12">
                <dgm:if name="Name13" axis="self" ptType="node" func="posOdd" op="equ" val="1">
                  <dgm:alg type="tx">
                    <dgm:param type="parTxLTRAlign" val="l"/>
                  </dgm:alg>
                </dgm:if>
                <dgm:else name="Name14">
                  <dgm:alg type="tx">
                    <dgm:param type="parTxLTRAlign" val="r"/>
                  </dgm:alg>
                </dgm:else>
              </dgm:choose>
            </dgm:if>
            <dgm:else name="Name15">
              <dgm:choose name="Name16">
                <dgm:if name="Name17" axis="self" ptType="node" func="posOdd" op="equ" val="1">
                  <dgm:alg type="tx">
                    <dgm:param type="parTxLTRAlign" val="r"/>
                  </dgm:alg>
                </dgm:if>
                <dgm:else name="Name18">
                  <dgm:alg type="tx">
                    <dgm:param type="parTxLTRAlign" val="l"/>
                  </dgm:alg>
                </dgm:else>
              </dgm:choose>
            </dgm:else>
          </dgm:choose>
          <dgm:shape xmlns:r="http://schemas.openxmlformats.org/officeDocument/2006/relationships" type="rect" r:blip="">
            <dgm:adjLst/>
          </dgm:shape>
          <dgm:presOf axis="des"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layoutNode name="BalanceSpacing">
          <dgm:alg type="sp"/>
          <dgm:shape xmlns:r="http://schemas.openxmlformats.org/officeDocument/2006/relationships" r:blip="">
            <dgm:adjLst/>
          </dgm:shape>
        </dgm:layoutNode>
        <dgm:layoutNode name="BalanceSpacing1">
          <dgm:alg type="sp"/>
          <dgm:shape xmlns:r="http://schemas.openxmlformats.org/officeDocument/2006/relationships" r:blip="">
            <dgm:adjLst/>
          </dgm:shape>
        </dgm:layoutNode>
        <dgm:forEach name="Name19" axis="followSib" ptType="sibTrans" hideLastTrans="0" cnt="1">
          <dgm:layoutNode name="Accent1Text" styleLbl="node1">
            <dgm:alg type="tx"/>
            <dgm:shape xmlns:r="http://schemas.openxmlformats.org/officeDocument/2006/relationships" rot="90" type="hexagon" r:blip="">
              <dgm:adjLst>
                <dgm:adj idx="1" val="0.25"/>
                <dgm:adj idx="2" val="1.1547"/>
              </dgm:adjLst>
            </dgm:shape>
            <dgm:presOf axis="self" ptType="sibTrans"/>
            <dgm:constrLst>
              <dgm:constr type="lMarg"/>
              <dgm:constr type="rMarg"/>
              <dgm:constr type="tMarg"/>
              <dgm:constr type="bMarg"/>
            </dgm:constrLst>
            <dgm:ruleLst>
              <dgm:rule type="primFontSz" val="5" fact="NaN" max="NaN"/>
            </dgm:ruleLst>
          </dgm:layoutNode>
        </dgm:forEach>
      </dgm:layoutNode>
      <dgm:forEach name="Name20" axis="followSib" ptType="sibTrans" cnt="1">
        <dgm:layoutNode name="spaceBetweenRectangle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46CFC1-29B7-4012-A00A-5BDCAC325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166</Pages>
  <Words>47581</Words>
  <Characters>261699</Characters>
  <Application>Microsoft Office Word</Application>
  <DocSecurity>0</DocSecurity>
  <Lines>2180</Lines>
  <Paragraphs>617</Paragraphs>
  <ScaleCrop>false</ScaleCrop>
  <HeadingPairs>
    <vt:vector size="2" baseType="variant">
      <vt:variant>
        <vt:lpstr>Título</vt:lpstr>
      </vt:variant>
      <vt:variant>
        <vt:i4>1</vt:i4>
      </vt:variant>
    </vt:vector>
  </HeadingPairs>
  <TitlesOfParts>
    <vt:vector size="1" baseType="lpstr">
      <vt:lpstr>San José, …</vt:lpstr>
    </vt:vector>
  </TitlesOfParts>
  <Company>PODER-JUDICIAL</Company>
  <LinksUpToDate>false</LinksUpToDate>
  <CharactersWithSpaces>308663</CharactersWithSpaces>
  <SharedDoc>false</SharedDoc>
  <HLinks>
    <vt:vector size="6" baseType="variant">
      <vt:variant>
        <vt:i4>2818094</vt:i4>
      </vt:variant>
      <vt:variant>
        <vt:i4>0</vt:i4>
      </vt:variant>
      <vt:variant>
        <vt:i4>0</vt:i4>
      </vt:variant>
      <vt:variant>
        <vt:i4>5</vt:i4>
      </vt:variant>
      <vt:variant>
        <vt:lpwstr>mailto:secre_corte@poder-judicial.go.cr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c:title>
  <dc:creator>usuario1</dc:creator>
  <cp:lastModifiedBy>Secretaría General de la Corte - Comunicaciones - Andrea Campos Jiménez</cp:lastModifiedBy>
  <cp:revision>2</cp:revision>
  <cp:lastPrinted>2021-08-19T14:39:00Z</cp:lastPrinted>
  <dcterms:created xsi:type="dcterms:W3CDTF">2022-06-10T21:59:00Z</dcterms:created>
  <dcterms:modified xsi:type="dcterms:W3CDTF">2022-06-10T21:59:00Z</dcterms:modified>
</cp:coreProperties>
</file>