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D393" w14:textId="77777777" w:rsidR="006276C9" w:rsidRDefault="006276C9" w:rsidP="006276C9">
      <w:pPr>
        <w:pStyle w:val="NormalWeb"/>
        <w:keepNext/>
        <w:spacing w:before="0" w:beforeAutospacing="0" w:after="0" w:afterAutospacing="0"/>
        <w:ind w:left="851" w:right="991"/>
        <w:jc w:val="center"/>
        <w:rPr>
          <w:rFonts w:ascii="Book Antiqua" w:hAnsi="Book Antiqua"/>
          <w:i/>
          <w:iCs/>
          <w:lang w:val="es-ES"/>
        </w:rPr>
      </w:pPr>
      <w:r>
        <w:rPr>
          <w:rFonts w:ascii="Book Antiqua" w:hAnsi="Book Antiqua"/>
          <w:i/>
          <w:iCs/>
          <w:lang w:val="es-ES"/>
        </w:rPr>
        <w:t xml:space="preserve">Figura </w:t>
      </w:r>
      <w:r>
        <w:rPr>
          <w:rFonts w:ascii="Book Antiqua" w:hAnsi="Book Antiqua"/>
          <w:i/>
          <w:iCs/>
          <w:lang w:val="es-ES"/>
        </w:rPr>
        <w:fldChar w:fldCharType="begin"/>
      </w:r>
      <w:r>
        <w:rPr>
          <w:rFonts w:ascii="Book Antiqua" w:hAnsi="Book Antiqua"/>
          <w:i/>
          <w:iCs/>
          <w:lang w:val="es-ES"/>
        </w:rPr>
        <w:instrText xml:space="preserve"> SEQ Figura \* ARABIC </w:instrText>
      </w:r>
      <w:r>
        <w:rPr>
          <w:rFonts w:ascii="Book Antiqua" w:hAnsi="Book Antiqua"/>
          <w:i/>
          <w:iCs/>
          <w:lang w:val="es-ES"/>
        </w:rPr>
        <w:fldChar w:fldCharType="separate"/>
      </w:r>
      <w:r>
        <w:rPr>
          <w:rFonts w:ascii="Book Antiqua" w:hAnsi="Book Antiqua"/>
          <w:i/>
          <w:iCs/>
          <w:noProof/>
          <w:lang w:val="es-ES"/>
        </w:rPr>
        <w:t>1</w:t>
      </w:r>
      <w:r>
        <w:rPr>
          <w:rFonts w:ascii="Book Antiqua" w:hAnsi="Book Antiqua"/>
          <w:i/>
          <w:iCs/>
          <w:lang w:val="es-ES"/>
        </w:rPr>
        <w:fldChar w:fldCharType="end"/>
      </w:r>
    </w:p>
    <w:p w14:paraId="5C7D7DFA" w14:textId="77777777" w:rsidR="006276C9" w:rsidRDefault="006276C9" w:rsidP="006276C9">
      <w:pPr>
        <w:ind w:left="851" w:right="991"/>
        <w:jc w:val="center"/>
        <w:rPr>
          <w:rFonts w:ascii="Book Antiqua" w:hAnsi="Book Antiqua"/>
          <w:b/>
          <w:bCs/>
          <w:i/>
          <w:iCs/>
          <w:lang w:val="es-ES"/>
        </w:rPr>
      </w:pPr>
      <w:r>
        <w:rPr>
          <w:rFonts w:ascii="Book Antiqua" w:hAnsi="Book Antiqua"/>
          <w:b/>
          <w:bCs/>
          <w:i/>
          <w:iCs/>
        </w:rPr>
        <w:t>Proceso de pase a fallo de los expedientes en Juzgados de Trabajo en el módulo de pase a fallo en Escritorio Virtual y archivo Excel</w:t>
      </w:r>
    </w:p>
    <w:p w14:paraId="5556B5E9" w14:textId="77777777" w:rsidR="006276C9" w:rsidRDefault="006276C9" w:rsidP="006276C9">
      <w:pPr>
        <w:spacing w:before="240"/>
        <w:ind w:left="851" w:right="991" w:hanging="993"/>
        <w:jc w:val="center"/>
        <w:rPr>
          <w:rFonts w:ascii="Book Antiqua" w:hAnsi="Book Antiqua"/>
          <w:bCs/>
        </w:rPr>
      </w:pPr>
    </w:p>
    <w:p w14:paraId="7A8DA088" w14:textId="77777777" w:rsidR="006276C9" w:rsidRDefault="006276C9" w:rsidP="006276C9">
      <w:pPr>
        <w:spacing w:before="240"/>
        <w:ind w:left="851" w:right="991" w:hanging="993"/>
        <w:jc w:val="center"/>
        <w:rPr>
          <w:rFonts w:ascii="Book Antiqua" w:hAnsi="Book Antiqua"/>
          <w:bCs/>
        </w:rPr>
      </w:pPr>
      <w:r>
        <w:rPr>
          <w:noProof/>
        </w:rPr>
        <w:drawing>
          <wp:inline distT="0" distB="0" distL="0" distR="0" wp14:anchorId="54D0C09A" wp14:editId="6779AEAE">
            <wp:extent cx="5612130" cy="3156585"/>
            <wp:effectExtent l="0" t="0" r="762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156585"/>
                    </a:xfrm>
                    <a:prstGeom prst="rect">
                      <a:avLst/>
                    </a:prstGeom>
                    <a:noFill/>
                    <a:ln>
                      <a:noFill/>
                    </a:ln>
                  </pic:spPr>
                </pic:pic>
              </a:graphicData>
            </a:graphic>
          </wp:inline>
        </w:drawing>
      </w:r>
    </w:p>
    <w:p w14:paraId="26546909" w14:textId="77777777" w:rsidR="006276C9" w:rsidRDefault="006276C9" w:rsidP="006276C9">
      <w:pPr>
        <w:spacing w:before="240"/>
        <w:ind w:left="851" w:right="991" w:hanging="993"/>
        <w:jc w:val="center"/>
        <w:rPr>
          <w:rFonts w:ascii="Book Antiqua" w:hAnsi="Book Antiqua"/>
          <w:bCs/>
        </w:rPr>
      </w:pPr>
    </w:p>
    <w:p w14:paraId="0F4E39D7" w14:textId="77777777" w:rsidR="006276C9" w:rsidRDefault="006276C9" w:rsidP="006276C9">
      <w:pPr>
        <w:ind w:left="851" w:right="991"/>
        <w:jc w:val="center"/>
        <w:rPr>
          <w:rFonts w:ascii="Book Antiqua" w:hAnsi="Book Antiqua" w:cs="Arial"/>
        </w:rPr>
      </w:pPr>
    </w:p>
    <w:p w14:paraId="470DB017" w14:textId="77777777" w:rsidR="006276C9" w:rsidRDefault="006276C9" w:rsidP="006276C9">
      <w:pPr>
        <w:ind w:left="851" w:right="991"/>
        <w:jc w:val="center"/>
        <w:rPr>
          <w:rFonts w:ascii="Book Antiqua" w:hAnsi="Book Antiqua" w:cs="Arial"/>
        </w:rPr>
      </w:pPr>
    </w:p>
    <w:p w14:paraId="73294B07" w14:textId="77777777" w:rsidR="006276C9" w:rsidRDefault="006276C9" w:rsidP="006276C9">
      <w:pPr>
        <w:ind w:left="851" w:right="991"/>
        <w:jc w:val="center"/>
        <w:rPr>
          <w:rFonts w:ascii="Book Antiqua" w:hAnsi="Book Antiqua" w:cs="Arial"/>
        </w:rPr>
      </w:pPr>
    </w:p>
    <w:p w14:paraId="1230423C" w14:textId="77777777" w:rsidR="006276C9" w:rsidRDefault="006276C9" w:rsidP="006276C9">
      <w:pPr>
        <w:ind w:left="851" w:right="991"/>
        <w:rPr>
          <w:rFonts w:ascii="Book Antiqua" w:hAnsi="Book Antiqua" w:cs="Arial"/>
          <w:snapToGrid w:val="0"/>
        </w:rPr>
      </w:pPr>
      <w:r>
        <w:rPr>
          <w:noProof/>
        </w:rPr>
        <w:drawing>
          <wp:inline distT="0" distB="0" distL="0" distR="0" wp14:anchorId="422F4824" wp14:editId="2AEF5B61">
            <wp:extent cx="5612130" cy="3098165"/>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3098165"/>
                    </a:xfrm>
                    <a:prstGeom prst="rect">
                      <a:avLst/>
                    </a:prstGeom>
                    <a:noFill/>
                    <a:ln>
                      <a:noFill/>
                    </a:ln>
                  </pic:spPr>
                </pic:pic>
              </a:graphicData>
            </a:graphic>
          </wp:inline>
        </w:drawing>
      </w:r>
    </w:p>
    <w:p w14:paraId="6069A07B" w14:textId="77777777" w:rsidR="006276C9" w:rsidRDefault="006276C9" w:rsidP="006276C9">
      <w:pPr>
        <w:widowControl w:val="0"/>
        <w:spacing w:line="276" w:lineRule="auto"/>
        <w:jc w:val="both"/>
        <w:rPr>
          <w:rFonts w:ascii="Book Antiqua" w:hAnsi="Book Antiqua" w:cs="Book Antiqua"/>
          <w:b/>
          <w:bCs/>
          <w:snapToGrid w:val="0"/>
        </w:rPr>
      </w:pPr>
      <w:r>
        <w:rPr>
          <w:rFonts w:ascii="Book Antiqua" w:hAnsi="Book Antiqua" w:cs="Book Antiqua"/>
          <w:b/>
          <w:bCs/>
          <w:snapToGrid w:val="0"/>
        </w:rPr>
        <w:t>Generalidades del proceso de registro de pase a fallo:</w:t>
      </w:r>
    </w:p>
    <w:p w14:paraId="4F3E80B9" w14:textId="77777777" w:rsidR="006276C9" w:rsidRDefault="006276C9" w:rsidP="006276C9">
      <w:pPr>
        <w:widowControl w:val="0"/>
        <w:spacing w:line="276" w:lineRule="auto"/>
        <w:jc w:val="both"/>
        <w:rPr>
          <w:rFonts w:ascii="Book Antiqua" w:hAnsi="Book Antiqua" w:cs="Book Antiqua"/>
          <w:snapToGrid w:val="0"/>
        </w:rPr>
      </w:pPr>
    </w:p>
    <w:p w14:paraId="2BDD2495" w14:textId="77777777" w:rsidR="006276C9" w:rsidRDefault="006276C9" w:rsidP="006276C9">
      <w:pPr>
        <w:numPr>
          <w:ilvl w:val="0"/>
          <w:numId w:val="1"/>
        </w:numPr>
        <w:spacing w:line="276" w:lineRule="auto"/>
        <w:ind w:left="426" w:right="-1" w:firstLine="0"/>
        <w:jc w:val="both"/>
        <w:rPr>
          <w:rFonts w:ascii="Book Antiqua" w:hAnsi="Book Antiqua" w:cs="Book Antiqua"/>
          <w:snapToGrid w:val="0"/>
        </w:rPr>
      </w:pPr>
      <w:r>
        <w:rPr>
          <w:rFonts w:ascii="Book Antiqua" w:hAnsi="Book Antiqua" w:cs="Book Antiqua"/>
          <w:snapToGrid w:val="0"/>
        </w:rPr>
        <w:t xml:space="preserve">Toda sentencia y auto </w:t>
      </w:r>
      <w:r w:rsidRPr="00302F1D">
        <w:rPr>
          <w:rFonts w:ascii="Book Antiqua" w:hAnsi="Book Antiqua" w:cs="Book Antiqua"/>
          <w:snapToGrid w:val="0"/>
          <w:highlight w:val="lightGray"/>
        </w:rPr>
        <w:t xml:space="preserve">que terminen el proceso de </w:t>
      </w:r>
      <w:r w:rsidRPr="00DC2CF9">
        <w:rPr>
          <w:rFonts w:ascii="Book Antiqua" w:hAnsi="Book Antiqua" w:cs="Book Antiqua"/>
          <w:snapToGrid w:val="0"/>
          <w:highlight w:val="lightGray"/>
        </w:rPr>
        <w:t>conformidad</w:t>
      </w:r>
      <w:r w:rsidRPr="00302F1D">
        <w:rPr>
          <w:rFonts w:ascii="Book Antiqua" w:hAnsi="Book Antiqua" w:cs="Book Antiqua"/>
          <w:snapToGrid w:val="0"/>
          <w:highlight w:val="lightGray"/>
        </w:rPr>
        <w:t xml:space="preserve"> con la circular 17-</w:t>
      </w:r>
      <w:r>
        <w:rPr>
          <w:rFonts w:ascii="Book Antiqua" w:hAnsi="Book Antiqua" w:cs="Book Antiqua"/>
          <w:snapToGrid w:val="0"/>
          <w:highlight w:val="lightGray"/>
        </w:rPr>
        <w:t>20</w:t>
      </w:r>
      <w:r w:rsidRPr="00302F1D">
        <w:rPr>
          <w:rFonts w:ascii="Book Antiqua" w:hAnsi="Book Antiqua" w:cs="Book Antiqua"/>
          <w:snapToGrid w:val="0"/>
          <w:highlight w:val="lightGray"/>
        </w:rPr>
        <w:t>21</w:t>
      </w:r>
      <w:r>
        <w:rPr>
          <w:rFonts w:ascii="Book Antiqua" w:hAnsi="Book Antiqua" w:cs="Book Antiqua"/>
          <w:snapToGrid w:val="0"/>
        </w:rPr>
        <w:t xml:space="preserve"> lleva número de voto (mejora de voto automático) pero en el módulo de pase a fallo, solo se registran asuntos que pasan a estudio para dictado de sentencia. </w:t>
      </w:r>
    </w:p>
    <w:p w14:paraId="5DD126C4" w14:textId="77777777" w:rsidR="006276C9" w:rsidRDefault="006276C9" w:rsidP="006276C9">
      <w:pPr>
        <w:spacing w:line="276" w:lineRule="auto"/>
        <w:ind w:left="426" w:right="-1"/>
        <w:jc w:val="both"/>
        <w:rPr>
          <w:rFonts w:ascii="Book Antiqua" w:hAnsi="Book Antiqua" w:cs="Book Antiqua"/>
          <w:snapToGrid w:val="0"/>
        </w:rPr>
      </w:pPr>
    </w:p>
    <w:p w14:paraId="3BC927B6" w14:textId="77777777" w:rsidR="006276C9" w:rsidRDefault="006276C9" w:rsidP="006276C9">
      <w:pPr>
        <w:numPr>
          <w:ilvl w:val="0"/>
          <w:numId w:val="1"/>
        </w:numPr>
        <w:spacing w:line="276" w:lineRule="auto"/>
        <w:ind w:left="426" w:right="-1" w:firstLine="0"/>
        <w:jc w:val="both"/>
        <w:rPr>
          <w:rFonts w:ascii="Book Antiqua" w:hAnsi="Book Antiqua" w:cs="Book Antiqua"/>
          <w:snapToGrid w:val="0"/>
        </w:rPr>
      </w:pPr>
      <w:r>
        <w:rPr>
          <w:rFonts w:ascii="Book Antiqua" w:hAnsi="Book Antiqua" w:cs="Book Antiqua"/>
          <w:snapToGrid w:val="0"/>
        </w:rPr>
        <w:t xml:space="preserve">Los proyectos de los autos serán redactados por las personas técnicas judiciales usando los formatos de voto automático y pasando a firma del Juez. </w:t>
      </w:r>
    </w:p>
    <w:p w14:paraId="2F054A49" w14:textId="77777777" w:rsidR="006276C9" w:rsidRDefault="006276C9" w:rsidP="006276C9">
      <w:pPr>
        <w:spacing w:line="276" w:lineRule="auto"/>
        <w:ind w:left="426" w:right="-1"/>
        <w:jc w:val="both"/>
        <w:rPr>
          <w:rFonts w:ascii="Book Antiqua" w:hAnsi="Book Antiqua" w:cs="Book Antiqua"/>
          <w:snapToGrid w:val="0"/>
        </w:rPr>
      </w:pPr>
      <w:r>
        <w:rPr>
          <w:rFonts w:ascii="Book Antiqua" w:hAnsi="Book Antiqua" w:cs="Book Antiqua"/>
          <w:snapToGrid w:val="0"/>
          <w:highlight w:val="lightGray"/>
        </w:rPr>
        <w:t>R</w:t>
      </w:r>
      <w:r w:rsidRPr="00C35041">
        <w:rPr>
          <w:rFonts w:ascii="Book Antiqua" w:hAnsi="Book Antiqua" w:cs="Book Antiqua"/>
          <w:snapToGrid w:val="0"/>
          <w:highlight w:val="lightGray"/>
        </w:rPr>
        <w:t xml:space="preserve">esoluciones </w:t>
      </w:r>
      <w:r w:rsidRPr="00302F1D">
        <w:rPr>
          <w:rFonts w:ascii="Book Antiqua" w:hAnsi="Book Antiqua" w:cs="Book Antiqua"/>
          <w:snapToGrid w:val="0"/>
          <w:highlight w:val="lightGray"/>
        </w:rPr>
        <w:t xml:space="preserve">que le pongan fin al proceso </w:t>
      </w:r>
      <w:r w:rsidRPr="00ED1066">
        <w:rPr>
          <w:rFonts w:ascii="Book Antiqua" w:hAnsi="Book Antiqua" w:cs="Book Antiqua"/>
          <w:snapToGrid w:val="0"/>
          <w:highlight w:val="lightGray"/>
        </w:rPr>
        <w:t>(</w:t>
      </w:r>
      <w:r w:rsidRPr="009936F0">
        <w:rPr>
          <w:rFonts w:ascii="Book Antiqua" w:hAnsi="Book Antiqua" w:cs="Book Antiqua"/>
          <w:snapToGrid w:val="0"/>
          <w:highlight w:val="lightGray"/>
        </w:rPr>
        <w:t xml:space="preserve">salvo </w:t>
      </w:r>
      <w:r w:rsidRPr="00302F1D">
        <w:rPr>
          <w:rFonts w:ascii="Book Antiqua" w:hAnsi="Book Antiqua" w:cs="Book Antiqua"/>
          <w:snapToGrid w:val="0"/>
          <w:highlight w:val="lightGray"/>
        </w:rPr>
        <w:t>sentencia dictada que sólo la persona juzgadora puede redactar)</w:t>
      </w:r>
      <w:r>
        <w:rPr>
          <w:rFonts w:ascii="Book Antiqua" w:hAnsi="Book Antiqua" w:cs="Book Antiqua"/>
          <w:snapToGrid w:val="0"/>
        </w:rPr>
        <w:t xml:space="preserve"> en los que el personal técnico hace el proyecto deberán redactarlo con el formato “machote” de voto automático, hacer el registro de resolución y finalmente hacer un cambio de ubicación a la persona Juzgadora a la tarea de pase a fallo correspondiente. </w:t>
      </w:r>
    </w:p>
    <w:p w14:paraId="78FF8BD6" w14:textId="77777777" w:rsidR="006276C9" w:rsidRDefault="006276C9" w:rsidP="006276C9">
      <w:pPr>
        <w:spacing w:line="276" w:lineRule="auto"/>
        <w:ind w:left="426" w:right="-1"/>
        <w:jc w:val="both"/>
        <w:rPr>
          <w:rFonts w:ascii="Book Antiqua" w:hAnsi="Book Antiqua" w:cs="Book Antiqua"/>
          <w:snapToGrid w:val="0"/>
        </w:rPr>
      </w:pPr>
      <w:r>
        <w:rPr>
          <w:rFonts w:ascii="Book Antiqua" w:hAnsi="Book Antiqua" w:cs="Book Antiqua"/>
          <w:snapToGrid w:val="0"/>
        </w:rPr>
        <w:t>El Juez revisa, se asigna la firma y lo devuelve a la persona Coordinadora Judicial para anotar en el libro de pase a fallo de Excel.</w:t>
      </w:r>
    </w:p>
    <w:p w14:paraId="7EA48F38" w14:textId="77777777" w:rsidR="006276C9" w:rsidRDefault="006276C9" w:rsidP="006276C9">
      <w:pPr>
        <w:spacing w:line="276" w:lineRule="auto"/>
        <w:ind w:left="426" w:right="-1"/>
        <w:jc w:val="both"/>
        <w:rPr>
          <w:rFonts w:ascii="Book Antiqua" w:hAnsi="Book Antiqua" w:cs="Book Antiqua"/>
          <w:snapToGrid w:val="0"/>
          <w:lang w:val="es-MX"/>
        </w:rPr>
      </w:pPr>
      <w:r>
        <w:rPr>
          <w:rFonts w:ascii="Book Antiqua" w:hAnsi="Book Antiqua" w:cs="Book Antiqua"/>
          <w:snapToGrid w:val="0"/>
        </w:rPr>
        <w:t>Si es una sentencia el</w:t>
      </w:r>
      <w:r>
        <w:rPr>
          <w:rFonts w:ascii="Book Antiqua" w:hAnsi="Book Antiqua" w:cs="Book Antiqua"/>
          <w:snapToGrid w:val="0"/>
          <w:lang w:val="es-MX"/>
        </w:rPr>
        <w:t xml:space="preserve"> Juez lo devuelve a coordinador judicial para que haga la anotación en el libro de pase a fallo de Excel. </w:t>
      </w:r>
    </w:p>
    <w:p w14:paraId="0A174890" w14:textId="77777777" w:rsidR="006276C9" w:rsidRDefault="006276C9" w:rsidP="006276C9">
      <w:pPr>
        <w:spacing w:line="276" w:lineRule="auto"/>
        <w:ind w:left="426" w:right="-1"/>
        <w:jc w:val="both"/>
        <w:rPr>
          <w:rFonts w:ascii="Book Antiqua" w:hAnsi="Book Antiqua" w:cs="Book Antiqua"/>
          <w:snapToGrid w:val="0"/>
        </w:rPr>
      </w:pPr>
    </w:p>
    <w:p w14:paraId="3A478179" w14:textId="77777777" w:rsidR="006276C9" w:rsidRDefault="006276C9" w:rsidP="006276C9">
      <w:pPr>
        <w:widowControl w:val="0"/>
        <w:numPr>
          <w:ilvl w:val="0"/>
          <w:numId w:val="1"/>
        </w:numPr>
        <w:spacing w:line="276" w:lineRule="auto"/>
        <w:ind w:left="426" w:firstLine="0"/>
        <w:jc w:val="both"/>
        <w:rPr>
          <w:rFonts w:ascii="Book Antiqua" w:hAnsi="Book Antiqua" w:cs="Book Antiqua"/>
          <w:snapToGrid w:val="0"/>
        </w:rPr>
      </w:pPr>
      <w:r>
        <w:rPr>
          <w:rFonts w:ascii="Book Antiqua" w:hAnsi="Book Antiqua" w:cs="Book Antiqua"/>
          <w:snapToGrid w:val="0"/>
        </w:rPr>
        <w:t xml:space="preserve">La tarea </w:t>
      </w:r>
      <w:r>
        <w:rPr>
          <w:rFonts w:ascii="Book Antiqua" w:hAnsi="Book Antiqua" w:cs="Book Antiqua"/>
          <w:i/>
          <w:iCs/>
          <w:snapToGrid w:val="0"/>
        </w:rPr>
        <w:t>“</w:t>
      </w:r>
      <w:proofErr w:type="spellStart"/>
      <w:r>
        <w:rPr>
          <w:rFonts w:ascii="Book Antiqua" w:hAnsi="Book Antiqua" w:cs="Book Antiqua"/>
          <w:i/>
          <w:iCs/>
          <w:snapToGrid w:val="0"/>
        </w:rPr>
        <w:t>Exp</w:t>
      </w:r>
      <w:proofErr w:type="spellEnd"/>
      <w:r>
        <w:rPr>
          <w:rFonts w:ascii="Book Antiqua" w:hAnsi="Book Antiqua" w:cs="Book Antiqua"/>
          <w:i/>
          <w:iCs/>
          <w:snapToGrid w:val="0"/>
        </w:rPr>
        <w:t>. Listo para fallar e ingresar al libro fallo electrónico</w:t>
      </w:r>
      <w:r>
        <w:rPr>
          <w:rFonts w:ascii="Book Antiqua" w:hAnsi="Book Antiqua" w:cs="Book Antiqua"/>
          <w:snapToGrid w:val="0"/>
        </w:rPr>
        <w:t xml:space="preserve">” NO debe utilizarse a partir de la configuración de la mejora de pase a fallo por tareas.  </w:t>
      </w:r>
    </w:p>
    <w:p w14:paraId="643ECB88" w14:textId="77777777" w:rsidR="006276C9" w:rsidRDefault="006276C9" w:rsidP="006276C9">
      <w:pPr>
        <w:widowControl w:val="0"/>
        <w:spacing w:line="276" w:lineRule="auto"/>
        <w:ind w:left="426"/>
        <w:jc w:val="both"/>
        <w:rPr>
          <w:rFonts w:ascii="Book Antiqua" w:hAnsi="Book Antiqua" w:cs="Book Antiqua"/>
          <w:snapToGrid w:val="0"/>
        </w:rPr>
      </w:pPr>
      <w:r>
        <w:rPr>
          <w:rFonts w:ascii="Book Antiqua" w:hAnsi="Book Antiqua" w:cs="Book Antiqua"/>
          <w:snapToGrid w:val="0"/>
        </w:rPr>
        <w:t xml:space="preserve">Por lo tanto, las oficinas que mantengan expedientes en la tarea </w:t>
      </w:r>
      <w:r>
        <w:rPr>
          <w:rFonts w:ascii="Book Antiqua" w:hAnsi="Book Antiqua" w:cs="Book Antiqua"/>
          <w:i/>
          <w:iCs/>
          <w:snapToGrid w:val="0"/>
        </w:rPr>
        <w:t>“</w:t>
      </w:r>
      <w:proofErr w:type="spellStart"/>
      <w:r>
        <w:rPr>
          <w:rFonts w:ascii="Book Antiqua" w:hAnsi="Book Antiqua" w:cs="Book Antiqua"/>
          <w:i/>
          <w:iCs/>
          <w:snapToGrid w:val="0"/>
        </w:rPr>
        <w:t>Exp</w:t>
      </w:r>
      <w:proofErr w:type="spellEnd"/>
      <w:r>
        <w:rPr>
          <w:rFonts w:ascii="Book Antiqua" w:hAnsi="Book Antiqua" w:cs="Book Antiqua"/>
          <w:i/>
          <w:iCs/>
          <w:snapToGrid w:val="0"/>
        </w:rPr>
        <w:t>. Listo para fallar e ingresar al libro fallo electrónico”</w:t>
      </w:r>
      <w:r>
        <w:rPr>
          <w:rFonts w:ascii="Book Antiqua" w:hAnsi="Book Antiqua" w:cs="Book Antiqua"/>
          <w:snapToGrid w:val="0"/>
        </w:rPr>
        <w:t xml:space="preserve"> para evitar errores en los registros, deben trasladar los expedientes a la tarea </w:t>
      </w:r>
      <w:r>
        <w:rPr>
          <w:rFonts w:ascii="Book Antiqua" w:hAnsi="Book Antiqua" w:cs="Book Antiqua"/>
          <w:i/>
          <w:iCs/>
          <w:snapToGrid w:val="0"/>
        </w:rPr>
        <w:t>“Enviar a fallo”.</w:t>
      </w:r>
      <w:r>
        <w:rPr>
          <w:rFonts w:ascii="Book Antiqua" w:hAnsi="Book Antiqua" w:cs="Book Antiqua"/>
          <w:snapToGrid w:val="0"/>
        </w:rPr>
        <w:t xml:space="preserve"> </w:t>
      </w:r>
    </w:p>
    <w:p w14:paraId="581312AC" w14:textId="77777777" w:rsidR="006276C9" w:rsidRDefault="006276C9" w:rsidP="006276C9">
      <w:pPr>
        <w:widowControl w:val="0"/>
        <w:spacing w:line="276" w:lineRule="auto"/>
        <w:ind w:left="426"/>
        <w:jc w:val="both"/>
        <w:rPr>
          <w:rFonts w:ascii="Book Antiqua" w:hAnsi="Book Antiqua" w:cs="Book Antiqua"/>
          <w:snapToGrid w:val="0"/>
        </w:rPr>
      </w:pPr>
      <w:r>
        <w:rPr>
          <w:rFonts w:ascii="Book Antiqua" w:hAnsi="Book Antiqua" w:cs="Book Antiqua"/>
          <w:snapToGrid w:val="0"/>
        </w:rPr>
        <w:t xml:space="preserve">Una vez hecho lo anterior, deben desasociar del sistema la tarea </w:t>
      </w:r>
      <w:r>
        <w:rPr>
          <w:rFonts w:ascii="Book Antiqua" w:hAnsi="Book Antiqua" w:cs="Book Antiqua"/>
          <w:i/>
          <w:iCs/>
          <w:snapToGrid w:val="0"/>
        </w:rPr>
        <w:t>“</w:t>
      </w:r>
      <w:proofErr w:type="spellStart"/>
      <w:r>
        <w:rPr>
          <w:rFonts w:ascii="Book Antiqua" w:hAnsi="Book Antiqua" w:cs="Book Antiqua"/>
          <w:i/>
          <w:iCs/>
          <w:snapToGrid w:val="0"/>
        </w:rPr>
        <w:t>Exp</w:t>
      </w:r>
      <w:proofErr w:type="spellEnd"/>
      <w:r>
        <w:rPr>
          <w:rFonts w:ascii="Book Antiqua" w:hAnsi="Book Antiqua" w:cs="Book Antiqua"/>
          <w:i/>
          <w:iCs/>
          <w:snapToGrid w:val="0"/>
        </w:rPr>
        <w:t>. Listo para fallar e ingresar al libro fallo electrónico”</w:t>
      </w:r>
      <w:r>
        <w:rPr>
          <w:rFonts w:ascii="Book Antiqua" w:hAnsi="Book Antiqua" w:cs="Book Antiqua"/>
          <w:snapToGrid w:val="0"/>
        </w:rPr>
        <w:t xml:space="preserve"> (para que ya no pueda utilizarse) e informar a DTI Regional para que corrobore que se realizó correctamente.</w:t>
      </w:r>
    </w:p>
    <w:p w14:paraId="6EC02A65" w14:textId="77777777" w:rsidR="006276C9" w:rsidRDefault="006276C9" w:rsidP="006276C9">
      <w:pPr>
        <w:widowControl w:val="0"/>
        <w:spacing w:line="276" w:lineRule="auto"/>
        <w:ind w:left="426"/>
        <w:jc w:val="both"/>
        <w:rPr>
          <w:rFonts w:ascii="Book Antiqua" w:hAnsi="Book Antiqua" w:cs="Book Antiqua"/>
          <w:snapToGrid w:val="0"/>
        </w:rPr>
      </w:pPr>
    </w:p>
    <w:p w14:paraId="5D2763B2" w14:textId="77777777" w:rsidR="006276C9" w:rsidRDefault="006276C9" w:rsidP="006276C9">
      <w:pPr>
        <w:numPr>
          <w:ilvl w:val="0"/>
          <w:numId w:val="1"/>
        </w:numPr>
        <w:spacing w:line="276" w:lineRule="auto"/>
        <w:ind w:left="426" w:firstLine="0"/>
        <w:jc w:val="both"/>
        <w:rPr>
          <w:rFonts w:ascii="Book Antiqua" w:hAnsi="Book Antiqua" w:cs="Arial"/>
          <w:b/>
          <w:bCs/>
        </w:rPr>
      </w:pPr>
      <w:r>
        <w:rPr>
          <w:rFonts w:ascii="Book Antiqua" w:hAnsi="Book Antiqua" w:cs="Book Antiqua"/>
          <w:snapToGrid w:val="0"/>
        </w:rPr>
        <w:t>El registro de la información en el libro de pase a fallo y en el archivo de formato Excel se realizará de manera paralela, hasta tanto el Subproceso de Estadística de la Dirección de Planificación valide que la información registrada coindice con la realidad de la oficina (uso adecuado de la mejora de pase a fallo del Escritorio Virtual) y comunique oficialmente a las oficinas que pueden cesar el registro paralelo.</w:t>
      </w:r>
    </w:p>
    <w:p w14:paraId="4B287902" w14:textId="77777777" w:rsidR="006276C9" w:rsidRDefault="006276C9" w:rsidP="006276C9">
      <w:pPr>
        <w:spacing w:line="276" w:lineRule="auto"/>
        <w:ind w:left="426"/>
        <w:jc w:val="both"/>
        <w:rPr>
          <w:rFonts w:ascii="Book Antiqua" w:hAnsi="Book Antiqua" w:cs="Arial"/>
          <w:b/>
          <w:bCs/>
        </w:rPr>
      </w:pPr>
    </w:p>
    <w:p w14:paraId="6AB7174B" w14:textId="77777777" w:rsidR="006276C9" w:rsidRDefault="006276C9" w:rsidP="006276C9">
      <w:pPr>
        <w:numPr>
          <w:ilvl w:val="0"/>
          <w:numId w:val="1"/>
        </w:numPr>
        <w:spacing w:line="276" w:lineRule="auto"/>
        <w:ind w:left="426" w:firstLine="0"/>
        <w:jc w:val="both"/>
        <w:rPr>
          <w:rFonts w:ascii="Book Antiqua" w:hAnsi="Book Antiqua" w:cs="Arial"/>
          <w:b/>
          <w:bCs/>
        </w:rPr>
      </w:pPr>
      <w:r>
        <w:rPr>
          <w:rFonts w:ascii="Book Antiqua" w:hAnsi="Book Antiqua" w:cs="Book Antiqua"/>
          <w:b/>
          <w:bCs/>
          <w:snapToGrid w:val="0"/>
        </w:rPr>
        <w:t xml:space="preserve">Ingreso en módulo de pase a fallo una vez celebrada una audiencia por la persona juzgadora: </w:t>
      </w:r>
      <w:r>
        <w:rPr>
          <w:rFonts w:ascii="Book Antiqua" w:hAnsi="Book Antiqua" w:cs="Book Antiqua"/>
          <w:snapToGrid w:val="0"/>
        </w:rPr>
        <w:t>Cuando la persona juzgadora realiza una audiencia, previo a dictar la resolución que ponga término a la causa, debe realizar un cambio de ubicación del expediente y pasarla a su misma ubicación, pero a la tarea “</w:t>
      </w:r>
      <w:r>
        <w:rPr>
          <w:rFonts w:ascii="Book Antiqua" w:hAnsi="Book Antiqua" w:cs="Book Antiqua"/>
          <w:i/>
          <w:iCs/>
          <w:snapToGrid w:val="0"/>
        </w:rPr>
        <w:t>“</w:t>
      </w:r>
      <w:proofErr w:type="spellStart"/>
      <w:r>
        <w:rPr>
          <w:rFonts w:ascii="Book Antiqua" w:hAnsi="Book Antiqua" w:cs="Book Antiqua"/>
          <w:i/>
          <w:iCs/>
          <w:snapToGrid w:val="0"/>
        </w:rPr>
        <w:t>Exp</w:t>
      </w:r>
      <w:proofErr w:type="spellEnd"/>
      <w:r>
        <w:rPr>
          <w:rFonts w:ascii="Book Antiqua" w:hAnsi="Book Antiqua" w:cs="Book Antiqua"/>
          <w:i/>
          <w:iCs/>
          <w:snapToGrid w:val="0"/>
        </w:rPr>
        <w:t>. Listo para fallar-</w:t>
      </w:r>
      <w:proofErr w:type="spellStart"/>
      <w:r>
        <w:rPr>
          <w:rFonts w:ascii="Book Antiqua" w:hAnsi="Book Antiqua" w:cs="Book Antiqua"/>
          <w:i/>
          <w:iCs/>
          <w:snapToGrid w:val="0"/>
        </w:rPr>
        <w:t>xxxxxxxx</w:t>
      </w:r>
      <w:proofErr w:type="spellEnd"/>
      <w:r>
        <w:rPr>
          <w:rFonts w:ascii="Book Antiqua" w:hAnsi="Book Antiqua" w:cs="Book Antiqua"/>
          <w:snapToGrid w:val="0"/>
        </w:rPr>
        <w:t xml:space="preserve">” que corresponda.   De esta forma se realiza el registro en el módulo de pase a fallo del Escritorio Virtual y se contabiliza para la persona juzgadora el expediente fallado.  </w:t>
      </w:r>
    </w:p>
    <w:p w14:paraId="0D0582B9" w14:textId="77777777" w:rsidR="006276C9" w:rsidRDefault="006276C9" w:rsidP="006276C9">
      <w:pPr>
        <w:pStyle w:val="Prrafodelista"/>
        <w:rPr>
          <w:rFonts w:ascii="Book Antiqua" w:hAnsi="Book Antiqua" w:cs="Arial"/>
          <w:b/>
          <w:bCs/>
        </w:rPr>
      </w:pPr>
    </w:p>
    <w:p w14:paraId="2774AAF5" w14:textId="77777777" w:rsidR="006276C9" w:rsidRDefault="006276C9" w:rsidP="006276C9">
      <w:pPr>
        <w:numPr>
          <w:ilvl w:val="0"/>
          <w:numId w:val="1"/>
        </w:numPr>
        <w:spacing w:line="276" w:lineRule="auto"/>
        <w:ind w:left="426" w:firstLine="0"/>
        <w:jc w:val="both"/>
        <w:rPr>
          <w:rFonts w:ascii="Book Antiqua" w:hAnsi="Book Antiqua" w:cs="Arial"/>
          <w:b/>
          <w:bCs/>
        </w:rPr>
      </w:pPr>
      <w:r>
        <w:rPr>
          <w:rFonts w:ascii="Book Antiqua" w:hAnsi="Book Antiqua" w:cs="Book Antiqua"/>
          <w:b/>
          <w:bCs/>
          <w:snapToGrid w:val="0"/>
        </w:rPr>
        <w:t xml:space="preserve">Registro de asuntos pendientes de dictar sentencia, pero ya pasados a fallo (módulo de Escritorio Virtual) en donde se requiera trasladar para ser atendidos por personas juzgadoras de apoyo (programa contra el retraso judicial del CAMCFJ, supernumerarios de la Administración Regional, entre otros). </w:t>
      </w:r>
      <w:r>
        <w:rPr>
          <w:rFonts w:ascii="Book Antiqua" w:hAnsi="Book Antiqua" w:cs="Book Antiqua"/>
          <w:snapToGrid w:val="0"/>
        </w:rPr>
        <w:t>El procedimiento por realizar es:</w:t>
      </w:r>
    </w:p>
    <w:p w14:paraId="41CF31E0" w14:textId="77777777" w:rsidR="006276C9" w:rsidRDefault="006276C9" w:rsidP="006276C9">
      <w:pPr>
        <w:widowControl w:val="0"/>
        <w:numPr>
          <w:ilvl w:val="0"/>
          <w:numId w:val="2"/>
        </w:numPr>
        <w:spacing w:line="276" w:lineRule="auto"/>
        <w:ind w:left="426" w:firstLine="425"/>
        <w:jc w:val="both"/>
        <w:rPr>
          <w:rFonts w:ascii="Book Antiqua" w:hAnsi="Book Antiqua" w:cs="Book Antiqua"/>
          <w:snapToGrid w:val="0"/>
        </w:rPr>
      </w:pPr>
      <w:r>
        <w:rPr>
          <w:rFonts w:ascii="Book Antiqua" w:hAnsi="Book Antiqua" w:cs="Book Antiqua"/>
          <w:snapToGrid w:val="0"/>
        </w:rPr>
        <w:t>Se identifican los expedientes a pasar.</w:t>
      </w:r>
    </w:p>
    <w:p w14:paraId="44B9330B" w14:textId="77777777" w:rsidR="006276C9" w:rsidRDefault="006276C9" w:rsidP="006276C9">
      <w:pPr>
        <w:widowControl w:val="0"/>
        <w:numPr>
          <w:ilvl w:val="0"/>
          <w:numId w:val="2"/>
        </w:numPr>
        <w:spacing w:line="276" w:lineRule="auto"/>
        <w:ind w:left="426" w:firstLine="425"/>
        <w:jc w:val="both"/>
        <w:rPr>
          <w:rFonts w:ascii="Book Antiqua" w:hAnsi="Book Antiqua" w:cs="Book Antiqua"/>
          <w:snapToGrid w:val="0"/>
        </w:rPr>
      </w:pPr>
      <w:r>
        <w:rPr>
          <w:rFonts w:ascii="Book Antiqua" w:hAnsi="Book Antiqua" w:cs="Book Antiqua"/>
          <w:snapToGrid w:val="0"/>
        </w:rPr>
        <w:t xml:space="preserve">Se le hace un cambio de ubicación y se le asigna a la persona juzgadora de apoyo, en la tarea </w:t>
      </w:r>
      <w:r>
        <w:rPr>
          <w:rFonts w:ascii="Book Antiqua" w:hAnsi="Book Antiqua" w:cs="Book Antiqua"/>
          <w:i/>
          <w:iCs/>
          <w:snapToGrid w:val="0"/>
        </w:rPr>
        <w:t>“</w:t>
      </w:r>
      <w:proofErr w:type="spellStart"/>
      <w:r>
        <w:rPr>
          <w:rFonts w:ascii="Book Antiqua" w:hAnsi="Book Antiqua" w:cs="Book Antiqua"/>
          <w:i/>
          <w:iCs/>
          <w:snapToGrid w:val="0"/>
        </w:rPr>
        <w:t>Exp</w:t>
      </w:r>
      <w:proofErr w:type="spellEnd"/>
      <w:r>
        <w:rPr>
          <w:rFonts w:ascii="Book Antiqua" w:hAnsi="Book Antiqua" w:cs="Book Antiqua"/>
          <w:i/>
          <w:iCs/>
          <w:snapToGrid w:val="0"/>
        </w:rPr>
        <w:t>. Listo para fallar-</w:t>
      </w:r>
      <w:proofErr w:type="spellStart"/>
      <w:r>
        <w:rPr>
          <w:rFonts w:ascii="Book Antiqua" w:hAnsi="Book Antiqua" w:cs="Book Antiqua"/>
          <w:i/>
          <w:iCs/>
          <w:snapToGrid w:val="0"/>
        </w:rPr>
        <w:t>xxxxxxxx</w:t>
      </w:r>
      <w:proofErr w:type="spellEnd"/>
      <w:r>
        <w:rPr>
          <w:rFonts w:ascii="Book Antiqua" w:hAnsi="Book Antiqua" w:cs="Book Antiqua"/>
          <w:snapToGrid w:val="0"/>
        </w:rPr>
        <w:t xml:space="preserve">” que corresponda.  </w:t>
      </w:r>
    </w:p>
    <w:p w14:paraId="0FE81094" w14:textId="77777777" w:rsidR="006276C9" w:rsidRDefault="006276C9" w:rsidP="006276C9">
      <w:pPr>
        <w:widowControl w:val="0"/>
        <w:spacing w:line="276" w:lineRule="auto"/>
        <w:ind w:left="426"/>
        <w:jc w:val="both"/>
        <w:rPr>
          <w:rFonts w:ascii="Book Antiqua" w:hAnsi="Book Antiqua" w:cs="Book Antiqua"/>
          <w:snapToGrid w:val="0"/>
        </w:rPr>
      </w:pPr>
      <w:r>
        <w:rPr>
          <w:rFonts w:ascii="Book Antiqua" w:hAnsi="Book Antiqua" w:cs="Book Antiqua"/>
          <w:snapToGrid w:val="0"/>
        </w:rPr>
        <w:lastRenderedPageBreak/>
        <w:t xml:space="preserve">De esta forma se realiza el registro en el módulo de pase a fallo del cambio en la persona responsable y documenta la Jueza o Juez que redacta finalmente la sentencia. </w:t>
      </w:r>
    </w:p>
    <w:p w14:paraId="5E64BEB2" w14:textId="77777777" w:rsidR="00141E4D" w:rsidRDefault="00141E4D"/>
    <w:sectPr w:rsidR="00141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E5E40"/>
    <w:multiLevelType w:val="hybridMultilevel"/>
    <w:tmpl w:val="F48666E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59E619F5"/>
    <w:multiLevelType w:val="hybridMultilevel"/>
    <w:tmpl w:val="BEC06F4C"/>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6C9"/>
    <w:rsid w:val="0014093D"/>
    <w:rsid w:val="00141E4D"/>
    <w:rsid w:val="006276C9"/>
    <w:rsid w:val="00666371"/>
    <w:rsid w:val="006A68FB"/>
    <w:rsid w:val="00783303"/>
    <w:rsid w:val="00A318E2"/>
    <w:rsid w:val="00BD1BEC"/>
    <w:rsid w:val="00C022C5"/>
    <w:rsid w:val="00F61B22"/>
    <w:rsid w:val="00FF22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E380"/>
  <w15:chartTrackingRefBased/>
  <w15:docId w15:val="{FEA06B20-0E51-4CD8-A80A-BD683883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6C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76C9"/>
    <w:pPr>
      <w:ind w:left="720"/>
      <w:contextualSpacing/>
    </w:pPr>
  </w:style>
  <w:style w:type="paragraph" w:styleId="NormalWeb">
    <w:name w:val="Normal (Web)"/>
    <w:basedOn w:val="Normal"/>
    <w:uiPriority w:val="99"/>
    <w:semiHidden/>
    <w:unhideWhenUsed/>
    <w:rsid w:val="006276C9"/>
    <w:pPr>
      <w:spacing w:before="100" w:beforeAutospacing="1" w:after="100" w:afterAutospacing="1"/>
    </w:pPr>
    <w:rPr>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2972</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Catalina Barquero Martínez.</dc:creator>
  <cp:keywords/>
  <dc:description/>
  <cp:lastModifiedBy>Secretaría General de la Corte - Comunicaciones - Catalina Barquero Martínez.</cp:lastModifiedBy>
  <cp:revision>1</cp:revision>
  <dcterms:created xsi:type="dcterms:W3CDTF">2021-07-14T14:52:00Z</dcterms:created>
  <dcterms:modified xsi:type="dcterms:W3CDTF">2021-07-14T14:52:00Z</dcterms:modified>
</cp:coreProperties>
</file>