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F12A7" w:rsidRPr="004F12A7" w:rsidRDefault="004F12A7" w:rsidP="004F12A7">
      <w:pPr>
        <w:spacing w:after="0" w:line="240" w:lineRule="auto"/>
        <w:jc w:val="center"/>
        <w:rPr>
          <w:rFonts w:ascii="Tahoma" w:hAnsi="Tahoma" w:cs="Tahoma"/>
          <w:b/>
          <w:bCs/>
        </w:rPr>
      </w:pPr>
      <w:bookmarkStart w:id="0" w:name="_Hlk43979125"/>
      <w:r w:rsidRPr="004F12A7">
        <w:rPr>
          <w:rFonts w:ascii="Tahoma" w:hAnsi="Tahoma" w:cs="Tahoma"/>
          <w:b/>
          <w:bCs/>
        </w:rPr>
        <w:t xml:space="preserve">Modelo de Gestión por Fases según </w:t>
      </w:r>
      <w:r w:rsidR="00F50318">
        <w:rPr>
          <w:rFonts w:ascii="Tahoma" w:hAnsi="Tahoma" w:cs="Tahoma"/>
          <w:b/>
          <w:bCs/>
        </w:rPr>
        <w:t xml:space="preserve">el tipo de </w:t>
      </w:r>
      <w:r w:rsidRPr="004F12A7">
        <w:rPr>
          <w:rFonts w:ascii="Tahoma" w:hAnsi="Tahoma" w:cs="Tahoma"/>
          <w:b/>
          <w:bCs/>
        </w:rPr>
        <w:t>Alerta</w:t>
      </w:r>
    </w:p>
    <w:p w:rsidR="004F12A7" w:rsidRPr="004F12A7" w:rsidRDefault="004F12A7" w:rsidP="004F12A7">
      <w:pPr>
        <w:spacing w:after="0" w:line="240" w:lineRule="auto"/>
        <w:jc w:val="center"/>
        <w:rPr>
          <w:rFonts w:ascii="Tahoma" w:hAnsi="Tahoma" w:cs="Tahoma"/>
          <w:b/>
          <w:bCs/>
        </w:rPr>
      </w:pPr>
      <w:r w:rsidRPr="004F12A7">
        <w:rPr>
          <w:rFonts w:ascii="Tahoma" w:hAnsi="Tahoma" w:cs="Tahoma"/>
          <w:b/>
          <w:bCs/>
        </w:rPr>
        <w:t>COVID-19</w:t>
      </w:r>
    </w:p>
    <w:p w:rsidR="004F12A7" w:rsidRPr="004F12A7" w:rsidRDefault="004F12A7" w:rsidP="004F12A7">
      <w:pPr>
        <w:spacing w:after="0" w:line="240" w:lineRule="auto"/>
        <w:jc w:val="center"/>
        <w:rPr>
          <w:rFonts w:ascii="Tahoma" w:hAnsi="Tahoma" w:cs="Tahoma"/>
          <w:b/>
          <w:bCs/>
        </w:rPr>
      </w:pPr>
      <w:r w:rsidRPr="004F12A7">
        <w:rPr>
          <w:rFonts w:ascii="Tahoma" w:hAnsi="Tahoma" w:cs="Tahoma"/>
          <w:b/>
          <w:bCs/>
        </w:rPr>
        <w:t>PODER JUDICIAL</w:t>
      </w:r>
    </w:p>
    <w:p w:rsidR="00B976E2" w:rsidRPr="001D2C64" w:rsidRDefault="00B976E2" w:rsidP="004C185C">
      <w:pPr>
        <w:spacing w:after="0" w:line="240" w:lineRule="auto"/>
        <w:jc w:val="center"/>
        <w:rPr>
          <w:rFonts w:ascii="Tahoma" w:hAnsi="Tahoma" w:cs="Tahoma"/>
          <w:b/>
          <w:bCs/>
          <w:sz w:val="24"/>
          <w:szCs w:val="24"/>
        </w:rPr>
      </w:pPr>
    </w:p>
    <w:p w:rsidR="00B976E2" w:rsidRPr="001D2C64" w:rsidRDefault="00B976E2" w:rsidP="00511488">
      <w:pPr>
        <w:spacing w:after="0" w:line="240" w:lineRule="auto"/>
        <w:jc w:val="center"/>
        <w:rPr>
          <w:rFonts w:ascii="Tahoma" w:hAnsi="Tahoma" w:cs="Tahoma"/>
          <w:b/>
          <w:bCs/>
          <w:sz w:val="24"/>
          <w:szCs w:val="24"/>
        </w:rPr>
      </w:pPr>
      <w:r w:rsidRPr="001D2C64">
        <w:rPr>
          <w:rFonts w:ascii="Tahoma" w:hAnsi="Tahoma" w:cs="Tahoma"/>
          <w:b/>
          <w:bCs/>
          <w:sz w:val="24"/>
          <w:szCs w:val="24"/>
        </w:rPr>
        <w:t xml:space="preserve">JURISDICCIÓN DE </w:t>
      </w:r>
      <w:r w:rsidR="002E737C" w:rsidRPr="001D2C64">
        <w:rPr>
          <w:rFonts w:ascii="Tahoma" w:hAnsi="Tahoma" w:cs="Tahoma"/>
          <w:b/>
          <w:bCs/>
          <w:sz w:val="24"/>
          <w:szCs w:val="24"/>
        </w:rPr>
        <w:t>LABORAL</w:t>
      </w:r>
    </w:p>
    <w:p w:rsidR="007D3E88" w:rsidRPr="001D2C64" w:rsidRDefault="007D3E88" w:rsidP="00511488">
      <w:pPr>
        <w:spacing w:after="0" w:line="240" w:lineRule="auto"/>
        <w:jc w:val="center"/>
        <w:rPr>
          <w:rFonts w:ascii="Tahoma" w:hAnsi="Tahoma" w:cs="Tahoma"/>
          <w:sz w:val="24"/>
          <w:szCs w:val="24"/>
        </w:rPr>
      </w:pPr>
    </w:p>
    <w:p w:rsidR="00511488" w:rsidRPr="001D2C64" w:rsidRDefault="00E022F2" w:rsidP="007F140C">
      <w:pPr>
        <w:spacing w:after="0" w:line="240" w:lineRule="auto"/>
        <w:jc w:val="center"/>
        <w:rPr>
          <w:rFonts w:ascii="Tahoma" w:hAnsi="Tahoma" w:cs="Tahoma"/>
          <w:b/>
          <w:bCs/>
          <w:sz w:val="24"/>
          <w:szCs w:val="24"/>
        </w:rPr>
      </w:pPr>
      <w:r w:rsidRPr="001D2C64">
        <w:rPr>
          <w:rFonts w:ascii="Tahoma" w:hAnsi="Tahoma" w:cs="Tahoma"/>
          <w:b/>
          <w:noProof/>
          <w:sz w:val="24"/>
          <w:szCs w:val="24"/>
        </w:rPr>
        <w:drawing>
          <wp:inline distT="0" distB="0" distL="0" distR="0" wp14:anchorId="3F85D8A1">
            <wp:extent cx="3295650" cy="1190625"/>
            <wp:effectExtent l="0" t="0" r="0" b="0"/>
            <wp:docPr id="3" name="Diagrama 1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511488" w:rsidRPr="001D2C64" w:rsidRDefault="00511488" w:rsidP="00511488">
      <w:pPr>
        <w:spacing w:after="0" w:line="240" w:lineRule="auto"/>
        <w:jc w:val="both"/>
        <w:rPr>
          <w:rFonts w:ascii="Tahoma" w:hAnsi="Tahoma" w:cs="Tahoma"/>
          <w:sz w:val="24"/>
          <w:szCs w:val="24"/>
        </w:rPr>
      </w:pPr>
    </w:p>
    <w:tbl>
      <w:tblPr>
        <w:tblW w:w="1074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8"/>
        <w:gridCol w:w="5377"/>
      </w:tblGrid>
      <w:tr w:rsidR="00511488" w:rsidRPr="001D2C64" w:rsidTr="00084FAE">
        <w:tc>
          <w:tcPr>
            <w:tcW w:w="5368" w:type="dxa"/>
            <w:shd w:val="clear" w:color="auto" w:fill="95B3D7"/>
          </w:tcPr>
          <w:p w:rsidR="00511488" w:rsidRPr="001D2C64" w:rsidRDefault="00511488" w:rsidP="00D72D78">
            <w:pPr>
              <w:spacing w:after="0" w:line="240" w:lineRule="auto"/>
              <w:jc w:val="center"/>
              <w:rPr>
                <w:rFonts w:ascii="Tahoma" w:hAnsi="Tahoma" w:cs="Tahoma"/>
                <w:b/>
                <w:bCs/>
                <w:sz w:val="24"/>
                <w:szCs w:val="24"/>
              </w:rPr>
            </w:pPr>
          </w:p>
          <w:p w:rsidR="00511488" w:rsidRPr="001D2C64" w:rsidRDefault="00511488" w:rsidP="00D72D78">
            <w:pPr>
              <w:spacing w:after="0" w:line="240" w:lineRule="auto"/>
              <w:jc w:val="center"/>
              <w:rPr>
                <w:rFonts w:ascii="Tahoma" w:hAnsi="Tahoma" w:cs="Tahoma"/>
                <w:b/>
                <w:bCs/>
                <w:sz w:val="24"/>
                <w:szCs w:val="24"/>
              </w:rPr>
            </w:pPr>
            <w:r w:rsidRPr="001D2C64">
              <w:rPr>
                <w:rFonts w:ascii="Tahoma" w:hAnsi="Tahoma" w:cs="Tahoma"/>
                <w:b/>
                <w:bCs/>
                <w:sz w:val="24"/>
                <w:szCs w:val="24"/>
              </w:rPr>
              <w:t>Estado de la Fase</w:t>
            </w:r>
          </w:p>
          <w:p w:rsidR="00511488" w:rsidRPr="001D2C64" w:rsidRDefault="00511488" w:rsidP="00D72D78">
            <w:pPr>
              <w:spacing w:after="0" w:line="240" w:lineRule="auto"/>
              <w:jc w:val="center"/>
              <w:rPr>
                <w:rFonts w:ascii="Tahoma" w:hAnsi="Tahoma" w:cs="Tahoma"/>
                <w:b/>
                <w:bCs/>
                <w:sz w:val="24"/>
                <w:szCs w:val="24"/>
              </w:rPr>
            </w:pPr>
          </w:p>
        </w:tc>
        <w:tc>
          <w:tcPr>
            <w:tcW w:w="5377" w:type="dxa"/>
            <w:shd w:val="clear" w:color="auto" w:fill="95B3D7"/>
          </w:tcPr>
          <w:p w:rsidR="00511488" w:rsidRPr="001D2C64" w:rsidRDefault="00511488" w:rsidP="00D72D78">
            <w:pPr>
              <w:spacing w:after="0" w:line="240" w:lineRule="auto"/>
              <w:jc w:val="center"/>
              <w:rPr>
                <w:rFonts w:ascii="Tahoma" w:hAnsi="Tahoma" w:cs="Tahoma"/>
                <w:b/>
                <w:bCs/>
                <w:sz w:val="24"/>
                <w:szCs w:val="24"/>
              </w:rPr>
            </w:pPr>
          </w:p>
          <w:p w:rsidR="00511488" w:rsidRPr="001D2C64" w:rsidRDefault="00B43426" w:rsidP="00D72D78">
            <w:pPr>
              <w:spacing w:after="0" w:line="240" w:lineRule="auto"/>
              <w:jc w:val="center"/>
              <w:rPr>
                <w:rFonts w:ascii="Tahoma" w:hAnsi="Tahoma" w:cs="Tahoma"/>
                <w:b/>
                <w:bCs/>
                <w:sz w:val="24"/>
                <w:szCs w:val="24"/>
              </w:rPr>
            </w:pPr>
            <w:r>
              <w:rPr>
                <w:rFonts w:ascii="Tahoma" w:hAnsi="Tahoma" w:cs="Tahoma"/>
                <w:b/>
                <w:bCs/>
                <w:sz w:val="24"/>
                <w:szCs w:val="24"/>
              </w:rPr>
              <w:t>Lineamientos</w:t>
            </w:r>
          </w:p>
        </w:tc>
      </w:tr>
      <w:tr w:rsidR="007F140C" w:rsidRPr="001D2C64" w:rsidTr="00084FAE">
        <w:tc>
          <w:tcPr>
            <w:tcW w:w="5368" w:type="dxa"/>
            <w:shd w:val="clear" w:color="auto" w:fill="auto"/>
          </w:tcPr>
          <w:p w:rsidR="007F140C" w:rsidRPr="001D2C64" w:rsidRDefault="00E022F2" w:rsidP="00D72D78">
            <w:pPr>
              <w:spacing w:after="0" w:line="240" w:lineRule="auto"/>
              <w:jc w:val="center"/>
              <w:rPr>
                <w:rFonts w:ascii="Tahoma" w:hAnsi="Tahoma" w:cs="Tahoma"/>
                <w:b/>
                <w:bCs/>
                <w:sz w:val="24"/>
                <w:szCs w:val="24"/>
              </w:rPr>
            </w:pPr>
            <w:r w:rsidRPr="001D2C64">
              <w:rPr>
                <w:rFonts w:ascii="Tahoma" w:hAnsi="Tahoma" w:cs="Tahoma"/>
                <w:b/>
                <w:noProof/>
                <w:sz w:val="24"/>
                <w:szCs w:val="24"/>
              </w:rPr>
              <w:drawing>
                <wp:inline distT="0" distB="0" distL="0" distR="0" wp14:anchorId="0CD46990">
                  <wp:extent cx="1152525" cy="864235"/>
                  <wp:effectExtent l="0" t="0" r="0" b="0"/>
                  <wp:docPr id="2" name="Diagrama 1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7F140C" w:rsidRPr="001D2C64" w:rsidRDefault="007F140C" w:rsidP="00D72D78">
            <w:pPr>
              <w:spacing w:after="0" w:line="240" w:lineRule="auto"/>
              <w:jc w:val="both"/>
              <w:rPr>
                <w:rFonts w:ascii="Tahoma" w:hAnsi="Tahoma" w:cs="Tahoma"/>
                <w:b/>
                <w:bCs/>
                <w:sz w:val="24"/>
                <w:szCs w:val="24"/>
              </w:rPr>
            </w:pPr>
          </w:p>
          <w:p w:rsidR="007F140C" w:rsidRPr="001D2C64" w:rsidRDefault="007F140C" w:rsidP="00D72D78">
            <w:pPr>
              <w:spacing w:after="0" w:line="240" w:lineRule="auto"/>
              <w:jc w:val="both"/>
              <w:rPr>
                <w:rFonts w:ascii="Tahoma" w:hAnsi="Tahoma" w:cs="Tahoma"/>
                <w:b/>
                <w:bCs/>
                <w:sz w:val="24"/>
                <w:szCs w:val="24"/>
              </w:rPr>
            </w:pPr>
          </w:p>
          <w:p w:rsidR="007F140C" w:rsidRPr="001D2C64" w:rsidRDefault="007F140C" w:rsidP="00D72D78">
            <w:pPr>
              <w:spacing w:after="0" w:line="240" w:lineRule="auto"/>
              <w:jc w:val="center"/>
              <w:rPr>
                <w:rFonts w:ascii="Tahoma" w:hAnsi="Tahoma" w:cs="Tahoma"/>
                <w:b/>
                <w:bCs/>
                <w:sz w:val="24"/>
                <w:szCs w:val="24"/>
              </w:rPr>
            </w:pPr>
            <w:r w:rsidRPr="001D2C64">
              <w:rPr>
                <w:rFonts w:ascii="Tahoma" w:hAnsi="Tahoma" w:cs="Tahoma"/>
                <w:b/>
                <w:bCs/>
                <w:sz w:val="24"/>
                <w:szCs w:val="24"/>
              </w:rPr>
              <w:t>Fase</w:t>
            </w:r>
            <w:r w:rsidR="001F3490" w:rsidRPr="001D2C64">
              <w:rPr>
                <w:rFonts w:ascii="Tahoma" w:hAnsi="Tahoma" w:cs="Tahoma"/>
                <w:b/>
                <w:bCs/>
                <w:sz w:val="24"/>
                <w:szCs w:val="24"/>
              </w:rPr>
              <w:t xml:space="preserve"> 1</w:t>
            </w:r>
            <w:r w:rsidRPr="001D2C64">
              <w:rPr>
                <w:rFonts w:ascii="Tahoma" w:hAnsi="Tahoma" w:cs="Tahoma"/>
                <w:b/>
                <w:bCs/>
                <w:sz w:val="24"/>
                <w:szCs w:val="24"/>
              </w:rPr>
              <w:t>: Alerta Verde</w:t>
            </w:r>
          </w:p>
          <w:p w:rsidR="001B5D5B" w:rsidRPr="001D2C64" w:rsidRDefault="001B5D5B" w:rsidP="00D72D78">
            <w:pPr>
              <w:spacing w:after="0" w:line="240" w:lineRule="auto"/>
              <w:jc w:val="center"/>
              <w:rPr>
                <w:rFonts w:ascii="Tahoma" w:hAnsi="Tahoma" w:cs="Tahoma"/>
                <w:b/>
                <w:bCs/>
                <w:sz w:val="24"/>
                <w:szCs w:val="24"/>
              </w:rPr>
            </w:pPr>
            <w:r w:rsidRPr="001D2C64">
              <w:rPr>
                <w:rFonts w:ascii="Tahoma" w:hAnsi="Tahoma" w:cs="Tahoma"/>
                <w:b/>
                <w:bCs/>
                <w:sz w:val="24"/>
                <w:szCs w:val="24"/>
              </w:rPr>
              <w:t>Grado de riesgo: bajo.</w:t>
            </w:r>
          </w:p>
          <w:p w:rsidR="001B5D5B" w:rsidRPr="001D2C64" w:rsidRDefault="001B5D5B" w:rsidP="00D72D78">
            <w:pPr>
              <w:spacing w:after="0" w:line="240" w:lineRule="auto"/>
              <w:jc w:val="center"/>
              <w:rPr>
                <w:rFonts w:ascii="Tahoma" w:hAnsi="Tahoma" w:cs="Tahoma"/>
                <w:b/>
                <w:bCs/>
                <w:sz w:val="24"/>
                <w:szCs w:val="24"/>
              </w:rPr>
            </w:pPr>
          </w:p>
          <w:p w:rsidR="007F140C" w:rsidRPr="001D2C64" w:rsidRDefault="007F140C" w:rsidP="00D72D78">
            <w:pPr>
              <w:spacing w:after="0" w:line="240" w:lineRule="auto"/>
              <w:jc w:val="both"/>
              <w:rPr>
                <w:rFonts w:ascii="Tahoma" w:hAnsi="Tahoma" w:cs="Tahoma"/>
                <w:b/>
                <w:bCs/>
                <w:sz w:val="24"/>
                <w:szCs w:val="24"/>
              </w:rPr>
            </w:pPr>
          </w:p>
          <w:p w:rsidR="007F140C" w:rsidRPr="00D43BDD" w:rsidRDefault="007F140C" w:rsidP="00D72D78">
            <w:pPr>
              <w:spacing w:after="0" w:line="240" w:lineRule="auto"/>
              <w:jc w:val="both"/>
              <w:rPr>
                <w:rFonts w:ascii="Tahoma" w:hAnsi="Tahoma" w:cs="Tahoma"/>
                <w:sz w:val="24"/>
                <w:szCs w:val="24"/>
                <w:u w:val="single"/>
              </w:rPr>
            </w:pPr>
            <w:r w:rsidRPr="00D43BDD">
              <w:rPr>
                <w:rFonts w:ascii="Tahoma" w:hAnsi="Tahoma" w:cs="Tahoma"/>
                <w:sz w:val="24"/>
                <w:szCs w:val="24"/>
                <w:u w:val="single"/>
              </w:rPr>
              <w:t>Apertura normal del servicio</w:t>
            </w:r>
            <w:r w:rsidR="00035A3C" w:rsidRPr="00D43BDD">
              <w:rPr>
                <w:rFonts w:ascii="Tahoma" w:hAnsi="Tahoma" w:cs="Tahoma"/>
                <w:sz w:val="24"/>
                <w:szCs w:val="24"/>
                <w:u w:val="single"/>
              </w:rPr>
              <w:t xml:space="preserve"> tomando las medidas dictadas por el Ministerio de Salud.</w:t>
            </w:r>
            <w:r w:rsidRPr="00D43BDD">
              <w:rPr>
                <w:rFonts w:ascii="Tahoma" w:hAnsi="Tahoma" w:cs="Tahoma"/>
                <w:sz w:val="24"/>
                <w:szCs w:val="24"/>
                <w:u w:val="single"/>
              </w:rPr>
              <w:t xml:space="preserve"> </w:t>
            </w:r>
          </w:p>
          <w:p w:rsidR="00D43BDD" w:rsidRPr="001D2C64" w:rsidRDefault="00D43BDD" w:rsidP="00D72D78">
            <w:pPr>
              <w:spacing w:after="0" w:line="240" w:lineRule="auto"/>
              <w:jc w:val="both"/>
              <w:rPr>
                <w:rFonts w:ascii="Tahoma" w:hAnsi="Tahoma" w:cs="Tahoma"/>
                <w:sz w:val="24"/>
                <w:szCs w:val="24"/>
              </w:rPr>
            </w:pPr>
          </w:p>
          <w:p w:rsidR="00023890" w:rsidRDefault="00023890" w:rsidP="00023890">
            <w:pPr>
              <w:spacing w:after="0" w:line="240" w:lineRule="auto"/>
              <w:jc w:val="both"/>
              <w:rPr>
                <w:rFonts w:ascii="Tahoma" w:hAnsi="Tahoma" w:cs="Tahoma"/>
                <w:i/>
                <w:iCs/>
                <w:sz w:val="24"/>
                <w:szCs w:val="24"/>
              </w:rPr>
            </w:pPr>
            <w:r w:rsidRPr="001D2C64">
              <w:rPr>
                <w:rFonts w:ascii="Tahoma" w:hAnsi="Tahoma" w:cs="Tahoma"/>
                <w:sz w:val="24"/>
                <w:szCs w:val="24"/>
              </w:rPr>
              <w:t xml:space="preserve">Circular N°91-2020 </w:t>
            </w:r>
            <w:r w:rsidRPr="001D2C64">
              <w:rPr>
                <w:rFonts w:ascii="Tahoma" w:hAnsi="Tahoma" w:cs="Tahoma"/>
                <w:i/>
                <w:iCs/>
                <w:sz w:val="24"/>
                <w:szCs w:val="24"/>
              </w:rPr>
              <w:t>“Proyecto para la realización de audiencias virtuales de la materia laboral en el Poder Judicial de Costa Rica y Protocolo de Manejo de Audiencias Virtuales en los Procesos Laborales en Costa Rica”</w:t>
            </w:r>
          </w:p>
          <w:p w:rsidR="00023890" w:rsidRDefault="00023890" w:rsidP="00023890">
            <w:pPr>
              <w:spacing w:after="0" w:line="240" w:lineRule="auto"/>
              <w:jc w:val="both"/>
              <w:rPr>
                <w:rFonts w:ascii="Tahoma" w:hAnsi="Tahoma" w:cs="Tahoma"/>
                <w:i/>
                <w:iCs/>
                <w:sz w:val="24"/>
                <w:szCs w:val="24"/>
              </w:rPr>
            </w:pPr>
          </w:p>
          <w:p w:rsidR="00023890" w:rsidRDefault="00023890" w:rsidP="00023890">
            <w:pPr>
              <w:jc w:val="both"/>
              <w:rPr>
                <w:rFonts w:ascii="Tahoma" w:hAnsi="Tahoma" w:cs="Tahoma"/>
                <w:i/>
                <w:iCs/>
                <w:color w:val="000000"/>
                <w:sz w:val="24"/>
                <w:szCs w:val="24"/>
                <w:lang w:eastAsia="es-CR"/>
              </w:rPr>
            </w:pPr>
            <w:r>
              <w:rPr>
                <w:rFonts w:ascii="Tahoma" w:hAnsi="Tahoma" w:cs="Tahoma"/>
                <w:sz w:val="24"/>
                <w:szCs w:val="24"/>
              </w:rPr>
              <w:t xml:space="preserve">Circular N° 97-2020 </w:t>
            </w:r>
            <w:r>
              <w:rPr>
                <w:rFonts w:ascii="Tahoma" w:hAnsi="Tahoma" w:cs="Tahoma"/>
                <w:i/>
                <w:iCs/>
                <w:sz w:val="24"/>
                <w:szCs w:val="24"/>
              </w:rPr>
              <w:t>“Protocolos para la utilización de salas de juicio, ingreso de personas usuarias y limpieza de áreas.”</w:t>
            </w:r>
          </w:p>
          <w:p w:rsidR="00D43BDD" w:rsidRDefault="00D43BDD" w:rsidP="00D43BDD">
            <w:pPr>
              <w:spacing w:after="0" w:line="240" w:lineRule="auto"/>
              <w:jc w:val="both"/>
              <w:rPr>
                <w:rFonts w:ascii="Tahoma" w:hAnsi="Tahoma" w:cs="Tahoma"/>
                <w:i/>
                <w:iCs/>
                <w:color w:val="000000"/>
                <w:sz w:val="24"/>
                <w:szCs w:val="24"/>
                <w:lang w:eastAsia="es-CR"/>
              </w:rPr>
            </w:pPr>
            <w:r w:rsidRPr="00196173">
              <w:rPr>
                <w:rFonts w:ascii="Tahoma" w:hAnsi="Tahoma" w:cs="Tahoma"/>
                <w:sz w:val="24"/>
                <w:szCs w:val="24"/>
              </w:rPr>
              <w:t>C</w:t>
            </w:r>
            <w:r>
              <w:rPr>
                <w:rFonts w:ascii="Tahoma" w:hAnsi="Tahoma" w:cs="Tahoma"/>
                <w:sz w:val="24"/>
                <w:szCs w:val="24"/>
              </w:rPr>
              <w:t>ircular</w:t>
            </w:r>
            <w:r w:rsidRPr="00196173">
              <w:rPr>
                <w:rFonts w:ascii="Tahoma" w:hAnsi="Tahoma" w:cs="Tahoma"/>
                <w:sz w:val="24"/>
                <w:szCs w:val="24"/>
              </w:rPr>
              <w:t xml:space="preserve"> N° 244-2020</w:t>
            </w:r>
            <w:r w:rsidRPr="00C94CBC">
              <w:rPr>
                <w:rFonts w:ascii="Tahoma" w:hAnsi="Tahoma" w:cs="Tahoma"/>
                <w:b/>
                <w:bCs/>
                <w:color w:val="000000"/>
                <w:sz w:val="24"/>
                <w:szCs w:val="24"/>
                <w:lang w:eastAsia="es-CR"/>
              </w:rPr>
              <w:t xml:space="preserve"> </w:t>
            </w:r>
            <w:r w:rsidRPr="008F49FC">
              <w:rPr>
                <w:rFonts w:ascii="Tahoma" w:hAnsi="Tahoma" w:cs="Tahoma"/>
                <w:b/>
                <w:bCs/>
                <w:i/>
                <w:iCs/>
                <w:color w:val="000000"/>
                <w:sz w:val="24"/>
                <w:szCs w:val="24"/>
                <w:lang w:eastAsia="es-CR"/>
              </w:rPr>
              <w:t>“</w:t>
            </w:r>
            <w:r w:rsidRPr="008F49FC">
              <w:rPr>
                <w:rFonts w:ascii="Tahoma" w:hAnsi="Tahoma" w:cs="Tahoma"/>
                <w:i/>
                <w:iCs/>
                <w:color w:val="000000"/>
                <w:sz w:val="24"/>
                <w:szCs w:val="24"/>
                <w:lang w:eastAsia="es-CR"/>
              </w:rPr>
              <w:t>Acuerdo de Corte Plena. Sesión N° 64-2020 del 26 de octubre de 2020,</w:t>
            </w:r>
            <w:r w:rsidRPr="008F49FC">
              <w:rPr>
                <w:rFonts w:ascii="Tahoma" w:hAnsi="Tahoma" w:cs="Tahoma"/>
                <w:b/>
                <w:bCs/>
                <w:i/>
                <w:iCs/>
                <w:color w:val="000000"/>
                <w:sz w:val="24"/>
                <w:szCs w:val="24"/>
                <w:lang w:eastAsia="es-CR"/>
              </w:rPr>
              <w:t xml:space="preserve"> </w:t>
            </w:r>
            <w:r w:rsidRPr="008F49FC">
              <w:rPr>
                <w:rFonts w:ascii="Tahoma" w:hAnsi="Tahoma" w:cs="Tahoma"/>
                <w:i/>
                <w:iCs/>
                <w:color w:val="000000"/>
                <w:sz w:val="24"/>
                <w:szCs w:val="24"/>
                <w:lang w:eastAsia="es-CR"/>
              </w:rPr>
              <w:t>en atención a la declaratoria de emergencia nacional, debido a la situación de emergencia sanitaria provocada por la enfermedad COVID-19”</w:t>
            </w:r>
          </w:p>
          <w:p w:rsidR="00023890" w:rsidRDefault="00023890" w:rsidP="00D43BDD">
            <w:pPr>
              <w:spacing w:after="0" w:line="240" w:lineRule="auto"/>
              <w:jc w:val="both"/>
              <w:rPr>
                <w:rFonts w:ascii="Tahoma" w:hAnsi="Tahoma" w:cs="Tahoma"/>
                <w:b/>
                <w:bCs/>
                <w:i/>
                <w:iCs/>
                <w:color w:val="000000"/>
                <w:sz w:val="24"/>
                <w:szCs w:val="24"/>
                <w:u w:val="single"/>
                <w:lang w:eastAsia="es-CR"/>
              </w:rPr>
            </w:pPr>
          </w:p>
          <w:p w:rsidR="00023890" w:rsidRDefault="00023890" w:rsidP="00023890">
            <w:pPr>
              <w:jc w:val="both"/>
              <w:rPr>
                <w:rFonts w:ascii="Tahoma" w:hAnsi="Tahoma" w:cs="Tahoma"/>
                <w:i/>
                <w:iCs/>
                <w:color w:val="000000"/>
                <w:sz w:val="24"/>
                <w:szCs w:val="24"/>
                <w:lang w:eastAsia="es-CR"/>
              </w:rPr>
            </w:pPr>
            <w:r>
              <w:rPr>
                <w:rFonts w:ascii="Tahoma" w:hAnsi="Tahoma" w:cs="Tahoma"/>
                <w:color w:val="000000"/>
                <w:sz w:val="24"/>
                <w:szCs w:val="24"/>
                <w:lang w:eastAsia="es-CR"/>
              </w:rPr>
              <w:t>Circular N° 254-2020</w:t>
            </w:r>
            <w:r>
              <w:rPr>
                <w:rFonts w:ascii="Tahoma" w:hAnsi="Tahoma" w:cs="Tahoma"/>
                <w:i/>
                <w:iCs/>
                <w:color w:val="000000"/>
                <w:sz w:val="24"/>
                <w:szCs w:val="24"/>
                <w:lang w:eastAsia="es-CR"/>
              </w:rPr>
              <w:t xml:space="preserve"> “Protocolos que se requieren con motivo del abordaje de la emergencia nacional presentada por COVID-19.”</w:t>
            </w:r>
          </w:p>
          <w:p w:rsidR="00023890" w:rsidRPr="008F49FC" w:rsidRDefault="00023890" w:rsidP="00D43BDD">
            <w:pPr>
              <w:spacing w:after="0" w:line="240" w:lineRule="auto"/>
              <w:jc w:val="both"/>
              <w:rPr>
                <w:rFonts w:ascii="Tahoma" w:hAnsi="Tahoma" w:cs="Tahoma"/>
                <w:b/>
                <w:bCs/>
                <w:i/>
                <w:iCs/>
                <w:color w:val="000000"/>
                <w:sz w:val="24"/>
                <w:szCs w:val="24"/>
                <w:u w:val="single"/>
                <w:lang w:eastAsia="es-CR"/>
              </w:rPr>
            </w:pPr>
          </w:p>
          <w:p w:rsidR="00023890" w:rsidRDefault="00023890" w:rsidP="00D43BDD">
            <w:pPr>
              <w:spacing w:after="0" w:line="240" w:lineRule="auto"/>
              <w:jc w:val="center"/>
              <w:rPr>
                <w:rFonts w:ascii="Tahoma" w:hAnsi="Tahoma" w:cs="Tahoma"/>
                <w:sz w:val="24"/>
                <w:szCs w:val="24"/>
              </w:rPr>
            </w:pPr>
            <w:r w:rsidRPr="001D2C64">
              <w:rPr>
                <w:rFonts w:ascii="Tahoma" w:hAnsi="Tahoma" w:cs="Tahoma"/>
                <w:sz w:val="24"/>
                <w:szCs w:val="24"/>
              </w:rPr>
              <w:object w:dxaOrig="2117" w:dyaOrig="1383" w14:anchorId="4BE281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5.75pt;height:69pt" o:ole="">
                  <v:imagedata r:id="rId20" o:title=""/>
                </v:shape>
                <o:OLEObject Type="Embed" ProgID="Word.Document.12" ShapeID="_x0000_i1027" DrawAspect="Icon" ObjectID="_1672117944" r:id="rId21">
                  <o:FieldCodes>\s</o:FieldCodes>
                </o:OLEObject>
              </w:object>
            </w:r>
            <w:r w:rsidRPr="00023890">
              <w:rPr>
                <w:b/>
                <w:bCs/>
              </w:rPr>
              <w:object w:dxaOrig="1500" w:dyaOrig="975" w14:anchorId="4B87EF9E">
                <v:shape id="_x0000_i1028" type="#_x0000_t75" style="width:75pt;height:48.75pt" o:ole="">
                  <v:imagedata r:id="rId22" o:title=""/>
                </v:shape>
                <o:OLEObject Type="Embed" ProgID="Word.Document.12" ShapeID="_x0000_i1028" DrawAspect="Icon" ObjectID="_1672117945" r:id="rId23">
                  <o:FieldCodes>\s</o:FieldCodes>
                </o:OLEObject>
              </w:object>
            </w:r>
          </w:p>
          <w:p w:rsidR="00023890" w:rsidRDefault="00023890" w:rsidP="00D43BDD">
            <w:pPr>
              <w:spacing w:after="0" w:line="240" w:lineRule="auto"/>
              <w:jc w:val="center"/>
              <w:rPr>
                <w:rFonts w:ascii="Tahoma" w:hAnsi="Tahoma" w:cs="Tahoma"/>
                <w:b/>
                <w:bCs/>
                <w:noProof/>
                <w:sz w:val="24"/>
                <w:szCs w:val="24"/>
              </w:rPr>
            </w:pPr>
          </w:p>
          <w:p w:rsidR="007F140C" w:rsidRPr="001D2C64" w:rsidRDefault="00D43BDD" w:rsidP="00D43BDD">
            <w:pPr>
              <w:spacing w:after="0" w:line="240" w:lineRule="auto"/>
              <w:jc w:val="center"/>
              <w:rPr>
                <w:rFonts w:ascii="Tahoma" w:hAnsi="Tahoma" w:cs="Tahoma"/>
                <w:b/>
                <w:bCs/>
                <w:noProof/>
                <w:sz w:val="24"/>
                <w:szCs w:val="24"/>
              </w:rPr>
            </w:pPr>
            <w:r>
              <w:rPr>
                <w:rFonts w:ascii="Tahoma" w:hAnsi="Tahoma" w:cs="Tahoma"/>
                <w:b/>
                <w:bCs/>
                <w:noProof/>
                <w:sz w:val="24"/>
                <w:szCs w:val="24"/>
              </w:rPr>
              <w:object w:dxaOrig="1537" w:dyaOrig="997" w14:anchorId="39006F85">
                <v:shape id="_x0000_i1029" type="#_x0000_t75" style="width:76.5pt;height:49.5pt" o:ole="">
                  <v:imagedata r:id="rId24" o:title=""/>
                </v:shape>
                <o:OLEObject Type="Embed" ProgID="Word.Document.12" ShapeID="_x0000_i1029" DrawAspect="Icon" ObjectID="_1672117946" r:id="rId25">
                  <o:FieldCodes>\s</o:FieldCodes>
                </o:OLEObject>
              </w:object>
            </w:r>
            <w:r w:rsidR="00023890" w:rsidRPr="00023890">
              <w:rPr>
                <w:b/>
                <w:bCs/>
              </w:rPr>
              <w:object w:dxaOrig="1500" w:dyaOrig="975" w14:anchorId="60C3031A">
                <v:shape id="_x0000_i1030" type="#_x0000_t75" style="width:75pt;height:48.75pt" o:ole="">
                  <v:imagedata r:id="rId26" o:title=""/>
                </v:shape>
                <o:OLEObject Type="Embed" ProgID="Word.Document.12" ShapeID="_x0000_i1030" DrawAspect="Icon" ObjectID="_1672117947" r:id="rId27">
                  <o:FieldCodes>\s</o:FieldCodes>
                </o:OLEObject>
              </w:object>
            </w:r>
          </w:p>
        </w:tc>
        <w:tc>
          <w:tcPr>
            <w:tcW w:w="5377" w:type="dxa"/>
            <w:shd w:val="clear" w:color="auto" w:fill="auto"/>
          </w:tcPr>
          <w:p w:rsidR="007F140C" w:rsidRPr="001D2C64" w:rsidRDefault="007F140C" w:rsidP="00D72D78">
            <w:pPr>
              <w:spacing w:after="0" w:line="240" w:lineRule="auto"/>
              <w:jc w:val="both"/>
              <w:rPr>
                <w:rFonts w:ascii="Tahoma" w:hAnsi="Tahoma" w:cs="Tahoma"/>
                <w:sz w:val="24"/>
                <w:szCs w:val="24"/>
              </w:rPr>
            </w:pPr>
          </w:p>
          <w:p w:rsidR="007F140C" w:rsidRPr="001D2C64" w:rsidRDefault="007F140C" w:rsidP="000617D6">
            <w:pPr>
              <w:spacing w:after="0" w:line="240" w:lineRule="auto"/>
              <w:ind w:left="28"/>
              <w:jc w:val="both"/>
              <w:rPr>
                <w:rFonts w:ascii="Tahoma" w:hAnsi="Tahoma" w:cs="Tahoma"/>
                <w:sz w:val="24"/>
                <w:szCs w:val="24"/>
              </w:rPr>
            </w:pPr>
            <w:r w:rsidRPr="001D2C64">
              <w:rPr>
                <w:rFonts w:ascii="Tahoma" w:hAnsi="Tahoma" w:cs="Tahoma"/>
                <w:sz w:val="24"/>
                <w:szCs w:val="24"/>
              </w:rPr>
              <w:t>La Jurisdicción Laboral</w:t>
            </w:r>
            <w:r w:rsidR="00945085" w:rsidRPr="001D2C64">
              <w:rPr>
                <w:rFonts w:ascii="Tahoma" w:hAnsi="Tahoma" w:cs="Tahoma"/>
                <w:sz w:val="24"/>
                <w:szCs w:val="24"/>
              </w:rPr>
              <w:t xml:space="preserve"> continuará brindando</w:t>
            </w:r>
            <w:r w:rsidR="00EC0B4B" w:rsidRPr="001D2C64">
              <w:rPr>
                <w:rFonts w:ascii="Tahoma" w:hAnsi="Tahoma" w:cs="Tahoma"/>
                <w:sz w:val="24"/>
                <w:szCs w:val="24"/>
              </w:rPr>
              <w:t xml:space="preserve"> los</w:t>
            </w:r>
            <w:r w:rsidR="00945085" w:rsidRPr="001D2C64">
              <w:rPr>
                <w:rFonts w:ascii="Tahoma" w:hAnsi="Tahoma" w:cs="Tahoma"/>
                <w:sz w:val="24"/>
                <w:szCs w:val="24"/>
              </w:rPr>
              <w:t xml:space="preserve"> servicios bajo</w:t>
            </w:r>
            <w:r w:rsidRPr="001D2C64">
              <w:rPr>
                <w:rFonts w:ascii="Tahoma" w:hAnsi="Tahoma" w:cs="Tahoma"/>
                <w:sz w:val="24"/>
                <w:szCs w:val="24"/>
              </w:rPr>
              <w:t xml:space="preserve"> la modalidad de teletrabajo y trabajo presencial</w:t>
            </w:r>
            <w:r w:rsidR="00945085" w:rsidRPr="001D2C64">
              <w:rPr>
                <w:rFonts w:ascii="Tahoma" w:hAnsi="Tahoma" w:cs="Tahoma"/>
                <w:sz w:val="24"/>
                <w:szCs w:val="24"/>
              </w:rPr>
              <w:t>.</w:t>
            </w:r>
            <w:r w:rsidRPr="001D2C64">
              <w:rPr>
                <w:rFonts w:ascii="Tahoma" w:hAnsi="Tahoma" w:cs="Tahoma"/>
                <w:sz w:val="24"/>
                <w:szCs w:val="24"/>
              </w:rPr>
              <w:t xml:space="preserve"> </w:t>
            </w:r>
          </w:p>
          <w:p w:rsidR="007F140C" w:rsidRPr="001D2C64" w:rsidRDefault="007F140C" w:rsidP="00D72D78">
            <w:pPr>
              <w:spacing w:after="0" w:line="240" w:lineRule="auto"/>
              <w:jc w:val="both"/>
              <w:rPr>
                <w:rFonts w:ascii="Tahoma" w:hAnsi="Tahoma" w:cs="Tahoma"/>
                <w:sz w:val="24"/>
                <w:szCs w:val="24"/>
              </w:rPr>
            </w:pPr>
          </w:p>
          <w:p w:rsidR="002845D2" w:rsidRPr="001D2C64" w:rsidRDefault="007F140C" w:rsidP="00D72D78">
            <w:pPr>
              <w:spacing w:after="0" w:line="240" w:lineRule="auto"/>
              <w:jc w:val="both"/>
              <w:rPr>
                <w:rFonts w:ascii="Tahoma" w:hAnsi="Tahoma" w:cs="Tahoma"/>
                <w:sz w:val="24"/>
                <w:szCs w:val="24"/>
              </w:rPr>
            </w:pPr>
            <w:r w:rsidRPr="001D2C64">
              <w:rPr>
                <w:rFonts w:ascii="Tahoma" w:hAnsi="Tahoma" w:cs="Tahoma"/>
                <w:sz w:val="24"/>
                <w:szCs w:val="24"/>
              </w:rPr>
              <w:t>El teletrabajo se ejecutará de la siguiente manera:</w:t>
            </w:r>
          </w:p>
          <w:p w:rsidR="007F140C" w:rsidRPr="001D2C64" w:rsidRDefault="007F140C" w:rsidP="00D72D78">
            <w:pPr>
              <w:spacing w:after="0" w:line="240" w:lineRule="auto"/>
              <w:jc w:val="both"/>
              <w:rPr>
                <w:rFonts w:ascii="Tahoma" w:hAnsi="Tahoma" w:cs="Tahoma"/>
                <w:sz w:val="24"/>
                <w:szCs w:val="24"/>
              </w:rPr>
            </w:pPr>
          </w:p>
          <w:p w:rsidR="007F140C" w:rsidRPr="001D2C64" w:rsidRDefault="007F140C" w:rsidP="00D72D78">
            <w:pPr>
              <w:spacing w:after="0" w:line="240" w:lineRule="auto"/>
              <w:jc w:val="both"/>
              <w:rPr>
                <w:rFonts w:ascii="Tahoma" w:hAnsi="Tahoma" w:cs="Tahoma"/>
                <w:sz w:val="24"/>
                <w:szCs w:val="24"/>
              </w:rPr>
            </w:pPr>
            <w:r w:rsidRPr="001D2C64">
              <w:rPr>
                <w:rFonts w:ascii="Tahoma" w:hAnsi="Tahoma" w:cs="Tahoma"/>
                <w:sz w:val="24"/>
                <w:szCs w:val="24"/>
              </w:rPr>
              <w:t xml:space="preserve">a) El personal juzgador y técnico </w:t>
            </w:r>
            <w:r w:rsidR="00823E90" w:rsidRPr="001D2C64">
              <w:rPr>
                <w:rFonts w:ascii="Tahoma" w:hAnsi="Tahoma" w:cs="Tahoma"/>
                <w:sz w:val="24"/>
                <w:szCs w:val="24"/>
              </w:rPr>
              <w:t xml:space="preserve">debe de contar con las condiciones </w:t>
            </w:r>
            <w:r w:rsidR="001F70F1" w:rsidRPr="001D2C64">
              <w:rPr>
                <w:rFonts w:ascii="Tahoma" w:hAnsi="Tahoma" w:cs="Tahoma"/>
                <w:sz w:val="24"/>
                <w:szCs w:val="24"/>
              </w:rPr>
              <w:t xml:space="preserve">óptimas </w:t>
            </w:r>
            <w:r w:rsidR="00823E90" w:rsidRPr="001D2C64">
              <w:rPr>
                <w:rFonts w:ascii="Tahoma" w:hAnsi="Tahoma" w:cs="Tahoma"/>
                <w:sz w:val="24"/>
                <w:szCs w:val="24"/>
              </w:rPr>
              <w:t xml:space="preserve">para aplicar el teletrabajo </w:t>
            </w:r>
            <w:r w:rsidR="001C2813" w:rsidRPr="001D2C64">
              <w:rPr>
                <w:rFonts w:ascii="Tahoma" w:hAnsi="Tahoma" w:cs="Tahoma"/>
                <w:sz w:val="24"/>
                <w:szCs w:val="24"/>
              </w:rPr>
              <w:t>(</w:t>
            </w:r>
            <w:r w:rsidRPr="001D2C64">
              <w:rPr>
                <w:rFonts w:ascii="Tahoma" w:hAnsi="Tahoma" w:cs="Tahoma"/>
                <w:sz w:val="24"/>
                <w:szCs w:val="24"/>
              </w:rPr>
              <w:t>equipo de cómputo propio, licencia</w:t>
            </w:r>
            <w:r w:rsidR="001C2813" w:rsidRPr="001D2C64">
              <w:rPr>
                <w:rFonts w:ascii="Tahoma" w:hAnsi="Tahoma" w:cs="Tahoma"/>
                <w:sz w:val="24"/>
                <w:szCs w:val="24"/>
              </w:rPr>
              <w:t xml:space="preserve"> informática</w:t>
            </w:r>
            <w:r w:rsidRPr="001D2C64">
              <w:rPr>
                <w:rFonts w:ascii="Tahoma" w:hAnsi="Tahoma" w:cs="Tahoma"/>
                <w:sz w:val="24"/>
                <w:szCs w:val="24"/>
              </w:rPr>
              <w:t xml:space="preserve"> VPN o VDI</w:t>
            </w:r>
            <w:r w:rsidR="00D62527" w:rsidRPr="001D2C64">
              <w:rPr>
                <w:rFonts w:ascii="Tahoma" w:hAnsi="Tahoma" w:cs="Tahoma"/>
                <w:sz w:val="24"/>
                <w:szCs w:val="24"/>
              </w:rPr>
              <w:t xml:space="preserve"> y demás requerimientos indicados por la Dirección de Tecnología de la Información</w:t>
            </w:r>
            <w:r w:rsidR="001F70F1" w:rsidRPr="001D2C64">
              <w:rPr>
                <w:rFonts w:ascii="Tahoma" w:hAnsi="Tahoma" w:cs="Tahoma"/>
                <w:sz w:val="24"/>
                <w:szCs w:val="24"/>
              </w:rPr>
              <w:t>)</w:t>
            </w:r>
            <w:r w:rsidR="001C2813" w:rsidRPr="001D2C64">
              <w:rPr>
                <w:rFonts w:ascii="Tahoma" w:hAnsi="Tahoma" w:cs="Tahoma"/>
                <w:sz w:val="24"/>
                <w:szCs w:val="24"/>
              </w:rPr>
              <w:t xml:space="preserve">. </w:t>
            </w:r>
          </w:p>
          <w:p w:rsidR="007F140C" w:rsidRPr="001D2C64" w:rsidRDefault="007F140C" w:rsidP="00D72D78">
            <w:pPr>
              <w:spacing w:after="0" w:line="240" w:lineRule="auto"/>
              <w:jc w:val="both"/>
              <w:rPr>
                <w:rFonts w:ascii="Tahoma" w:hAnsi="Tahoma" w:cs="Tahoma"/>
                <w:sz w:val="24"/>
                <w:szCs w:val="24"/>
              </w:rPr>
            </w:pPr>
          </w:p>
          <w:p w:rsidR="007F140C" w:rsidRPr="001D2C64" w:rsidRDefault="00367799" w:rsidP="00D72D78">
            <w:pPr>
              <w:spacing w:after="0" w:line="240" w:lineRule="auto"/>
              <w:jc w:val="both"/>
              <w:rPr>
                <w:rFonts w:ascii="Tahoma" w:hAnsi="Tahoma" w:cs="Tahoma"/>
                <w:sz w:val="24"/>
                <w:szCs w:val="24"/>
              </w:rPr>
            </w:pPr>
            <w:r w:rsidRPr="001D2C64">
              <w:rPr>
                <w:rFonts w:ascii="Tahoma" w:hAnsi="Tahoma" w:cs="Tahoma"/>
                <w:sz w:val="24"/>
                <w:szCs w:val="24"/>
              </w:rPr>
              <w:t xml:space="preserve">Ambas modalidades de trabajo </w:t>
            </w:r>
            <w:r w:rsidR="007F140C" w:rsidRPr="001D2C64">
              <w:rPr>
                <w:rFonts w:ascii="Tahoma" w:hAnsi="Tahoma" w:cs="Tahoma"/>
                <w:sz w:val="24"/>
                <w:szCs w:val="24"/>
              </w:rPr>
              <w:t>permitirá</w:t>
            </w:r>
            <w:r w:rsidRPr="001D2C64">
              <w:rPr>
                <w:rFonts w:ascii="Tahoma" w:hAnsi="Tahoma" w:cs="Tahoma"/>
                <w:sz w:val="24"/>
                <w:szCs w:val="24"/>
              </w:rPr>
              <w:t>n</w:t>
            </w:r>
            <w:r w:rsidR="007F140C" w:rsidRPr="001D2C64">
              <w:rPr>
                <w:rFonts w:ascii="Tahoma" w:hAnsi="Tahoma" w:cs="Tahoma"/>
                <w:sz w:val="24"/>
                <w:szCs w:val="24"/>
              </w:rPr>
              <w:t xml:space="preserve">: </w:t>
            </w:r>
          </w:p>
          <w:p w:rsidR="007F140C" w:rsidRPr="001D2C64" w:rsidRDefault="007F140C" w:rsidP="00D72D78">
            <w:pPr>
              <w:spacing w:after="0" w:line="240" w:lineRule="auto"/>
              <w:jc w:val="both"/>
              <w:rPr>
                <w:rFonts w:ascii="Tahoma" w:hAnsi="Tahoma" w:cs="Tahoma"/>
                <w:sz w:val="24"/>
                <w:szCs w:val="24"/>
              </w:rPr>
            </w:pPr>
          </w:p>
          <w:p w:rsidR="007F140C" w:rsidRPr="001D2C64" w:rsidRDefault="00933341" w:rsidP="00D72D78">
            <w:pPr>
              <w:spacing w:after="0" w:line="240" w:lineRule="auto"/>
              <w:jc w:val="both"/>
              <w:rPr>
                <w:rFonts w:ascii="Tahoma" w:hAnsi="Tahoma" w:cs="Tahoma"/>
                <w:sz w:val="24"/>
                <w:szCs w:val="24"/>
              </w:rPr>
            </w:pPr>
            <w:r w:rsidRPr="001D2C64">
              <w:rPr>
                <w:rFonts w:ascii="Tahoma" w:hAnsi="Tahoma" w:cs="Tahoma"/>
                <w:sz w:val="24"/>
                <w:szCs w:val="24"/>
              </w:rPr>
              <w:t>a</w:t>
            </w:r>
            <w:r w:rsidR="007F140C" w:rsidRPr="001D2C64">
              <w:rPr>
                <w:rFonts w:ascii="Tahoma" w:hAnsi="Tahoma" w:cs="Tahoma"/>
                <w:sz w:val="24"/>
                <w:szCs w:val="24"/>
              </w:rPr>
              <w:t xml:space="preserve">) </w:t>
            </w:r>
            <w:r w:rsidR="002F7576" w:rsidRPr="001D2C64">
              <w:rPr>
                <w:rFonts w:ascii="Tahoma" w:hAnsi="Tahoma" w:cs="Tahoma"/>
                <w:sz w:val="24"/>
                <w:szCs w:val="24"/>
              </w:rPr>
              <w:t>Continuar b</w:t>
            </w:r>
            <w:r w:rsidR="007F140C" w:rsidRPr="001D2C64">
              <w:rPr>
                <w:rFonts w:ascii="Tahoma" w:hAnsi="Tahoma" w:cs="Tahoma"/>
                <w:sz w:val="24"/>
                <w:szCs w:val="24"/>
              </w:rPr>
              <w:t>rinda</w:t>
            </w:r>
            <w:r w:rsidR="002F7576" w:rsidRPr="001D2C64">
              <w:rPr>
                <w:rFonts w:ascii="Tahoma" w:hAnsi="Tahoma" w:cs="Tahoma"/>
                <w:sz w:val="24"/>
                <w:szCs w:val="24"/>
              </w:rPr>
              <w:t>ndo</w:t>
            </w:r>
            <w:r w:rsidR="007F140C" w:rsidRPr="001D2C64">
              <w:rPr>
                <w:rFonts w:ascii="Tahoma" w:hAnsi="Tahoma" w:cs="Tahoma"/>
                <w:sz w:val="24"/>
                <w:szCs w:val="24"/>
              </w:rPr>
              <w:t xml:space="preserve"> </w:t>
            </w:r>
            <w:r w:rsidR="00494227" w:rsidRPr="001D2C64">
              <w:rPr>
                <w:rFonts w:ascii="Tahoma" w:hAnsi="Tahoma" w:cs="Tahoma"/>
                <w:sz w:val="24"/>
                <w:szCs w:val="24"/>
              </w:rPr>
              <w:t>todos los</w:t>
            </w:r>
            <w:r w:rsidR="00945085" w:rsidRPr="001D2C64">
              <w:rPr>
                <w:rFonts w:ascii="Tahoma" w:hAnsi="Tahoma" w:cs="Tahoma"/>
                <w:sz w:val="24"/>
                <w:szCs w:val="24"/>
              </w:rPr>
              <w:t xml:space="preserve"> se</w:t>
            </w:r>
            <w:r w:rsidR="005D697D" w:rsidRPr="001D2C64">
              <w:rPr>
                <w:rFonts w:ascii="Tahoma" w:hAnsi="Tahoma" w:cs="Tahoma"/>
                <w:sz w:val="24"/>
                <w:szCs w:val="24"/>
              </w:rPr>
              <w:t>rvicios</w:t>
            </w:r>
            <w:r w:rsidR="00945085" w:rsidRPr="001D2C64">
              <w:rPr>
                <w:rFonts w:ascii="Tahoma" w:hAnsi="Tahoma" w:cs="Tahoma"/>
                <w:sz w:val="24"/>
                <w:szCs w:val="24"/>
              </w:rPr>
              <w:t xml:space="preserve"> </w:t>
            </w:r>
            <w:r w:rsidR="007F140C" w:rsidRPr="001D2C64">
              <w:rPr>
                <w:rFonts w:ascii="Tahoma" w:hAnsi="Tahoma" w:cs="Tahoma"/>
                <w:sz w:val="24"/>
                <w:szCs w:val="24"/>
              </w:rPr>
              <w:t>de atención</w:t>
            </w:r>
            <w:r w:rsidR="005D697D" w:rsidRPr="001D2C64">
              <w:rPr>
                <w:rFonts w:ascii="Tahoma" w:hAnsi="Tahoma" w:cs="Tahoma"/>
                <w:sz w:val="24"/>
                <w:szCs w:val="24"/>
              </w:rPr>
              <w:t xml:space="preserve"> al usuario</w:t>
            </w:r>
            <w:r w:rsidR="007F140C" w:rsidRPr="001D2C64">
              <w:rPr>
                <w:rFonts w:ascii="Tahoma" w:hAnsi="Tahoma" w:cs="Tahoma"/>
                <w:sz w:val="24"/>
                <w:szCs w:val="24"/>
              </w:rPr>
              <w:t xml:space="preserve"> en el país, siempre respetando los lineamientos del Ministerio de Salud en cuanto al porcentaje permitido.</w:t>
            </w:r>
          </w:p>
          <w:p w:rsidR="00367799" w:rsidRPr="001D2C64" w:rsidRDefault="00367799" w:rsidP="00D72D78">
            <w:pPr>
              <w:spacing w:after="0" w:line="240" w:lineRule="auto"/>
              <w:jc w:val="both"/>
              <w:rPr>
                <w:rFonts w:ascii="Tahoma" w:hAnsi="Tahoma" w:cs="Tahoma"/>
                <w:sz w:val="24"/>
                <w:szCs w:val="24"/>
              </w:rPr>
            </w:pPr>
          </w:p>
          <w:p w:rsidR="00F25A61" w:rsidRPr="001D2C64" w:rsidRDefault="00367799" w:rsidP="00D72D78">
            <w:pPr>
              <w:spacing w:after="0" w:line="240" w:lineRule="auto"/>
              <w:jc w:val="both"/>
              <w:rPr>
                <w:rFonts w:ascii="Tahoma" w:hAnsi="Tahoma" w:cs="Tahoma"/>
                <w:sz w:val="24"/>
                <w:szCs w:val="24"/>
                <w:lang w:eastAsia="es-CR"/>
              </w:rPr>
            </w:pPr>
            <w:r w:rsidRPr="001D2C64">
              <w:rPr>
                <w:rFonts w:ascii="Tahoma" w:hAnsi="Tahoma" w:cs="Tahoma"/>
                <w:sz w:val="24"/>
                <w:szCs w:val="24"/>
              </w:rPr>
              <w:t xml:space="preserve">b) </w:t>
            </w:r>
            <w:r w:rsidR="00F25A61" w:rsidRPr="001D2C64">
              <w:rPr>
                <w:rFonts w:ascii="Tahoma" w:hAnsi="Tahoma" w:cs="Tahoma"/>
                <w:sz w:val="24"/>
                <w:szCs w:val="24"/>
                <w:lang w:eastAsia="es-CR"/>
              </w:rPr>
              <w:t>Realizar audiencias virtuales e híbridas. Para la realización de las mismas, rige el protocolo y el proyecto para audiencias virtuales aprobado por Corte Plena.</w:t>
            </w:r>
          </w:p>
          <w:p w:rsidR="00F25A61" w:rsidRPr="001D2C64" w:rsidRDefault="00F25A61" w:rsidP="00D72D78">
            <w:pPr>
              <w:spacing w:after="0" w:line="240" w:lineRule="auto"/>
              <w:jc w:val="both"/>
              <w:rPr>
                <w:rFonts w:ascii="Tahoma" w:hAnsi="Tahoma" w:cs="Tahoma"/>
                <w:sz w:val="24"/>
                <w:szCs w:val="24"/>
              </w:rPr>
            </w:pPr>
          </w:p>
          <w:p w:rsidR="003D7BE4" w:rsidRPr="001D2C64" w:rsidRDefault="003D7BE4" w:rsidP="00D72D78">
            <w:pPr>
              <w:spacing w:after="0" w:line="240" w:lineRule="auto"/>
              <w:jc w:val="both"/>
              <w:rPr>
                <w:rFonts w:ascii="Tahoma" w:hAnsi="Tahoma" w:cs="Tahoma"/>
                <w:sz w:val="24"/>
                <w:szCs w:val="24"/>
              </w:rPr>
            </w:pPr>
          </w:p>
          <w:p w:rsidR="007F140C" w:rsidRPr="001D2C64" w:rsidRDefault="003D7BE4" w:rsidP="00D72D78">
            <w:pPr>
              <w:spacing w:after="0" w:line="240" w:lineRule="auto"/>
              <w:jc w:val="both"/>
              <w:rPr>
                <w:rFonts w:ascii="Tahoma" w:hAnsi="Tahoma" w:cs="Tahoma"/>
                <w:sz w:val="24"/>
                <w:szCs w:val="24"/>
              </w:rPr>
            </w:pPr>
            <w:r w:rsidRPr="001D2C64">
              <w:rPr>
                <w:rFonts w:ascii="Tahoma" w:hAnsi="Tahoma" w:cs="Tahoma"/>
                <w:sz w:val="24"/>
                <w:szCs w:val="24"/>
                <w:lang w:eastAsia="es-CR"/>
              </w:rPr>
              <w:t xml:space="preserve">c) </w:t>
            </w:r>
            <w:r w:rsidR="00F25A61" w:rsidRPr="001D2C64">
              <w:rPr>
                <w:rFonts w:ascii="Tahoma" w:hAnsi="Tahoma" w:cs="Tahoma"/>
                <w:sz w:val="24"/>
                <w:szCs w:val="24"/>
              </w:rPr>
              <w:t>Realizar audiencias presenciales, cumpliendo con los lineamientos de salud que rijan en el momento en cuanto a distanciamiento y cantidad de personas</w:t>
            </w:r>
          </w:p>
          <w:p w:rsidR="005D697D" w:rsidRPr="001D2C64" w:rsidRDefault="005D697D" w:rsidP="00D72D78">
            <w:pPr>
              <w:spacing w:after="0" w:line="240" w:lineRule="auto"/>
              <w:jc w:val="both"/>
              <w:rPr>
                <w:rFonts w:ascii="Tahoma" w:hAnsi="Tahoma" w:cs="Tahoma"/>
                <w:sz w:val="24"/>
                <w:szCs w:val="24"/>
              </w:rPr>
            </w:pPr>
          </w:p>
          <w:p w:rsidR="00184D8D" w:rsidRPr="001D2C64" w:rsidDel="00B763AE" w:rsidRDefault="00EE7CA1" w:rsidP="00D72D78">
            <w:pPr>
              <w:spacing w:after="0" w:line="240" w:lineRule="auto"/>
              <w:jc w:val="both"/>
              <w:rPr>
                <w:rFonts w:ascii="Tahoma" w:hAnsi="Tahoma" w:cs="Tahoma"/>
                <w:sz w:val="24"/>
                <w:szCs w:val="24"/>
              </w:rPr>
            </w:pPr>
            <w:r>
              <w:rPr>
                <w:rFonts w:ascii="Tahoma" w:hAnsi="Tahoma" w:cs="Tahoma"/>
                <w:sz w:val="24"/>
                <w:szCs w:val="24"/>
                <w:lang w:eastAsia="es-CR"/>
              </w:rPr>
              <w:t xml:space="preserve">El personal judicial deberá adoptar las medidas necesarias de higiene que resulten aplicables en el lugar de trabajo, para cual deberá de tomarse en cuenta lo establecido en los Protocolos comunicados por las Circulares 97-2020 y 254-2020 de la Secretaría General de la Corte. </w:t>
            </w:r>
          </w:p>
        </w:tc>
      </w:tr>
      <w:tr w:rsidR="006F79E1" w:rsidRPr="001D2C64" w:rsidTr="00084FAE">
        <w:tc>
          <w:tcPr>
            <w:tcW w:w="5368" w:type="dxa"/>
            <w:shd w:val="clear" w:color="auto" w:fill="auto"/>
          </w:tcPr>
          <w:p w:rsidR="006F79E1" w:rsidRPr="001D2C64" w:rsidRDefault="006F79E1" w:rsidP="00D72D78">
            <w:pPr>
              <w:spacing w:after="0" w:line="240" w:lineRule="auto"/>
              <w:jc w:val="both"/>
              <w:rPr>
                <w:rFonts w:ascii="Tahoma" w:hAnsi="Tahoma" w:cs="Tahoma"/>
                <w:b/>
                <w:bCs/>
                <w:sz w:val="24"/>
                <w:szCs w:val="24"/>
              </w:rPr>
            </w:pPr>
          </w:p>
          <w:p w:rsidR="006F79E1" w:rsidRPr="001D2C64" w:rsidRDefault="00E022F2" w:rsidP="00D72D78">
            <w:pPr>
              <w:spacing w:after="0" w:line="240" w:lineRule="auto"/>
              <w:jc w:val="both"/>
              <w:rPr>
                <w:rFonts w:ascii="Tahoma" w:hAnsi="Tahoma" w:cs="Tahoma"/>
                <w:b/>
                <w:bCs/>
                <w:sz w:val="24"/>
                <w:szCs w:val="24"/>
              </w:rPr>
            </w:pPr>
            <w:r w:rsidRPr="001D2C64">
              <w:rPr>
                <w:rFonts w:ascii="Tahoma" w:hAnsi="Tahoma" w:cs="Tahoma"/>
                <w:noProof/>
                <w:sz w:val="24"/>
                <w:szCs w:val="24"/>
              </w:rPr>
              <w:drawing>
                <wp:anchor distT="0" distB="0" distL="114300" distR="114300" simplePos="0" relativeHeight="251657728" behindDoc="1" locked="0" layoutInCell="1" allowOverlap="1" wp14:anchorId="60E502B3">
                  <wp:simplePos x="0" y="0"/>
                  <wp:positionH relativeFrom="column">
                    <wp:posOffset>950595</wp:posOffset>
                  </wp:positionH>
                  <wp:positionV relativeFrom="paragraph">
                    <wp:posOffset>17145</wp:posOffset>
                  </wp:positionV>
                  <wp:extent cx="1014730" cy="1064895"/>
                  <wp:effectExtent l="0" t="0" r="0" b="0"/>
                  <wp:wrapTight wrapText="bothSides">
                    <wp:wrapPolygon edited="0">
                      <wp:start x="9327" y="0"/>
                      <wp:lineTo x="2433" y="2318"/>
                      <wp:lineTo x="811" y="3478"/>
                      <wp:lineTo x="0" y="10433"/>
                      <wp:lineTo x="0" y="11206"/>
                      <wp:lineTo x="811" y="19707"/>
                      <wp:lineTo x="9327" y="21252"/>
                      <wp:lineTo x="11760" y="21252"/>
                      <wp:lineTo x="12976" y="20866"/>
                      <wp:lineTo x="20275" y="19320"/>
                      <wp:lineTo x="21086" y="11592"/>
                      <wp:lineTo x="21086" y="3091"/>
                      <wp:lineTo x="19059" y="1932"/>
                      <wp:lineTo x="11760" y="0"/>
                      <wp:lineTo x="9327" y="0"/>
                    </wp:wrapPolygon>
                  </wp:wrapTight>
                  <wp:docPr id="16" name="Diagrama 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14:sizeRelH relativeFrom="margin">
                    <wp14:pctWidth>0</wp14:pctWidth>
                  </wp14:sizeRelH>
                  <wp14:sizeRelV relativeFrom="margin">
                    <wp14:pctHeight>0</wp14:pctHeight>
                  </wp14:sizeRelV>
                </wp:anchor>
              </w:drawing>
            </w:r>
          </w:p>
          <w:p w:rsidR="006F79E1" w:rsidRPr="001D2C64" w:rsidRDefault="006F79E1" w:rsidP="00D72D78">
            <w:pPr>
              <w:spacing w:after="0" w:line="240" w:lineRule="auto"/>
              <w:jc w:val="both"/>
              <w:rPr>
                <w:rFonts w:ascii="Tahoma" w:hAnsi="Tahoma" w:cs="Tahoma"/>
                <w:b/>
                <w:bCs/>
                <w:sz w:val="24"/>
                <w:szCs w:val="24"/>
              </w:rPr>
            </w:pPr>
          </w:p>
          <w:p w:rsidR="006F79E1" w:rsidRPr="001D2C64" w:rsidRDefault="006F79E1" w:rsidP="00D72D78">
            <w:pPr>
              <w:spacing w:after="0" w:line="240" w:lineRule="auto"/>
              <w:jc w:val="both"/>
              <w:rPr>
                <w:rFonts w:ascii="Tahoma" w:hAnsi="Tahoma" w:cs="Tahoma"/>
                <w:b/>
                <w:bCs/>
                <w:sz w:val="24"/>
                <w:szCs w:val="24"/>
              </w:rPr>
            </w:pPr>
          </w:p>
          <w:p w:rsidR="006F79E1" w:rsidRPr="001D2C64" w:rsidRDefault="006F79E1" w:rsidP="00D72D78">
            <w:pPr>
              <w:spacing w:after="0" w:line="240" w:lineRule="auto"/>
              <w:jc w:val="both"/>
              <w:rPr>
                <w:rFonts w:ascii="Tahoma" w:hAnsi="Tahoma" w:cs="Tahoma"/>
                <w:b/>
                <w:bCs/>
                <w:sz w:val="24"/>
                <w:szCs w:val="24"/>
              </w:rPr>
            </w:pPr>
          </w:p>
          <w:p w:rsidR="006F79E1" w:rsidRPr="001D2C64" w:rsidRDefault="006F79E1" w:rsidP="00D72D78">
            <w:pPr>
              <w:spacing w:after="0" w:line="240" w:lineRule="auto"/>
              <w:jc w:val="both"/>
              <w:rPr>
                <w:rFonts w:ascii="Tahoma" w:hAnsi="Tahoma" w:cs="Tahoma"/>
                <w:b/>
                <w:bCs/>
                <w:sz w:val="24"/>
                <w:szCs w:val="24"/>
              </w:rPr>
            </w:pPr>
          </w:p>
          <w:p w:rsidR="006F79E1" w:rsidRPr="001D2C64" w:rsidRDefault="006F79E1" w:rsidP="00D72D78">
            <w:pPr>
              <w:spacing w:after="0" w:line="240" w:lineRule="auto"/>
              <w:jc w:val="both"/>
              <w:rPr>
                <w:rFonts w:ascii="Tahoma" w:hAnsi="Tahoma" w:cs="Tahoma"/>
                <w:b/>
                <w:bCs/>
                <w:sz w:val="24"/>
                <w:szCs w:val="24"/>
              </w:rPr>
            </w:pPr>
          </w:p>
          <w:p w:rsidR="006F79E1" w:rsidRPr="001D2C64" w:rsidRDefault="006F79E1" w:rsidP="00D72D78">
            <w:pPr>
              <w:spacing w:after="0" w:line="240" w:lineRule="auto"/>
              <w:jc w:val="both"/>
              <w:rPr>
                <w:rFonts w:ascii="Tahoma" w:hAnsi="Tahoma" w:cs="Tahoma"/>
                <w:b/>
                <w:bCs/>
                <w:sz w:val="24"/>
                <w:szCs w:val="24"/>
              </w:rPr>
            </w:pPr>
          </w:p>
          <w:p w:rsidR="006F79E1" w:rsidRPr="001D2C64" w:rsidRDefault="006F79E1" w:rsidP="00D72D78">
            <w:pPr>
              <w:spacing w:after="0" w:line="240" w:lineRule="auto"/>
              <w:jc w:val="both"/>
              <w:rPr>
                <w:rFonts w:ascii="Tahoma" w:hAnsi="Tahoma" w:cs="Tahoma"/>
                <w:b/>
                <w:bCs/>
                <w:sz w:val="24"/>
                <w:szCs w:val="24"/>
              </w:rPr>
            </w:pPr>
          </w:p>
          <w:p w:rsidR="006F79E1" w:rsidRPr="001D2C64" w:rsidRDefault="006F79E1" w:rsidP="00D72D78">
            <w:pPr>
              <w:spacing w:after="0" w:line="240" w:lineRule="auto"/>
              <w:jc w:val="center"/>
              <w:rPr>
                <w:rFonts w:ascii="Tahoma" w:hAnsi="Tahoma" w:cs="Tahoma"/>
                <w:b/>
                <w:bCs/>
                <w:sz w:val="24"/>
                <w:szCs w:val="24"/>
              </w:rPr>
            </w:pPr>
            <w:r w:rsidRPr="001D2C64">
              <w:rPr>
                <w:rFonts w:ascii="Tahoma" w:hAnsi="Tahoma" w:cs="Tahoma"/>
                <w:b/>
                <w:bCs/>
                <w:sz w:val="24"/>
                <w:szCs w:val="24"/>
              </w:rPr>
              <w:t>Fase</w:t>
            </w:r>
            <w:r w:rsidR="00271933" w:rsidRPr="001D2C64">
              <w:rPr>
                <w:rFonts w:ascii="Tahoma" w:hAnsi="Tahoma" w:cs="Tahoma"/>
                <w:b/>
                <w:bCs/>
                <w:sz w:val="24"/>
                <w:szCs w:val="24"/>
              </w:rPr>
              <w:t xml:space="preserve"> 2</w:t>
            </w:r>
            <w:r w:rsidRPr="001D2C64">
              <w:rPr>
                <w:rFonts w:ascii="Tahoma" w:hAnsi="Tahoma" w:cs="Tahoma"/>
                <w:b/>
                <w:bCs/>
                <w:sz w:val="24"/>
                <w:szCs w:val="24"/>
              </w:rPr>
              <w:t>: Alerta Amarilla</w:t>
            </w:r>
          </w:p>
          <w:p w:rsidR="00EB2AC2" w:rsidRPr="001D2C64" w:rsidRDefault="00EB2AC2" w:rsidP="00D72D78">
            <w:pPr>
              <w:spacing w:after="0" w:line="240" w:lineRule="auto"/>
              <w:jc w:val="center"/>
              <w:rPr>
                <w:rFonts w:ascii="Tahoma" w:hAnsi="Tahoma" w:cs="Tahoma"/>
                <w:b/>
                <w:bCs/>
                <w:sz w:val="24"/>
                <w:szCs w:val="24"/>
              </w:rPr>
            </w:pPr>
            <w:r w:rsidRPr="001D2C64">
              <w:rPr>
                <w:rFonts w:ascii="Tahoma" w:hAnsi="Tahoma" w:cs="Tahoma"/>
                <w:b/>
                <w:bCs/>
                <w:sz w:val="24"/>
                <w:szCs w:val="24"/>
              </w:rPr>
              <w:t>Grado de riesgo: moderado.</w:t>
            </w:r>
          </w:p>
          <w:p w:rsidR="006F79E1" w:rsidRPr="001D2C64" w:rsidRDefault="006F79E1" w:rsidP="00D72D78">
            <w:pPr>
              <w:spacing w:after="0" w:line="240" w:lineRule="auto"/>
              <w:jc w:val="center"/>
              <w:rPr>
                <w:rFonts w:ascii="Tahoma" w:hAnsi="Tahoma" w:cs="Tahoma"/>
                <w:b/>
                <w:bCs/>
                <w:sz w:val="24"/>
                <w:szCs w:val="24"/>
              </w:rPr>
            </w:pPr>
          </w:p>
          <w:p w:rsidR="006F79E1" w:rsidRPr="00D43BDD" w:rsidRDefault="006F79E1" w:rsidP="00D72D78">
            <w:pPr>
              <w:spacing w:after="0" w:line="240" w:lineRule="auto"/>
              <w:jc w:val="both"/>
              <w:rPr>
                <w:rFonts w:ascii="Tahoma" w:hAnsi="Tahoma" w:cs="Tahoma"/>
                <w:sz w:val="24"/>
                <w:szCs w:val="24"/>
                <w:u w:val="single"/>
              </w:rPr>
            </w:pPr>
            <w:r w:rsidRPr="00D43BDD">
              <w:rPr>
                <w:rFonts w:ascii="Tahoma" w:hAnsi="Tahoma" w:cs="Tahoma"/>
                <w:sz w:val="24"/>
                <w:szCs w:val="24"/>
                <w:u w:val="single"/>
              </w:rPr>
              <w:t>Regreso Paulatino a la normalidad.</w:t>
            </w:r>
          </w:p>
          <w:p w:rsidR="006F79E1" w:rsidRPr="001D2C64" w:rsidRDefault="006F79E1" w:rsidP="00D72D78">
            <w:pPr>
              <w:spacing w:after="0" w:line="240" w:lineRule="auto"/>
              <w:jc w:val="both"/>
              <w:rPr>
                <w:rFonts w:ascii="Tahoma" w:hAnsi="Tahoma" w:cs="Tahoma"/>
                <w:sz w:val="24"/>
                <w:szCs w:val="24"/>
              </w:rPr>
            </w:pPr>
          </w:p>
          <w:p w:rsidR="006F79E1" w:rsidRPr="001D2C64" w:rsidRDefault="006F79E1" w:rsidP="00D72D78">
            <w:pPr>
              <w:spacing w:after="0" w:line="240" w:lineRule="auto"/>
              <w:jc w:val="both"/>
              <w:rPr>
                <w:rFonts w:ascii="Tahoma" w:hAnsi="Tahoma" w:cs="Tahoma"/>
                <w:sz w:val="24"/>
                <w:szCs w:val="24"/>
              </w:rPr>
            </w:pPr>
            <w:r w:rsidRPr="001D2C64">
              <w:rPr>
                <w:rFonts w:ascii="Tahoma" w:hAnsi="Tahoma" w:cs="Tahoma"/>
                <w:sz w:val="24"/>
                <w:szCs w:val="24"/>
              </w:rPr>
              <w:t>Circular</w:t>
            </w:r>
            <w:r w:rsidR="00FB747E" w:rsidRPr="001D2C64">
              <w:rPr>
                <w:rFonts w:ascii="Tahoma" w:hAnsi="Tahoma" w:cs="Tahoma"/>
                <w:sz w:val="24"/>
                <w:szCs w:val="24"/>
              </w:rPr>
              <w:t xml:space="preserve"> N°</w:t>
            </w:r>
            <w:r w:rsidR="00F40704" w:rsidRPr="001D2C64">
              <w:rPr>
                <w:rFonts w:ascii="Tahoma" w:hAnsi="Tahoma" w:cs="Tahoma"/>
                <w:sz w:val="24"/>
                <w:szCs w:val="24"/>
              </w:rPr>
              <w:t xml:space="preserve"> </w:t>
            </w:r>
            <w:r w:rsidRPr="001D2C64">
              <w:rPr>
                <w:rFonts w:ascii="Tahoma" w:hAnsi="Tahoma" w:cs="Tahoma"/>
                <w:sz w:val="24"/>
                <w:szCs w:val="24"/>
              </w:rPr>
              <w:t xml:space="preserve">63-2020 </w:t>
            </w:r>
            <w:r w:rsidR="00CB2AF9" w:rsidRPr="001D2C64">
              <w:rPr>
                <w:rFonts w:ascii="Tahoma" w:hAnsi="Tahoma" w:cs="Tahoma"/>
                <w:i/>
                <w:iCs/>
                <w:sz w:val="24"/>
                <w:szCs w:val="24"/>
              </w:rPr>
              <w:t>“Acuerdo de Corte Plena. Sesión N° 18-2020 del 2 de abril de 2020, en atención a la declaratoria de emergencia nacional, debido a la situación de emergencia sanitaria provocada por la enfermedad COVID-19.”</w:t>
            </w:r>
          </w:p>
          <w:p w:rsidR="00407ADC" w:rsidRPr="001D2C64" w:rsidRDefault="00407ADC" w:rsidP="00D72D78">
            <w:pPr>
              <w:spacing w:after="0" w:line="240" w:lineRule="auto"/>
              <w:jc w:val="both"/>
              <w:rPr>
                <w:rFonts w:ascii="Tahoma" w:hAnsi="Tahoma" w:cs="Tahoma"/>
                <w:sz w:val="24"/>
                <w:szCs w:val="24"/>
              </w:rPr>
            </w:pPr>
          </w:p>
          <w:p w:rsidR="00FB747E" w:rsidRPr="001D2C64" w:rsidRDefault="006F79E1" w:rsidP="00D72D78">
            <w:pPr>
              <w:spacing w:after="0" w:line="240" w:lineRule="auto"/>
              <w:jc w:val="both"/>
              <w:rPr>
                <w:rFonts w:ascii="Tahoma" w:hAnsi="Tahoma" w:cs="Tahoma"/>
                <w:sz w:val="24"/>
                <w:szCs w:val="24"/>
              </w:rPr>
            </w:pPr>
            <w:r w:rsidRPr="001D2C64">
              <w:rPr>
                <w:rFonts w:ascii="Tahoma" w:hAnsi="Tahoma" w:cs="Tahoma"/>
                <w:sz w:val="24"/>
                <w:szCs w:val="24"/>
              </w:rPr>
              <w:t xml:space="preserve">Circular </w:t>
            </w:r>
            <w:r w:rsidR="00FB747E" w:rsidRPr="001D2C64">
              <w:rPr>
                <w:rFonts w:ascii="Tahoma" w:hAnsi="Tahoma" w:cs="Tahoma"/>
                <w:sz w:val="24"/>
                <w:szCs w:val="24"/>
              </w:rPr>
              <w:t>N°</w:t>
            </w:r>
            <w:r w:rsidR="00F40704" w:rsidRPr="001D2C64">
              <w:rPr>
                <w:rFonts w:ascii="Tahoma" w:hAnsi="Tahoma" w:cs="Tahoma"/>
                <w:sz w:val="24"/>
                <w:szCs w:val="24"/>
              </w:rPr>
              <w:t xml:space="preserve"> </w:t>
            </w:r>
            <w:r w:rsidRPr="001D2C64">
              <w:rPr>
                <w:rFonts w:ascii="Tahoma" w:hAnsi="Tahoma" w:cs="Tahoma"/>
                <w:sz w:val="24"/>
                <w:szCs w:val="24"/>
              </w:rPr>
              <w:t>66-2020</w:t>
            </w:r>
            <w:r w:rsidR="00FB747E" w:rsidRPr="001D2C64">
              <w:rPr>
                <w:rFonts w:ascii="Tahoma" w:hAnsi="Tahoma" w:cs="Tahoma"/>
                <w:sz w:val="24"/>
                <w:szCs w:val="24"/>
              </w:rPr>
              <w:t xml:space="preserve"> </w:t>
            </w:r>
            <w:r w:rsidR="00D579DA" w:rsidRPr="001D2C64">
              <w:rPr>
                <w:rFonts w:ascii="Tahoma" w:hAnsi="Tahoma" w:cs="Tahoma"/>
                <w:i/>
                <w:iCs/>
                <w:sz w:val="24"/>
                <w:szCs w:val="24"/>
              </w:rPr>
              <w:t>“Marco regulatorio general para la tutela del derecho a la salud y la vida de las personas servidoras del Poder Judicial, personas usuarias y sus familias y garantizar la continuidad de los de servicios judiciales, con motivo de la emergencia sanitaria provocada por el virus COVID-19.”</w:t>
            </w:r>
          </w:p>
          <w:p w:rsidR="00523217" w:rsidRPr="001D2C64" w:rsidRDefault="006F79E1" w:rsidP="00D72D78">
            <w:pPr>
              <w:spacing w:after="0" w:line="240" w:lineRule="auto"/>
              <w:jc w:val="both"/>
              <w:rPr>
                <w:rFonts w:ascii="Tahoma" w:hAnsi="Tahoma" w:cs="Tahoma"/>
                <w:sz w:val="24"/>
                <w:szCs w:val="24"/>
              </w:rPr>
            </w:pPr>
            <w:r w:rsidRPr="001D2C64">
              <w:rPr>
                <w:rFonts w:ascii="Tahoma" w:hAnsi="Tahoma" w:cs="Tahoma"/>
                <w:sz w:val="24"/>
                <w:szCs w:val="24"/>
              </w:rPr>
              <w:t xml:space="preserve">Circular </w:t>
            </w:r>
            <w:r w:rsidR="00FB747E" w:rsidRPr="001D2C64">
              <w:rPr>
                <w:rFonts w:ascii="Tahoma" w:hAnsi="Tahoma" w:cs="Tahoma"/>
                <w:sz w:val="24"/>
                <w:szCs w:val="24"/>
              </w:rPr>
              <w:t>N°</w:t>
            </w:r>
            <w:r w:rsidRPr="001D2C64">
              <w:rPr>
                <w:rFonts w:ascii="Tahoma" w:hAnsi="Tahoma" w:cs="Tahoma"/>
                <w:sz w:val="24"/>
                <w:szCs w:val="24"/>
              </w:rPr>
              <w:t>67-2020</w:t>
            </w:r>
            <w:r w:rsidR="00523217" w:rsidRPr="001D2C64">
              <w:rPr>
                <w:rFonts w:ascii="Tahoma" w:hAnsi="Tahoma" w:cs="Tahoma"/>
                <w:i/>
                <w:iCs/>
                <w:sz w:val="24"/>
                <w:szCs w:val="24"/>
              </w:rPr>
              <w:t xml:space="preserve"> “Lineamientos generales para la implementación del acuerdo adoptado por la Corte Plena en sesión extraordinaria N°18-2020, celebrada el 2 de abril de 2020, artículo único.”</w:t>
            </w:r>
          </w:p>
          <w:p w:rsidR="006F79E1" w:rsidRPr="001D2C64" w:rsidRDefault="006F79E1" w:rsidP="00D72D78">
            <w:pPr>
              <w:spacing w:after="0" w:line="240" w:lineRule="auto"/>
              <w:jc w:val="both"/>
              <w:rPr>
                <w:rFonts w:ascii="Tahoma" w:hAnsi="Tahoma" w:cs="Tahoma"/>
                <w:sz w:val="24"/>
                <w:szCs w:val="24"/>
              </w:rPr>
            </w:pPr>
          </w:p>
          <w:p w:rsidR="006F79E1" w:rsidRDefault="00291053" w:rsidP="00D72D78">
            <w:pPr>
              <w:spacing w:after="0" w:line="240" w:lineRule="auto"/>
              <w:jc w:val="both"/>
              <w:rPr>
                <w:rFonts w:ascii="Tahoma" w:hAnsi="Tahoma" w:cs="Tahoma"/>
                <w:i/>
                <w:iCs/>
                <w:sz w:val="24"/>
                <w:szCs w:val="24"/>
              </w:rPr>
            </w:pPr>
            <w:r w:rsidRPr="001D2C64">
              <w:rPr>
                <w:rFonts w:ascii="Tahoma" w:hAnsi="Tahoma" w:cs="Tahoma"/>
                <w:sz w:val="24"/>
                <w:szCs w:val="24"/>
              </w:rPr>
              <w:t xml:space="preserve">Circular N°91-2020 </w:t>
            </w:r>
            <w:r w:rsidRPr="001D2C64">
              <w:rPr>
                <w:rFonts w:ascii="Tahoma" w:hAnsi="Tahoma" w:cs="Tahoma"/>
                <w:i/>
                <w:iCs/>
                <w:sz w:val="24"/>
                <w:szCs w:val="24"/>
              </w:rPr>
              <w:t>“</w:t>
            </w:r>
            <w:r w:rsidR="006F79E1" w:rsidRPr="001D2C64">
              <w:rPr>
                <w:rFonts w:ascii="Tahoma" w:hAnsi="Tahoma" w:cs="Tahoma"/>
                <w:i/>
                <w:iCs/>
                <w:sz w:val="24"/>
                <w:szCs w:val="24"/>
              </w:rPr>
              <w:t>Proyecto para la realización de audiencias virtuales de la materia laboral en el Poder Judicial de Costa Rica y Protocolo de Manejo de Audiencias Virtuales en los Procesos Laborales en Costa Rica</w:t>
            </w:r>
            <w:r w:rsidR="00926140" w:rsidRPr="001D2C64">
              <w:rPr>
                <w:rFonts w:ascii="Tahoma" w:hAnsi="Tahoma" w:cs="Tahoma"/>
                <w:i/>
                <w:iCs/>
                <w:sz w:val="24"/>
                <w:szCs w:val="24"/>
              </w:rPr>
              <w:t>”</w:t>
            </w:r>
          </w:p>
          <w:p w:rsidR="00595D6F" w:rsidRDefault="00595D6F" w:rsidP="00D72D78">
            <w:pPr>
              <w:spacing w:after="0" w:line="240" w:lineRule="auto"/>
              <w:jc w:val="both"/>
              <w:rPr>
                <w:rFonts w:ascii="Tahoma" w:hAnsi="Tahoma" w:cs="Tahoma"/>
                <w:i/>
                <w:iCs/>
                <w:sz w:val="24"/>
                <w:szCs w:val="24"/>
              </w:rPr>
            </w:pPr>
          </w:p>
          <w:p w:rsidR="00595D6F" w:rsidRPr="00595D6F" w:rsidRDefault="00595D6F" w:rsidP="00595D6F">
            <w:pPr>
              <w:jc w:val="both"/>
              <w:rPr>
                <w:rFonts w:ascii="Tahoma" w:hAnsi="Tahoma" w:cs="Tahoma"/>
                <w:i/>
                <w:iCs/>
                <w:color w:val="000000"/>
                <w:sz w:val="24"/>
                <w:szCs w:val="24"/>
                <w:lang w:eastAsia="es-CR"/>
              </w:rPr>
            </w:pPr>
            <w:r>
              <w:rPr>
                <w:rFonts w:ascii="Tahoma" w:hAnsi="Tahoma" w:cs="Tahoma"/>
                <w:sz w:val="24"/>
                <w:szCs w:val="24"/>
              </w:rPr>
              <w:t xml:space="preserve">Circular N° 97-2020 </w:t>
            </w:r>
            <w:r>
              <w:rPr>
                <w:rFonts w:ascii="Tahoma" w:hAnsi="Tahoma" w:cs="Tahoma"/>
                <w:i/>
                <w:iCs/>
                <w:sz w:val="24"/>
                <w:szCs w:val="24"/>
              </w:rPr>
              <w:t>“Protocolos para la utilización de salas de juicio, ingreso de personas usuarias y limpieza de áreas.”</w:t>
            </w:r>
          </w:p>
          <w:p w:rsidR="00595D6F" w:rsidRPr="001D2C64" w:rsidRDefault="00595D6F" w:rsidP="00595D6F">
            <w:pPr>
              <w:spacing w:after="0" w:line="240" w:lineRule="auto"/>
              <w:jc w:val="both"/>
              <w:rPr>
                <w:rFonts w:ascii="Tahoma" w:hAnsi="Tahoma" w:cs="Tahoma"/>
                <w:sz w:val="24"/>
                <w:szCs w:val="24"/>
              </w:rPr>
            </w:pPr>
            <w:r w:rsidRPr="001D2C64">
              <w:rPr>
                <w:rFonts w:ascii="Tahoma" w:hAnsi="Tahoma" w:cs="Tahoma"/>
                <w:sz w:val="24"/>
                <w:szCs w:val="24"/>
              </w:rPr>
              <w:t>Circular N°100-2020  “</w:t>
            </w:r>
            <w:r w:rsidRPr="001D2C64">
              <w:rPr>
                <w:rFonts w:ascii="Tahoma" w:hAnsi="Tahoma" w:cs="Tahoma"/>
                <w:i/>
                <w:iCs/>
                <w:sz w:val="24"/>
                <w:szCs w:val="24"/>
              </w:rPr>
              <w:t>“Acuerdo de Corte Plena. Sesión N° 26-2020 del 13 de mayo de 2020, en atención a la declaratoria de emergencia nacional, debido a la situación de emergencia sanitaria provocada por la enfermedad COVID-19.”</w:t>
            </w:r>
          </w:p>
          <w:p w:rsidR="00933341" w:rsidRPr="001D2C64" w:rsidRDefault="00933341" w:rsidP="00D72D78">
            <w:pPr>
              <w:spacing w:after="0" w:line="240" w:lineRule="auto"/>
              <w:jc w:val="both"/>
              <w:rPr>
                <w:rFonts w:ascii="Tahoma" w:hAnsi="Tahoma" w:cs="Tahoma"/>
                <w:i/>
                <w:iCs/>
                <w:sz w:val="24"/>
                <w:szCs w:val="24"/>
              </w:rPr>
            </w:pPr>
          </w:p>
          <w:p w:rsidR="00D43BDD" w:rsidRDefault="00D43BDD" w:rsidP="00D43BDD">
            <w:pPr>
              <w:spacing w:after="0" w:line="240" w:lineRule="auto"/>
              <w:jc w:val="both"/>
              <w:rPr>
                <w:rFonts w:ascii="Tahoma" w:hAnsi="Tahoma" w:cs="Tahoma"/>
                <w:i/>
                <w:iCs/>
                <w:color w:val="000000"/>
                <w:sz w:val="24"/>
                <w:szCs w:val="24"/>
                <w:lang w:eastAsia="es-CR"/>
              </w:rPr>
            </w:pPr>
            <w:r w:rsidRPr="00196173">
              <w:rPr>
                <w:rFonts w:ascii="Tahoma" w:hAnsi="Tahoma" w:cs="Tahoma"/>
                <w:sz w:val="24"/>
                <w:szCs w:val="24"/>
              </w:rPr>
              <w:t>C</w:t>
            </w:r>
            <w:r>
              <w:rPr>
                <w:rFonts w:ascii="Tahoma" w:hAnsi="Tahoma" w:cs="Tahoma"/>
                <w:sz w:val="24"/>
                <w:szCs w:val="24"/>
              </w:rPr>
              <w:t>ircular</w:t>
            </w:r>
            <w:r w:rsidRPr="00196173">
              <w:rPr>
                <w:rFonts w:ascii="Tahoma" w:hAnsi="Tahoma" w:cs="Tahoma"/>
                <w:sz w:val="24"/>
                <w:szCs w:val="24"/>
              </w:rPr>
              <w:t xml:space="preserve"> N° 244-2020</w:t>
            </w:r>
            <w:r w:rsidRPr="00C94CBC">
              <w:rPr>
                <w:rFonts w:ascii="Tahoma" w:hAnsi="Tahoma" w:cs="Tahoma"/>
                <w:b/>
                <w:bCs/>
                <w:color w:val="000000"/>
                <w:sz w:val="24"/>
                <w:szCs w:val="24"/>
                <w:lang w:eastAsia="es-CR"/>
              </w:rPr>
              <w:t xml:space="preserve"> </w:t>
            </w:r>
            <w:r w:rsidRPr="008F49FC">
              <w:rPr>
                <w:rFonts w:ascii="Tahoma" w:hAnsi="Tahoma" w:cs="Tahoma"/>
                <w:b/>
                <w:bCs/>
                <w:i/>
                <w:iCs/>
                <w:color w:val="000000"/>
                <w:sz w:val="24"/>
                <w:szCs w:val="24"/>
                <w:lang w:eastAsia="es-CR"/>
              </w:rPr>
              <w:t>“</w:t>
            </w:r>
            <w:r w:rsidRPr="008F49FC">
              <w:rPr>
                <w:rFonts w:ascii="Tahoma" w:hAnsi="Tahoma" w:cs="Tahoma"/>
                <w:i/>
                <w:iCs/>
                <w:color w:val="000000"/>
                <w:sz w:val="24"/>
                <w:szCs w:val="24"/>
                <w:lang w:eastAsia="es-CR"/>
              </w:rPr>
              <w:t>Acuerdo de Corte Plena. Sesión N° 64-2020 del 26 de octubre de 2020,</w:t>
            </w:r>
            <w:r w:rsidRPr="008F49FC">
              <w:rPr>
                <w:rFonts w:ascii="Tahoma" w:hAnsi="Tahoma" w:cs="Tahoma"/>
                <w:b/>
                <w:bCs/>
                <w:i/>
                <w:iCs/>
                <w:color w:val="000000"/>
                <w:sz w:val="24"/>
                <w:szCs w:val="24"/>
                <w:lang w:eastAsia="es-CR"/>
              </w:rPr>
              <w:t xml:space="preserve"> </w:t>
            </w:r>
            <w:r w:rsidRPr="008F49FC">
              <w:rPr>
                <w:rFonts w:ascii="Tahoma" w:hAnsi="Tahoma" w:cs="Tahoma"/>
                <w:i/>
                <w:iCs/>
                <w:color w:val="000000"/>
                <w:sz w:val="24"/>
                <w:szCs w:val="24"/>
                <w:lang w:eastAsia="es-CR"/>
              </w:rPr>
              <w:t>en atención a la declaratoria de emergencia nacional, debido a la situación de emergencia sanitaria provocada por la enfermedad COVID-19”</w:t>
            </w:r>
          </w:p>
          <w:p w:rsidR="00595D6F" w:rsidRDefault="00595D6F" w:rsidP="00D43BDD">
            <w:pPr>
              <w:spacing w:after="0" w:line="240" w:lineRule="auto"/>
              <w:jc w:val="both"/>
              <w:rPr>
                <w:rFonts w:ascii="Tahoma" w:hAnsi="Tahoma" w:cs="Tahoma"/>
                <w:b/>
                <w:bCs/>
                <w:i/>
                <w:iCs/>
                <w:color w:val="000000"/>
                <w:sz w:val="24"/>
                <w:szCs w:val="24"/>
                <w:u w:val="single"/>
                <w:lang w:eastAsia="es-CR"/>
              </w:rPr>
            </w:pPr>
          </w:p>
          <w:p w:rsidR="00595D6F" w:rsidRDefault="00595D6F" w:rsidP="00595D6F">
            <w:pPr>
              <w:jc w:val="both"/>
              <w:rPr>
                <w:rFonts w:ascii="Tahoma" w:hAnsi="Tahoma" w:cs="Tahoma"/>
                <w:i/>
                <w:iCs/>
                <w:color w:val="000000"/>
                <w:sz w:val="24"/>
                <w:szCs w:val="24"/>
                <w:lang w:eastAsia="es-CR"/>
              </w:rPr>
            </w:pPr>
            <w:r>
              <w:rPr>
                <w:rFonts w:ascii="Tahoma" w:hAnsi="Tahoma" w:cs="Tahoma"/>
                <w:color w:val="000000"/>
                <w:sz w:val="24"/>
                <w:szCs w:val="24"/>
                <w:lang w:eastAsia="es-CR"/>
              </w:rPr>
              <w:t>Circular N° 254-2020</w:t>
            </w:r>
            <w:r>
              <w:rPr>
                <w:rFonts w:ascii="Tahoma" w:hAnsi="Tahoma" w:cs="Tahoma"/>
                <w:i/>
                <w:iCs/>
                <w:color w:val="000000"/>
                <w:sz w:val="24"/>
                <w:szCs w:val="24"/>
                <w:lang w:eastAsia="es-CR"/>
              </w:rPr>
              <w:t xml:space="preserve"> “Protocolos que se requieren con motivo del abordaje de la emergencia nacional presentada por COVID-19.”</w:t>
            </w:r>
          </w:p>
          <w:p w:rsidR="00595D6F" w:rsidRPr="008F49FC" w:rsidRDefault="00595D6F" w:rsidP="00D43BDD">
            <w:pPr>
              <w:spacing w:after="0" w:line="240" w:lineRule="auto"/>
              <w:jc w:val="both"/>
              <w:rPr>
                <w:rFonts w:ascii="Tahoma" w:hAnsi="Tahoma" w:cs="Tahoma"/>
                <w:b/>
                <w:bCs/>
                <w:i/>
                <w:iCs/>
                <w:color w:val="000000"/>
                <w:sz w:val="24"/>
                <w:szCs w:val="24"/>
                <w:u w:val="single"/>
                <w:lang w:eastAsia="es-CR"/>
              </w:rPr>
            </w:pPr>
          </w:p>
          <w:p w:rsidR="006F79E1" w:rsidRPr="001D2C64" w:rsidRDefault="006F79E1" w:rsidP="00D72D78">
            <w:pPr>
              <w:spacing w:after="0" w:line="240" w:lineRule="auto"/>
              <w:jc w:val="both"/>
              <w:rPr>
                <w:rFonts w:ascii="Tahoma" w:hAnsi="Tahoma" w:cs="Tahoma"/>
                <w:sz w:val="24"/>
                <w:szCs w:val="24"/>
              </w:rPr>
            </w:pPr>
          </w:p>
          <w:p w:rsidR="006F79E1" w:rsidRPr="001D2C64" w:rsidRDefault="006F79E1" w:rsidP="00D72D78">
            <w:pPr>
              <w:spacing w:after="0" w:line="240" w:lineRule="auto"/>
              <w:jc w:val="both"/>
              <w:rPr>
                <w:rFonts w:ascii="Tahoma" w:hAnsi="Tahoma" w:cs="Tahoma"/>
                <w:sz w:val="24"/>
                <w:szCs w:val="24"/>
              </w:rPr>
            </w:pPr>
          </w:p>
          <w:p w:rsidR="00C9249E" w:rsidRPr="001D2C64" w:rsidRDefault="00E022F2" w:rsidP="00595D6F">
            <w:pPr>
              <w:spacing w:after="0" w:line="240" w:lineRule="auto"/>
              <w:jc w:val="center"/>
              <w:rPr>
                <w:rFonts w:ascii="Tahoma" w:hAnsi="Tahoma" w:cs="Tahoma"/>
                <w:sz w:val="24"/>
                <w:szCs w:val="24"/>
              </w:rPr>
            </w:pPr>
            <w:r w:rsidRPr="001D2C64">
              <w:rPr>
                <w:rFonts w:ascii="Tahoma" w:hAnsi="Tahoma" w:cs="Tahoma"/>
                <w:noProof/>
                <w:sz w:val="24"/>
                <w:szCs w:val="24"/>
              </w:rPr>
              <w:drawing>
                <wp:inline distT="0" distB="0" distL="0" distR="0" wp14:anchorId="345AE8B8">
                  <wp:extent cx="1343025" cy="8763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43025" cy="876300"/>
                          </a:xfrm>
                          <a:prstGeom prst="rect">
                            <a:avLst/>
                          </a:prstGeom>
                          <a:noFill/>
                          <a:ln>
                            <a:noFill/>
                          </a:ln>
                        </pic:spPr>
                      </pic:pic>
                    </a:graphicData>
                  </a:graphic>
                </wp:inline>
              </w:drawing>
            </w:r>
            <w:r w:rsidR="00D43BDD" w:rsidRPr="001D2C64">
              <w:rPr>
                <w:rFonts w:ascii="Tahoma" w:hAnsi="Tahoma" w:cs="Tahoma"/>
                <w:sz w:val="24"/>
                <w:szCs w:val="24"/>
              </w:rPr>
              <w:object w:dxaOrig="2117" w:dyaOrig="1383" w14:anchorId="1E9EA061">
                <v:shape id="_x0000_i1032" type="#_x0000_t75" style="width:105.75pt;height:69pt" o:ole="">
                  <v:imagedata r:id="rId34" o:title=""/>
                </v:shape>
                <o:OLEObject Type="Embed" ProgID="Word.Document.12" ShapeID="_x0000_i1032" DrawAspect="Icon" ObjectID="_1672117948" r:id="rId35">
                  <o:FieldCodes>\s</o:FieldCodes>
                </o:OLEObject>
              </w:object>
            </w:r>
          </w:p>
          <w:p w:rsidR="006F79E1" w:rsidRDefault="004B044F" w:rsidP="00595D6F">
            <w:pPr>
              <w:spacing w:after="0" w:line="240" w:lineRule="auto"/>
              <w:jc w:val="center"/>
              <w:rPr>
                <w:rFonts w:ascii="Tahoma" w:hAnsi="Tahoma" w:cs="Tahoma"/>
                <w:sz w:val="24"/>
                <w:szCs w:val="24"/>
              </w:rPr>
            </w:pPr>
            <w:r w:rsidRPr="001D2C64">
              <w:rPr>
                <w:rFonts w:ascii="Tahoma" w:eastAsia="Times New Roman" w:hAnsi="Tahoma" w:cs="Tahoma"/>
                <w:sz w:val="24"/>
                <w:szCs w:val="24"/>
                <w:lang w:eastAsia="zh-CN" w:bidi="hi-IN"/>
              </w:rPr>
              <w:object w:dxaOrig="1534" w:dyaOrig="997" w14:anchorId="467B724B">
                <v:shape id="_x0000_i1033" type="#_x0000_t75" style="width:76.5pt;height:49.5pt" o:ole="">
                  <v:imagedata r:id="rId36" o:title=""/>
                </v:shape>
                <o:OLEObject Type="Embed" ProgID="Word.Document.12" ShapeID="_x0000_i1033" DrawAspect="Icon" ObjectID="_1672117949" r:id="rId37">
                  <o:FieldCodes>\s</o:FieldCodes>
                </o:OLEObject>
              </w:object>
            </w:r>
            <w:bookmarkStart w:id="1" w:name="_MON_1659264108"/>
            <w:bookmarkEnd w:id="1"/>
            <w:r w:rsidR="00D43BDD" w:rsidRPr="001D2C64">
              <w:rPr>
                <w:rFonts w:ascii="Tahoma" w:hAnsi="Tahoma" w:cs="Tahoma"/>
                <w:sz w:val="24"/>
                <w:szCs w:val="24"/>
              </w:rPr>
              <w:object w:dxaOrig="2117" w:dyaOrig="1383" w14:anchorId="08DC84E9">
                <v:shape id="_x0000_i1034" type="#_x0000_t75" style="width:105.75pt;height:69pt" o:ole="">
                  <v:imagedata r:id="rId20" o:title=""/>
                </v:shape>
                <o:OLEObject Type="Embed" ProgID="Word.Document.12" ShapeID="_x0000_i1034" DrawAspect="Icon" ObjectID="_1672117950" r:id="rId38">
                  <o:FieldCodes>\s</o:FieldCodes>
                </o:OLEObject>
              </w:object>
            </w:r>
          </w:p>
          <w:p w:rsidR="00595D6F" w:rsidRPr="001D2C64" w:rsidRDefault="00595D6F" w:rsidP="00595D6F">
            <w:pPr>
              <w:spacing w:after="0" w:line="240" w:lineRule="auto"/>
              <w:jc w:val="center"/>
              <w:rPr>
                <w:rFonts w:ascii="Tahoma" w:hAnsi="Tahoma" w:cs="Tahoma"/>
                <w:sz w:val="24"/>
                <w:szCs w:val="24"/>
              </w:rPr>
            </w:pPr>
            <w:r w:rsidRPr="00595D6F">
              <w:rPr>
                <w:b/>
                <w:bCs/>
              </w:rPr>
              <w:object w:dxaOrig="1500" w:dyaOrig="975" w14:anchorId="0EE39412">
                <v:shape id="_x0000_i1035" type="#_x0000_t75" style="width:75pt;height:48.75pt" o:ole="">
                  <v:imagedata r:id="rId22" o:title=""/>
                </v:shape>
                <o:OLEObject Type="Embed" ProgID="Word.Document.12" ShapeID="_x0000_i1035" DrawAspect="Icon" ObjectID="_1672117951" r:id="rId39">
                  <o:FieldCodes>\s</o:FieldCodes>
                </o:OLEObject>
              </w:object>
            </w:r>
            <w:bookmarkStart w:id="2" w:name="_MON_1659263965"/>
            <w:bookmarkEnd w:id="2"/>
            <w:r w:rsidRPr="001D2C64">
              <w:rPr>
                <w:rFonts w:ascii="Tahoma" w:eastAsia="Times New Roman" w:hAnsi="Tahoma" w:cs="Tahoma"/>
                <w:sz w:val="24"/>
                <w:szCs w:val="24"/>
                <w:lang w:eastAsia="zh-CN" w:bidi="hi-IN"/>
              </w:rPr>
              <w:object w:dxaOrig="1534" w:dyaOrig="997" w14:anchorId="4BB43D92">
                <v:shape id="_x0000_i1036" type="#_x0000_t75" style="width:76.5pt;height:49.5pt" o:ole="">
                  <v:imagedata r:id="rId40" o:title=""/>
                </v:shape>
                <o:OLEObject Type="Embed" ProgID="Word.Document.12" ShapeID="_x0000_i1036" DrawAspect="Icon" ObjectID="_1672117952" r:id="rId41">
                  <o:FieldCodes>\s</o:FieldCodes>
                </o:OLEObject>
              </w:object>
            </w:r>
          </w:p>
          <w:p w:rsidR="006F79E1" w:rsidRPr="001D2C64" w:rsidRDefault="006F79E1" w:rsidP="00595D6F">
            <w:pPr>
              <w:spacing w:after="0" w:line="240" w:lineRule="auto"/>
              <w:jc w:val="center"/>
              <w:rPr>
                <w:rFonts w:ascii="Tahoma" w:hAnsi="Tahoma" w:cs="Tahoma"/>
                <w:sz w:val="24"/>
                <w:szCs w:val="24"/>
              </w:rPr>
            </w:pPr>
          </w:p>
          <w:p w:rsidR="006F79E1" w:rsidRPr="001D2C64" w:rsidRDefault="00D43BDD" w:rsidP="00595D6F">
            <w:pPr>
              <w:spacing w:after="0" w:line="240" w:lineRule="auto"/>
              <w:jc w:val="center"/>
              <w:rPr>
                <w:rFonts w:ascii="Tahoma" w:hAnsi="Tahoma" w:cs="Tahoma"/>
                <w:sz w:val="24"/>
                <w:szCs w:val="24"/>
              </w:rPr>
            </w:pPr>
            <w:r>
              <w:rPr>
                <w:rFonts w:ascii="Tahoma" w:eastAsia="Times New Roman" w:hAnsi="Tahoma" w:cs="Tahoma"/>
                <w:sz w:val="24"/>
                <w:szCs w:val="24"/>
                <w:lang w:eastAsia="zh-CN" w:bidi="hi-IN"/>
              </w:rPr>
              <w:object w:dxaOrig="1537" w:dyaOrig="997" w14:anchorId="5CAAEB5F">
                <v:shape id="_x0000_i1037" type="#_x0000_t75" style="width:76.5pt;height:49.5pt" o:ole="">
                  <v:imagedata r:id="rId42" o:title=""/>
                </v:shape>
                <o:OLEObject Type="Embed" ProgID="Word.Document.12" ShapeID="_x0000_i1037" DrawAspect="Icon" ObjectID="_1672117953" r:id="rId43">
                  <o:FieldCodes>\s</o:FieldCodes>
                </o:OLEObject>
              </w:object>
            </w:r>
            <w:r w:rsidR="00595D6F" w:rsidRPr="00595D6F">
              <w:rPr>
                <w:b/>
                <w:bCs/>
              </w:rPr>
              <w:t xml:space="preserve"> </w:t>
            </w:r>
            <w:r w:rsidR="00595D6F" w:rsidRPr="00595D6F">
              <w:rPr>
                <w:b/>
                <w:bCs/>
              </w:rPr>
              <w:object w:dxaOrig="1500" w:dyaOrig="975" w14:anchorId="2414737B">
                <v:shape id="_x0000_i1038" type="#_x0000_t75" style="width:75pt;height:48.75pt" o:ole="">
                  <v:imagedata r:id="rId26" o:title=""/>
                </v:shape>
                <o:OLEObject Type="Embed" ProgID="Word.Document.12" ShapeID="_x0000_i1038" DrawAspect="Icon" ObjectID="_1672117954" r:id="rId44">
                  <o:FieldCodes>\s</o:FieldCodes>
                </o:OLEObject>
              </w:object>
            </w:r>
          </w:p>
          <w:p w:rsidR="006F79E1" w:rsidRPr="001D2C64" w:rsidRDefault="006F79E1" w:rsidP="00595D6F">
            <w:pPr>
              <w:spacing w:after="0" w:line="240" w:lineRule="auto"/>
              <w:jc w:val="center"/>
              <w:rPr>
                <w:rFonts w:ascii="Tahoma" w:hAnsi="Tahoma" w:cs="Tahoma"/>
                <w:sz w:val="24"/>
                <w:szCs w:val="24"/>
              </w:rPr>
            </w:pPr>
          </w:p>
          <w:p w:rsidR="006F79E1" w:rsidRPr="001D2C64" w:rsidRDefault="006F79E1" w:rsidP="00D72D78">
            <w:pPr>
              <w:spacing w:after="0" w:line="240" w:lineRule="auto"/>
              <w:jc w:val="center"/>
              <w:rPr>
                <w:rFonts w:ascii="Tahoma" w:hAnsi="Tahoma" w:cs="Tahoma"/>
                <w:b/>
                <w:bCs/>
                <w:noProof/>
                <w:sz w:val="24"/>
                <w:szCs w:val="24"/>
              </w:rPr>
            </w:pPr>
          </w:p>
        </w:tc>
        <w:tc>
          <w:tcPr>
            <w:tcW w:w="5377" w:type="dxa"/>
            <w:shd w:val="clear" w:color="auto" w:fill="auto"/>
          </w:tcPr>
          <w:p w:rsidR="006F79E1" w:rsidRPr="001D2C64" w:rsidRDefault="006F79E1" w:rsidP="00D72D78">
            <w:pPr>
              <w:spacing w:after="0" w:line="240" w:lineRule="auto"/>
              <w:jc w:val="both"/>
              <w:rPr>
                <w:rFonts w:ascii="Tahoma" w:hAnsi="Tahoma" w:cs="Tahoma"/>
                <w:sz w:val="24"/>
                <w:szCs w:val="24"/>
              </w:rPr>
            </w:pPr>
          </w:p>
          <w:p w:rsidR="006F79E1" w:rsidRPr="001D2C64" w:rsidRDefault="006F79E1" w:rsidP="00D72D78">
            <w:pPr>
              <w:spacing w:after="0" w:line="240" w:lineRule="auto"/>
              <w:jc w:val="both"/>
              <w:rPr>
                <w:rFonts w:ascii="Tahoma" w:hAnsi="Tahoma" w:cs="Tahoma"/>
                <w:sz w:val="24"/>
                <w:szCs w:val="24"/>
              </w:rPr>
            </w:pPr>
            <w:r w:rsidRPr="001D2C64">
              <w:rPr>
                <w:rFonts w:ascii="Tahoma" w:hAnsi="Tahoma" w:cs="Tahoma"/>
                <w:sz w:val="24"/>
                <w:szCs w:val="24"/>
              </w:rPr>
              <w:t xml:space="preserve">Los Jueces/zas </w:t>
            </w:r>
            <w:r w:rsidR="00F40704" w:rsidRPr="001D2C64">
              <w:rPr>
                <w:rFonts w:ascii="Tahoma" w:hAnsi="Tahoma" w:cs="Tahoma"/>
                <w:sz w:val="24"/>
                <w:szCs w:val="24"/>
              </w:rPr>
              <w:t>Coordinadores</w:t>
            </w:r>
            <w:r w:rsidRPr="001D2C64">
              <w:rPr>
                <w:rFonts w:ascii="Tahoma" w:hAnsi="Tahoma" w:cs="Tahoma"/>
                <w:sz w:val="24"/>
                <w:szCs w:val="24"/>
              </w:rPr>
              <w:t>/as deberán establecer roles de trabajo que permitan mantener las oficinas abiertas durante el horario ordinario de atención al público, considerando aquellas medidas necesarias para la protección de estos y de las personas servidoras judiciales, manteniendo un esquema mínimo de personas en las oficinas judiciales según sea su tamaño o dimensión.</w:t>
            </w:r>
          </w:p>
          <w:p w:rsidR="00E5344B" w:rsidRPr="001D2C64" w:rsidRDefault="00E5344B" w:rsidP="00D72D78">
            <w:pPr>
              <w:spacing w:after="0" w:line="240" w:lineRule="auto"/>
              <w:jc w:val="both"/>
              <w:rPr>
                <w:rFonts w:ascii="Tahoma" w:hAnsi="Tahoma" w:cs="Tahoma"/>
                <w:sz w:val="24"/>
                <w:szCs w:val="24"/>
              </w:rPr>
            </w:pPr>
          </w:p>
          <w:p w:rsidR="00215264" w:rsidRPr="001D2C64" w:rsidRDefault="006F79E1" w:rsidP="00D72D78">
            <w:pPr>
              <w:spacing w:after="0" w:line="240" w:lineRule="auto"/>
              <w:jc w:val="both"/>
              <w:rPr>
                <w:rFonts w:ascii="Tahoma" w:hAnsi="Tahoma" w:cs="Tahoma"/>
                <w:sz w:val="24"/>
                <w:szCs w:val="24"/>
              </w:rPr>
            </w:pPr>
            <w:r w:rsidRPr="001D2C64">
              <w:rPr>
                <w:rFonts w:ascii="Tahoma" w:hAnsi="Tahoma" w:cs="Tahoma"/>
                <w:sz w:val="24"/>
                <w:szCs w:val="24"/>
              </w:rPr>
              <w:t xml:space="preserve">Se </w:t>
            </w:r>
            <w:r w:rsidRPr="001D2C64">
              <w:rPr>
                <w:rFonts w:ascii="Tahoma" w:hAnsi="Tahoma" w:cs="Tahoma"/>
                <w:sz w:val="24"/>
                <w:szCs w:val="24"/>
                <w:u w:val="single"/>
              </w:rPr>
              <w:t>mantendrá</w:t>
            </w:r>
            <w:r w:rsidRPr="001D2C64">
              <w:rPr>
                <w:rFonts w:ascii="Tahoma" w:hAnsi="Tahoma" w:cs="Tahoma"/>
                <w:sz w:val="24"/>
                <w:szCs w:val="24"/>
              </w:rPr>
              <w:t xml:space="preserve"> la continuidad de los siguientes servicios: </w:t>
            </w:r>
          </w:p>
          <w:p w:rsidR="00215264" w:rsidRPr="001D2C64" w:rsidRDefault="00215264" w:rsidP="00D72D78">
            <w:pPr>
              <w:spacing w:after="0" w:line="240" w:lineRule="auto"/>
              <w:jc w:val="both"/>
              <w:rPr>
                <w:rFonts w:ascii="Tahoma" w:hAnsi="Tahoma" w:cs="Tahoma"/>
                <w:sz w:val="24"/>
                <w:szCs w:val="24"/>
              </w:rPr>
            </w:pPr>
          </w:p>
          <w:p w:rsidR="00215264" w:rsidRPr="001D2C64" w:rsidRDefault="00215264" w:rsidP="00D72D78">
            <w:pPr>
              <w:pStyle w:val="Prrafodelista"/>
              <w:numPr>
                <w:ilvl w:val="0"/>
                <w:numId w:val="23"/>
              </w:numPr>
              <w:spacing w:after="0" w:line="240" w:lineRule="auto"/>
              <w:jc w:val="both"/>
              <w:rPr>
                <w:rFonts w:ascii="Tahoma" w:hAnsi="Tahoma" w:cs="Tahoma"/>
                <w:sz w:val="24"/>
                <w:szCs w:val="24"/>
              </w:rPr>
            </w:pPr>
            <w:r w:rsidRPr="001D2C64">
              <w:rPr>
                <w:rFonts w:ascii="Tahoma" w:hAnsi="Tahoma" w:cs="Tahoma"/>
                <w:sz w:val="24"/>
                <w:szCs w:val="24"/>
              </w:rPr>
              <w:t xml:space="preserve">Todo lo relacionado con medidas cautelares incluyendo </w:t>
            </w:r>
            <w:r w:rsidR="00E5344B" w:rsidRPr="001D2C64">
              <w:rPr>
                <w:rFonts w:ascii="Tahoma" w:hAnsi="Tahoma" w:cs="Tahoma"/>
                <w:sz w:val="24"/>
                <w:szCs w:val="24"/>
              </w:rPr>
              <w:t>actividades</w:t>
            </w:r>
            <w:r w:rsidRPr="001D2C64">
              <w:rPr>
                <w:rFonts w:ascii="Tahoma" w:hAnsi="Tahoma" w:cs="Tahoma"/>
                <w:sz w:val="24"/>
                <w:szCs w:val="24"/>
              </w:rPr>
              <w:t xml:space="preserve"> presenciales</w:t>
            </w:r>
            <w:r w:rsidR="00E5344B" w:rsidRPr="001D2C64">
              <w:rPr>
                <w:rFonts w:ascii="Tahoma" w:hAnsi="Tahoma" w:cs="Tahoma"/>
                <w:sz w:val="24"/>
                <w:szCs w:val="24"/>
              </w:rPr>
              <w:t xml:space="preserve"> a criterio de</w:t>
            </w:r>
            <w:r w:rsidR="0021636F" w:rsidRPr="001D2C64">
              <w:rPr>
                <w:rFonts w:ascii="Tahoma" w:hAnsi="Tahoma" w:cs="Tahoma"/>
                <w:sz w:val="24"/>
                <w:szCs w:val="24"/>
              </w:rPr>
              <w:t xml:space="preserve"> </w:t>
            </w:r>
            <w:r w:rsidR="00E5344B" w:rsidRPr="001D2C64">
              <w:rPr>
                <w:rFonts w:ascii="Tahoma" w:hAnsi="Tahoma" w:cs="Tahoma"/>
                <w:sz w:val="24"/>
                <w:szCs w:val="24"/>
              </w:rPr>
              <w:t>l</w:t>
            </w:r>
            <w:r w:rsidR="0021636F" w:rsidRPr="001D2C64">
              <w:rPr>
                <w:rFonts w:ascii="Tahoma" w:hAnsi="Tahoma" w:cs="Tahoma"/>
                <w:sz w:val="24"/>
                <w:szCs w:val="24"/>
              </w:rPr>
              <w:t>a persona</w:t>
            </w:r>
            <w:r w:rsidR="00E5344B" w:rsidRPr="001D2C64">
              <w:rPr>
                <w:rFonts w:ascii="Tahoma" w:hAnsi="Tahoma" w:cs="Tahoma"/>
                <w:sz w:val="24"/>
                <w:szCs w:val="24"/>
              </w:rPr>
              <w:t xml:space="preserve"> Ju</w:t>
            </w:r>
            <w:r w:rsidR="0021636F" w:rsidRPr="001D2C64">
              <w:rPr>
                <w:rFonts w:ascii="Tahoma" w:hAnsi="Tahoma" w:cs="Tahoma"/>
                <w:sz w:val="24"/>
                <w:szCs w:val="24"/>
              </w:rPr>
              <w:t>zgadora</w:t>
            </w:r>
            <w:r w:rsidR="00E5344B" w:rsidRPr="001D2C64">
              <w:rPr>
                <w:rFonts w:ascii="Tahoma" w:hAnsi="Tahoma" w:cs="Tahoma"/>
                <w:sz w:val="24"/>
                <w:szCs w:val="24"/>
              </w:rPr>
              <w:t xml:space="preserve"> y de conformidad con el artículo 572 del Código de Trabajo.</w:t>
            </w:r>
          </w:p>
          <w:p w:rsidR="00E5344B" w:rsidRPr="001D2C64" w:rsidRDefault="00E5344B" w:rsidP="00D72D78">
            <w:pPr>
              <w:spacing w:after="0" w:line="240" w:lineRule="auto"/>
              <w:jc w:val="both"/>
              <w:rPr>
                <w:rFonts w:ascii="Tahoma" w:hAnsi="Tahoma" w:cs="Tahoma"/>
                <w:sz w:val="24"/>
                <w:szCs w:val="24"/>
              </w:rPr>
            </w:pPr>
          </w:p>
          <w:p w:rsidR="00215264" w:rsidRPr="001D2C64" w:rsidRDefault="00215264" w:rsidP="00D72D78">
            <w:pPr>
              <w:spacing w:after="0" w:line="240" w:lineRule="auto"/>
              <w:jc w:val="both"/>
              <w:rPr>
                <w:rFonts w:ascii="Tahoma" w:hAnsi="Tahoma" w:cs="Tahoma"/>
                <w:sz w:val="24"/>
                <w:szCs w:val="24"/>
              </w:rPr>
            </w:pPr>
            <w:r w:rsidRPr="001D2C64">
              <w:rPr>
                <w:rFonts w:ascii="Tahoma" w:hAnsi="Tahoma" w:cs="Tahoma"/>
                <w:sz w:val="24"/>
                <w:szCs w:val="24"/>
              </w:rPr>
              <w:t>2. Atención de demandas y escritos (por medio de las Oficinas de Recepción de Documentos que permanecen abiertas al público, se continúa con la recepción de demandas y escritos, así como documentos a través de gestión en línea y de la Defensa Social Laboral)</w:t>
            </w:r>
          </w:p>
          <w:p w:rsidR="00E5344B" w:rsidRPr="001D2C64" w:rsidRDefault="00E5344B" w:rsidP="00D72D78">
            <w:pPr>
              <w:spacing w:after="0" w:line="240" w:lineRule="auto"/>
              <w:jc w:val="both"/>
              <w:rPr>
                <w:rFonts w:ascii="Tahoma" w:hAnsi="Tahoma" w:cs="Tahoma"/>
                <w:sz w:val="24"/>
                <w:szCs w:val="24"/>
              </w:rPr>
            </w:pPr>
          </w:p>
          <w:p w:rsidR="00215264" w:rsidRPr="001D2C64" w:rsidRDefault="00215264" w:rsidP="00D72D78">
            <w:pPr>
              <w:spacing w:after="0" w:line="240" w:lineRule="auto"/>
              <w:jc w:val="both"/>
              <w:rPr>
                <w:rFonts w:ascii="Tahoma" w:hAnsi="Tahoma" w:cs="Tahoma"/>
                <w:sz w:val="24"/>
                <w:szCs w:val="24"/>
              </w:rPr>
            </w:pPr>
            <w:r w:rsidRPr="001D2C64">
              <w:rPr>
                <w:rFonts w:ascii="Tahoma" w:hAnsi="Tahoma" w:cs="Tahoma"/>
                <w:sz w:val="24"/>
                <w:szCs w:val="24"/>
              </w:rPr>
              <w:t xml:space="preserve">3. Giros de dinero  </w:t>
            </w:r>
          </w:p>
          <w:p w:rsidR="00E5344B" w:rsidRPr="001D2C64" w:rsidRDefault="00E5344B" w:rsidP="00D72D78">
            <w:pPr>
              <w:spacing w:after="0" w:line="240" w:lineRule="auto"/>
              <w:jc w:val="both"/>
              <w:rPr>
                <w:rFonts w:ascii="Tahoma" w:hAnsi="Tahoma" w:cs="Tahoma"/>
                <w:sz w:val="24"/>
                <w:szCs w:val="24"/>
              </w:rPr>
            </w:pPr>
          </w:p>
          <w:p w:rsidR="00215264" w:rsidRPr="001D2C64" w:rsidRDefault="00215264" w:rsidP="00D72D78">
            <w:pPr>
              <w:spacing w:after="0" w:line="240" w:lineRule="auto"/>
              <w:jc w:val="both"/>
              <w:rPr>
                <w:rFonts w:ascii="Tahoma" w:hAnsi="Tahoma" w:cs="Tahoma"/>
                <w:sz w:val="24"/>
                <w:szCs w:val="24"/>
              </w:rPr>
            </w:pPr>
            <w:r w:rsidRPr="001D2C64">
              <w:rPr>
                <w:rFonts w:ascii="Tahoma" w:hAnsi="Tahoma" w:cs="Tahoma"/>
                <w:sz w:val="24"/>
                <w:szCs w:val="24"/>
              </w:rPr>
              <w:t>4. Cualquier otra situación de urgencia, a criterio de l</w:t>
            </w:r>
            <w:r w:rsidR="00A40ABC" w:rsidRPr="001D2C64">
              <w:rPr>
                <w:rFonts w:ascii="Tahoma" w:hAnsi="Tahoma" w:cs="Tahoma"/>
                <w:sz w:val="24"/>
                <w:szCs w:val="24"/>
              </w:rPr>
              <w:t>as personas juzgadoras</w:t>
            </w:r>
            <w:r w:rsidRPr="001D2C64">
              <w:rPr>
                <w:rFonts w:ascii="Tahoma" w:hAnsi="Tahoma" w:cs="Tahoma"/>
                <w:sz w:val="24"/>
                <w:szCs w:val="24"/>
              </w:rPr>
              <w:t xml:space="preserve"> de los Despachos, en el tanto se respeten los lineamientos que dicten las autoridades de salud. </w:t>
            </w:r>
          </w:p>
          <w:p w:rsidR="00215264" w:rsidRPr="001D2C64" w:rsidRDefault="00215264" w:rsidP="00D72D78">
            <w:pPr>
              <w:spacing w:after="0" w:line="240" w:lineRule="auto"/>
              <w:jc w:val="both"/>
              <w:rPr>
                <w:rFonts w:ascii="Tahoma" w:hAnsi="Tahoma" w:cs="Tahoma"/>
                <w:sz w:val="24"/>
                <w:szCs w:val="24"/>
              </w:rPr>
            </w:pPr>
          </w:p>
          <w:p w:rsidR="00215264" w:rsidRPr="001D2C64" w:rsidRDefault="00215264" w:rsidP="00D72D78">
            <w:pPr>
              <w:spacing w:after="0" w:line="240" w:lineRule="auto"/>
              <w:jc w:val="both"/>
              <w:rPr>
                <w:rFonts w:ascii="Tahoma" w:hAnsi="Tahoma" w:cs="Tahoma"/>
                <w:sz w:val="24"/>
                <w:szCs w:val="24"/>
              </w:rPr>
            </w:pPr>
            <w:r w:rsidRPr="001D2C64">
              <w:rPr>
                <w:rFonts w:ascii="Tahoma" w:hAnsi="Tahoma" w:cs="Tahoma"/>
                <w:sz w:val="24"/>
                <w:szCs w:val="24"/>
              </w:rPr>
              <w:t>5. Audiencias virtuales o híbridas</w:t>
            </w:r>
            <w:r w:rsidR="00FA1385" w:rsidRPr="001D2C64">
              <w:rPr>
                <w:rFonts w:ascii="Tahoma" w:hAnsi="Tahoma" w:cs="Tahoma"/>
                <w:sz w:val="24"/>
                <w:szCs w:val="24"/>
              </w:rPr>
              <w:t xml:space="preserve">. Para su realización, rige </w:t>
            </w:r>
            <w:r w:rsidR="00A34538" w:rsidRPr="001D2C64">
              <w:rPr>
                <w:rFonts w:ascii="Tahoma" w:hAnsi="Tahoma" w:cs="Tahoma"/>
                <w:sz w:val="24"/>
                <w:szCs w:val="24"/>
              </w:rPr>
              <w:t xml:space="preserve">el protocolo y </w:t>
            </w:r>
            <w:r w:rsidR="00FA1385" w:rsidRPr="001D2C64">
              <w:rPr>
                <w:rFonts w:ascii="Tahoma" w:hAnsi="Tahoma" w:cs="Tahoma"/>
                <w:sz w:val="24"/>
                <w:szCs w:val="24"/>
              </w:rPr>
              <w:t xml:space="preserve">el </w:t>
            </w:r>
            <w:r w:rsidR="00A34538" w:rsidRPr="001D2C64">
              <w:rPr>
                <w:rFonts w:ascii="Tahoma" w:hAnsi="Tahoma" w:cs="Tahoma"/>
                <w:sz w:val="24"/>
                <w:szCs w:val="24"/>
              </w:rPr>
              <w:t xml:space="preserve">proyecto </w:t>
            </w:r>
            <w:r w:rsidR="00FA1385" w:rsidRPr="001D2C64">
              <w:rPr>
                <w:rFonts w:ascii="Tahoma" w:hAnsi="Tahoma" w:cs="Tahoma"/>
                <w:sz w:val="24"/>
                <w:szCs w:val="24"/>
              </w:rPr>
              <w:t>para</w:t>
            </w:r>
            <w:r w:rsidR="00A34538" w:rsidRPr="001D2C64">
              <w:rPr>
                <w:rFonts w:ascii="Tahoma" w:hAnsi="Tahoma" w:cs="Tahoma"/>
                <w:sz w:val="24"/>
                <w:szCs w:val="24"/>
              </w:rPr>
              <w:t xml:space="preserve"> audiencias virtuales aprobado por Corte Plena</w:t>
            </w:r>
            <w:r w:rsidRPr="001D2C64">
              <w:rPr>
                <w:rFonts w:ascii="Tahoma" w:hAnsi="Tahoma" w:cs="Tahoma"/>
                <w:sz w:val="24"/>
                <w:szCs w:val="24"/>
              </w:rPr>
              <w:t>.</w:t>
            </w:r>
          </w:p>
          <w:p w:rsidR="000579BC" w:rsidRPr="001D2C64" w:rsidRDefault="000579BC" w:rsidP="00D72D78">
            <w:pPr>
              <w:spacing w:after="0" w:line="240" w:lineRule="auto"/>
              <w:jc w:val="both"/>
              <w:rPr>
                <w:rFonts w:ascii="Tahoma" w:hAnsi="Tahoma" w:cs="Tahoma"/>
                <w:sz w:val="24"/>
                <w:szCs w:val="24"/>
                <w:lang w:eastAsia="es-CR"/>
              </w:rPr>
            </w:pPr>
          </w:p>
          <w:p w:rsidR="000579BC" w:rsidRPr="001D2C64" w:rsidRDefault="000579BC" w:rsidP="00D72D78">
            <w:pPr>
              <w:spacing w:after="0" w:line="240" w:lineRule="auto"/>
              <w:jc w:val="both"/>
              <w:rPr>
                <w:rFonts w:ascii="Tahoma" w:hAnsi="Tahoma" w:cs="Tahoma"/>
                <w:sz w:val="24"/>
                <w:szCs w:val="24"/>
                <w:lang w:eastAsia="es-CR"/>
              </w:rPr>
            </w:pPr>
            <w:r w:rsidRPr="001D2C64">
              <w:rPr>
                <w:rFonts w:ascii="Tahoma" w:hAnsi="Tahoma" w:cs="Tahoma"/>
                <w:sz w:val="24"/>
                <w:szCs w:val="24"/>
                <w:lang w:eastAsia="es-CR"/>
              </w:rPr>
              <w:t>6. En aquello</w:t>
            </w:r>
            <w:r w:rsidR="005B2AA6" w:rsidRPr="001D2C64">
              <w:rPr>
                <w:rFonts w:ascii="Tahoma" w:hAnsi="Tahoma" w:cs="Tahoma"/>
                <w:sz w:val="24"/>
                <w:szCs w:val="24"/>
                <w:lang w:eastAsia="es-CR"/>
              </w:rPr>
              <w:t>s</w:t>
            </w:r>
            <w:r w:rsidRPr="001D2C64">
              <w:rPr>
                <w:rFonts w:ascii="Tahoma" w:hAnsi="Tahoma" w:cs="Tahoma"/>
                <w:sz w:val="24"/>
                <w:szCs w:val="24"/>
                <w:lang w:eastAsia="es-CR"/>
              </w:rPr>
              <w:t xml:space="preserve"> casos donde no sea posible la realización de audiencias virtuales o híbridas, deberán hacerse de manera presencial con estricto cumplimiento de los protocolos de Salud requeridos.</w:t>
            </w:r>
          </w:p>
          <w:p w:rsidR="006F79E1" w:rsidRPr="001D2C64" w:rsidRDefault="006F79E1" w:rsidP="00D72D78">
            <w:pPr>
              <w:spacing w:after="0" w:line="240" w:lineRule="auto"/>
              <w:jc w:val="both"/>
              <w:rPr>
                <w:rFonts w:ascii="Tahoma" w:hAnsi="Tahoma" w:cs="Tahoma"/>
                <w:sz w:val="24"/>
                <w:szCs w:val="24"/>
                <w:lang w:eastAsia="es-CR"/>
              </w:rPr>
            </w:pPr>
          </w:p>
          <w:p w:rsidR="006F79E1" w:rsidRPr="001D2C64" w:rsidRDefault="006F79E1" w:rsidP="00D72D78">
            <w:pPr>
              <w:spacing w:after="0" w:line="240" w:lineRule="auto"/>
              <w:jc w:val="both"/>
              <w:rPr>
                <w:rFonts w:ascii="Tahoma" w:hAnsi="Tahoma" w:cs="Tahoma"/>
                <w:sz w:val="24"/>
                <w:szCs w:val="24"/>
              </w:rPr>
            </w:pPr>
          </w:p>
          <w:p w:rsidR="006F79E1" w:rsidRPr="001D2C64" w:rsidRDefault="006F79E1" w:rsidP="00D72D78">
            <w:pPr>
              <w:spacing w:after="0" w:line="240" w:lineRule="auto"/>
              <w:jc w:val="both"/>
              <w:rPr>
                <w:rFonts w:ascii="Tahoma" w:hAnsi="Tahoma" w:cs="Tahoma"/>
                <w:sz w:val="24"/>
                <w:szCs w:val="24"/>
              </w:rPr>
            </w:pPr>
            <w:r w:rsidRPr="001D2C64">
              <w:rPr>
                <w:rFonts w:ascii="Tahoma" w:hAnsi="Tahoma" w:cs="Tahoma"/>
                <w:sz w:val="24"/>
                <w:szCs w:val="24"/>
              </w:rPr>
              <w:t>Respecto al seguimiento: Los despachos judiciales continuarán presentando los reportes semanales al Centro de Apoyo, Coordinación y Mejoramiento de la Función Jurisdiccional por medio de la matriz compartida en la plataforma OneDrive.  Paralelamente se verifica a través de SIGMA que los escritos sean cancelados por orden de antigüedad semanalmente.</w:t>
            </w:r>
          </w:p>
          <w:p w:rsidR="006F79E1" w:rsidRPr="001D2C64" w:rsidRDefault="006F79E1" w:rsidP="00D72D78">
            <w:pPr>
              <w:spacing w:after="0" w:line="240" w:lineRule="auto"/>
              <w:jc w:val="both"/>
              <w:rPr>
                <w:rFonts w:ascii="Tahoma" w:hAnsi="Tahoma" w:cs="Tahoma"/>
                <w:sz w:val="24"/>
                <w:szCs w:val="24"/>
              </w:rPr>
            </w:pPr>
          </w:p>
          <w:p w:rsidR="006F79E1" w:rsidRPr="001D2C64" w:rsidRDefault="006F79E1" w:rsidP="00D72D78">
            <w:pPr>
              <w:spacing w:after="0" w:line="240" w:lineRule="auto"/>
              <w:jc w:val="both"/>
              <w:rPr>
                <w:rFonts w:ascii="Tahoma" w:hAnsi="Tahoma" w:cs="Tahoma"/>
                <w:sz w:val="24"/>
                <w:szCs w:val="24"/>
              </w:rPr>
            </w:pPr>
            <w:r w:rsidRPr="001D2C64">
              <w:rPr>
                <w:rFonts w:ascii="Tahoma" w:hAnsi="Tahoma" w:cs="Tahoma"/>
                <w:sz w:val="24"/>
                <w:szCs w:val="24"/>
              </w:rPr>
              <w:t xml:space="preserve">Previsiones para considerar a partir de las disposiciones emitidas según Circular 63-2020 de la Corte Plena: </w:t>
            </w:r>
          </w:p>
          <w:p w:rsidR="006F79E1" w:rsidRPr="001D2C64" w:rsidRDefault="006F79E1" w:rsidP="00D72D78">
            <w:pPr>
              <w:spacing w:after="0" w:line="240" w:lineRule="auto"/>
              <w:jc w:val="both"/>
              <w:rPr>
                <w:rFonts w:ascii="Tahoma" w:hAnsi="Tahoma" w:cs="Tahoma"/>
                <w:sz w:val="24"/>
                <w:szCs w:val="24"/>
              </w:rPr>
            </w:pPr>
          </w:p>
          <w:p w:rsidR="006F79E1" w:rsidRPr="001D2C64" w:rsidRDefault="006F79E1" w:rsidP="00D72D78">
            <w:pPr>
              <w:pStyle w:val="Prrafodelista"/>
              <w:numPr>
                <w:ilvl w:val="0"/>
                <w:numId w:val="20"/>
              </w:numPr>
              <w:spacing w:after="0" w:line="240" w:lineRule="auto"/>
              <w:jc w:val="both"/>
              <w:rPr>
                <w:rFonts w:ascii="Tahoma" w:hAnsi="Tahoma" w:cs="Tahoma"/>
                <w:sz w:val="24"/>
                <w:szCs w:val="24"/>
              </w:rPr>
            </w:pPr>
            <w:r w:rsidRPr="001D2C64">
              <w:rPr>
                <w:rFonts w:ascii="Tahoma" w:hAnsi="Tahoma" w:cs="Tahoma"/>
                <w:sz w:val="24"/>
                <w:szCs w:val="24"/>
              </w:rPr>
              <w:t xml:space="preserve">En el Juzgado de Trabajo del Primer Circuito Judicial de San José, el servicio se brindará con una persona juzgadora, un técnico judicial coordinador y mínimo tres auxiliares judiciales. </w:t>
            </w:r>
          </w:p>
          <w:p w:rsidR="008B356A" w:rsidRPr="001D2C64" w:rsidRDefault="006F79E1" w:rsidP="00D72D78">
            <w:pPr>
              <w:pStyle w:val="Prrafodelista"/>
              <w:numPr>
                <w:ilvl w:val="0"/>
                <w:numId w:val="20"/>
              </w:numPr>
              <w:spacing w:after="0" w:line="240" w:lineRule="auto"/>
              <w:jc w:val="both"/>
              <w:rPr>
                <w:rFonts w:ascii="Tahoma" w:hAnsi="Tahoma" w:cs="Tahoma"/>
                <w:sz w:val="24"/>
                <w:szCs w:val="24"/>
              </w:rPr>
            </w:pPr>
            <w:r w:rsidRPr="001D2C64">
              <w:rPr>
                <w:rFonts w:ascii="Tahoma" w:hAnsi="Tahoma" w:cs="Tahoma"/>
                <w:sz w:val="24"/>
                <w:szCs w:val="24"/>
              </w:rPr>
              <w:t xml:space="preserve">En el Juzgado de Trabajo del Segundo Circuito Judicial de San José, sede Goicoechea, el servicio se brindará con una persona juzgadora, un técnico judicial coordinador y dos auxiliares judiciales. </w:t>
            </w:r>
          </w:p>
          <w:p w:rsidR="006F79E1" w:rsidRPr="001D2C64" w:rsidRDefault="006F79E1" w:rsidP="00D72D78">
            <w:pPr>
              <w:pStyle w:val="Prrafodelista"/>
              <w:numPr>
                <w:ilvl w:val="0"/>
                <w:numId w:val="20"/>
              </w:numPr>
              <w:spacing w:after="0" w:line="240" w:lineRule="auto"/>
              <w:jc w:val="both"/>
              <w:rPr>
                <w:rFonts w:ascii="Tahoma" w:hAnsi="Tahoma" w:cs="Tahoma"/>
                <w:sz w:val="24"/>
                <w:szCs w:val="24"/>
              </w:rPr>
            </w:pPr>
            <w:r w:rsidRPr="001D2C64">
              <w:rPr>
                <w:rFonts w:ascii="Tahoma" w:hAnsi="Tahoma" w:cs="Tahoma"/>
                <w:sz w:val="24"/>
                <w:szCs w:val="24"/>
              </w:rPr>
              <w:t xml:space="preserve">En el resto de </w:t>
            </w:r>
            <w:r w:rsidR="009B7062" w:rsidRPr="001D2C64">
              <w:rPr>
                <w:rFonts w:ascii="Tahoma" w:hAnsi="Tahoma" w:cs="Tahoma"/>
                <w:sz w:val="24"/>
                <w:szCs w:val="24"/>
              </w:rPr>
              <w:t>los juzgados</w:t>
            </w:r>
            <w:r w:rsidRPr="001D2C64">
              <w:rPr>
                <w:rFonts w:ascii="Tahoma" w:hAnsi="Tahoma" w:cs="Tahoma"/>
                <w:sz w:val="24"/>
                <w:szCs w:val="24"/>
              </w:rPr>
              <w:t xml:space="preserve"> especializados, ubicados en las cabeceras de provincia, el servicio se brindará con una persona juzgadora, un técnico judicial coordinador y un auxiliar judicial, con excepción de los juzgados contravencionales los que se rigen por los lineamientos dictados por Corte Plena y Consejo Superior. </w:t>
            </w:r>
          </w:p>
          <w:p w:rsidR="006F79E1" w:rsidRPr="001D2C64" w:rsidRDefault="006F79E1" w:rsidP="00D72D78">
            <w:pPr>
              <w:spacing w:after="0" w:line="240" w:lineRule="auto"/>
              <w:jc w:val="both"/>
              <w:rPr>
                <w:rFonts w:ascii="Tahoma" w:hAnsi="Tahoma" w:cs="Tahoma"/>
                <w:sz w:val="24"/>
                <w:szCs w:val="24"/>
              </w:rPr>
            </w:pPr>
          </w:p>
          <w:p w:rsidR="006F79E1" w:rsidRPr="001D2C64" w:rsidRDefault="006F79E1" w:rsidP="00D72D78">
            <w:pPr>
              <w:spacing w:after="0" w:line="240" w:lineRule="auto"/>
              <w:jc w:val="both"/>
              <w:rPr>
                <w:rFonts w:ascii="Tahoma" w:hAnsi="Tahoma" w:cs="Tahoma"/>
                <w:sz w:val="24"/>
                <w:szCs w:val="24"/>
              </w:rPr>
            </w:pPr>
            <w:r w:rsidRPr="001D2C64">
              <w:rPr>
                <w:rFonts w:ascii="Tahoma" w:hAnsi="Tahoma" w:cs="Tahoma"/>
                <w:sz w:val="24"/>
                <w:szCs w:val="24"/>
              </w:rPr>
              <w:t xml:space="preserve">La escogencia de estas personas está a cargo del Juez/a Coordinador/a atendiendo las condiciones de vulnerabilidad si existieran en su personal. </w:t>
            </w:r>
          </w:p>
          <w:p w:rsidR="006F79E1" w:rsidRPr="001D2C64" w:rsidRDefault="006F79E1" w:rsidP="00D72D78">
            <w:pPr>
              <w:spacing w:after="0" w:line="240" w:lineRule="auto"/>
              <w:jc w:val="both"/>
              <w:rPr>
                <w:rFonts w:ascii="Tahoma" w:hAnsi="Tahoma" w:cs="Tahoma"/>
                <w:sz w:val="24"/>
                <w:szCs w:val="24"/>
              </w:rPr>
            </w:pPr>
          </w:p>
          <w:p w:rsidR="006F79E1" w:rsidRPr="001D2C64" w:rsidRDefault="006F79E1" w:rsidP="00D72D78">
            <w:pPr>
              <w:pStyle w:val="Prrafodelista"/>
              <w:numPr>
                <w:ilvl w:val="0"/>
                <w:numId w:val="18"/>
              </w:numPr>
              <w:spacing w:after="0" w:line="240" w:lineRule="auto"/>
              <w:jc w:val="both"/>
              <w:rPr>
                <w:rFonts w:ascii="Tahoma" w:hAnsi="Tahoma" w:cs="Tahoma"/>
                <w:sz w:val="24"/>
                <w:szCs w:val="24"/>
              </w:rPr>
            </w:pPr>
            <w:r w:rsidRPr="001D2C64">
              <w:rPr>
                <w:rFonts w:ascii="Tahoma" w:hAnsi="Tahoma" w:cs="Tahoma"/>
                <w:sz w:val="24"/>
                <w:szCs w:val="24"/>
              </w:rPr>
              <w:t xml:space="preserve">La atención al público se mantiene en horario regular de 7:30 a.m. a 12:00 m.d y de 13:00 p.m. a 16:30 p.m. </w:t>
            </w:r>
          </w:p>
          <w:p w:rsidR="006F79E1" w:rsidRPr="001D2C64" w:rsidRDefault="006F79E1" w:rsidP="00D72D78">
            <w:pPr>
              <w:pStyle w:val="Prrafodelista"/>
              <w:numPr>
                <w:ilvl w:val="0"/>
                <w:numId w:val="18"/>
              </w:numPr>
              <w:spacing w:after="0" w:line="240" w:lineRule="auto"/>
              <w:jc w:val="both"/>
              <w:rPr>
                <w:rFonts w:ascii="Tahoma" w:hAnsi="Tahoma" w:cs="Tahoma"/>
                <w:sz w:val="24"/>
                <w:szCs w:val="24"/>
              </w:rPr>
            </w:pPr>
            <w:r w:rsidRPr="001D2C64">
              <w:rPr>
                <w:rFonts w:ascii="Tahoma" w:hAnsi="Tahoma" w:cs="Tahoma"/>
                <w:sz w:val="24"/>
                <w:szCs w:val="24"/>
              </w:rPr>
              <w:t>En los Tribunales de Apelación especializados en materia Laboral se mantendrá el Juez Tramitador y el Coordinador Judicial como mínimo y en el caso de los Tribunales de Apelación</w:t>
            </w:r>
            <w:r w:rsidR="009B542F" w:rsidRPr="001D2C64">
              <w:rPr>
                <w:rFonts w:ascii="Tahoma" w:hAnsi="Tahoma" w:cs="Tahoma"/>
                <w:sz w:val="24"/>
                <w:szCs w:val="24"/>
              </w:rPr>
              <w:t xml:space="preserve"> M</w:t>
            </w:r>
            <w:r w:rsidRPr="001D2C64">
              <w:rPr>
                <w:rFonts w:ascii="Tahoma" w:hAnsi="Tahoma" w:cs="Tahoma"/>
                <w:sz w:val="24"/>
                <w:szCs w:val="24"/>
              </w:rPr>
              <w:t xml:space="preserve">ixtos, la Coordinadora Judicial y una persona Técnica Judicial atendiendo las condiciones de vulnerabilidad si existieran en su personal. </w:t>
            </w:r>
          </w:p>
          <w:p w:rsidR="006F79E1" w:rsidRPr="001D2C64" w:rsidRDefault="006F79E1" w:rsidP="00D72D78">
            <w:pPr>
              <w:spacing w:after="0" w:line="240" w:lineRule="auto"/>
              <w:jc w:val="both"/>
              <w:rPr>
                <w:rFonts w:ascii="Tahoma" w:hAnsi="Tahoma" w:cs="Tahoma"/>
                <w:sz w:val="24"/>
                <w:szCs w:val="24"/>
              </w:rPr>
            </w:pPr>
          </w:p>
          <w:p w:rsidR="006F79E1" w:rsidRPr="001D2C64" w:rsidRDefault="006F79E1" w:rsidP="00D72D78">
            <w:pPr>
              <w:pStyle w:val="Prrafodelista"/>
              <w:spacing w:after="0" w:line="240" w:lineRule="auto"/>
              <w:jc w:val="both"/>
              <w:rPr>
                <w:rFonts w:ascii="Tahoma" w:hAnsi="Tahoma" w:cs="Tahoma"/>
                <w:sz w:val="24"/>
                <w:szCs w:val="24"/>
              </w:rPr>
            </w:pPr>
            <w:r w:rsidRPr="001D2C64">
              <w:rPr>
                <w:rFonts w:ascii="Tahoma" w:hAnsi="Tahoma" w:cs="Tahoma"/>
                <w:sz w:val="24"/>
                <w:szCs w:val="24"/>
              </w:rPr>
              <w:t xml:space="preserve">Se mantendrá la modalidad del teletrabajo en las siguientes condiciones:  a) El personal juzgador y técnico que cuente únicamente con equipo de cómputo propio, pero sin asignación de licencia VPN o VDI conforme procedencia, debe de descargar los expedientes electrónicos en los despachos, utilizando memorias flash conocidas como </w:t>
            </w:r>
            <w:r w:rsidRPr="001D2C64">
              <w:rPr>
                <w:rFonts w:ascii="Tahoma" w:hAnsi="Tahoma" w:cs="Tahoma"/>
                <w:i/>
                <w:iCs/>
                <w:sz w:val="24"/>
                <w:szCs w:val="24"/>
              </w:rPr>
              <w:t xml:space="preserve">“llaves Maya” </w:t>
            </w:r>
            <w:r w:rsidRPr="001D2C64">
              <w:rPr>
                <w:rFonts w:ascii="Tahoma" w:hAnsi="Tahoma" w:cs="Tahoma"/>
                <w:sz w:val="24"/>
                <w:szCs w:val="24"/>
              </w:rPr>
              <w:t>para el almacenamiento o utilizando la plataforma en la nube de Microsoft</w:t>
            </w:r>
            <w:r w:rsidR="00562673" w:rsidRPr="001D2C64">
              <w:rPr>
                <w:rFonts w:ascii="Tahoma" w:hAnsi="Tahoma" w:cs="Tahoma"/>
                <w:sz w:val="24"/>
                <w:szCs w:val="24"/>
              </w:rPr>
              <w:t xml:space="preserve"> </w:t>
            </w:r>
            <w:r w:rsidRPr="001D2C64">
              <w:rPr>
                <w:rFonts w:ascii="Tahoma" w:hAnsi="Tahoma" w:cs="Tahoma"/>
                <w:sz w:val="24"/>
                <w:szCs w:val="24"/>
              </w:rPr>
              <w:t>OneDrive y trasladarse al despacho para incorporar las sentencias, resoluciones o proyectos de resolución, según corresponda, en el Sistema respectivo</w:t>
            </w:r>
            <w:r w:rsidR="009B542F" w:rsidRPr="001D2C64">
              <w:rPr>
                <w:rFonts w:ascii="Tahoma" w:hAnsi="Tahoma" w:cs="Tahoma"/>
                <w:sz w:val="24"/>
                <w:szCs w:val="24"/>
              </w:rPr>
              <w:t xml:space="preserve">. </w:t>
            </w:r>
            <w:r w:rsidRPr="001D2C64">
              <w:rPr>
                <w:rFonts w:ascii="Tahoma" w:hAnsi="Tahoma" w:cs="Tahoma"/>
                <w:sz w:val="24"/>
                <w:szCs w:val="24"/>
              </w:rPr>
              <w:t>b) El personal juzgador que cuente con equipo portátil institucional y licencia VPN y el personal técnico que cuenten con licencia VDI.</w:t>
            </w:r>
          </w:p>
          <w:p w:rsidR="006F79E1" w:rsidRPr="001D2C64" w:rsidRDefault="006F79E1" w:rsidP="00D72D78">
            <w:pPr>
              <w:spacing w:after="0" w:line="240" w:lineRule="auto"/>
              <w:jc w:val="both"/>
              <w:rPr>
                <w:rFonts w:ascii="Tahoma" w:hAnsi="Tahoma" w:cs="Tahoma"/>
                <w:sz w:val="24"/>
                <w:szCs w:val="24"/>
              </w:rPr>
            </w:pPr>
          </w:p>
          <w:p w:rsidR="006F79E1" w:rsidRPr="001D2C64" w:rsidRDefault="006F79E1" w:rsidP="00D72D78">
            <w:pPr>
              <w:pStyle w:val="Prrafodelista"/>
              <w:numPr>
                <w:ilvl w:val="0"/>
                <w:numId w:val="18"/>
              </w:numPr>
              <w:spacing w:after="0" w:line="240" w:lineRule="auto"/>
              <w:jc w:val="both"/>
              <w:rPr>
                <w:rFonts w:ascii="Tahoma" w:hAnsi="Tahoma" w:cs="Tahoma"/>
                <w:sz w:val="24"/>
                <w:szCs w:val="24"/>
              </w:rPr>
            </w:pPr>
            <w:r w:rsidRPr="001D2C64">
              <w:rPr>
                <w:rFonts w:ascii="Tahoma" w:hAnsi="Tahoma" w:cs="Tahoma"/>
                <w:sz w:val="24"/>
                <w:szCs w:val="24"/>
              </w:rPr>
              <w:t xml:space="preserve">En el caso de que el personal técnico no cuente con equipo de cómputo propio o con la conectividad del ancho de banda mínimo requerido (acceso a internet) para teletrabajar, el Juez/a Coordinador/a deberá valorar la situación y de ser necesario gestionar el cambio de variación de </w:t>
            </w:r>
            <w:r w:rsidR="00562673" w:rsidRPr="001D2C64">
              <w:rPr>
                <w:rFonts w:ascii="Tahoma" w:hAnsi="Tahoma" w:cs="Tahoma"/>
                <w:sz w:val="24"/>
                <w:szCs w:val="24"/>
              </w:rPr>
              <w:t>jornada, considerando</w:t>
            </w:r>
            <w:r w:rsidRPr="001D2C64">
              <w:rPr>
                <w:rFonts w:ascii="Tahoma" w:hAnsi="Tahoma" w:cs="Tahoma"/>
                <w:sz w:val="24"/>
                <w:szCs w:val="24"/>
              </w:rPr>
              <w:t xml:space="preserve"> las medidas dispuestas  por la Corte Plena y el Consejo Superior, y remitirlo al CACMFJ para su aprobación</w:t>
            </w:r>
          </w:p>
          <w:p w:rsidR="006F79E1" w:rsidRPr="001D2C64" w:rsidRDefault="006F79E1" w:rsidP="00D72D78">
            <w:pPr>
              <w:spacing w:after="0" w:line="240" w:lineRule="auto"/>
              <w:jc w:val="both"/>
              <w:rPr>
                <w:rFonts w:ascii="Tahoma" w:hAnsi="Tahoma" w:cs="Tahoma"/>
                <w:sz w:val="24"/>
                <w:szCs w:val="24"/>
              </w:rPr>
            </w:pPr>
          </w:p>
          <w:p w:rsidR="006F79E1" w:rsidRPr="001D2C64" w:rsidRDefault="006F79E1" w:rsidP="00D72D78">
            <w:pPr>
              <w:pStyle w:val="Prrafodelista"/>
              <w:numPr>
                <w:ilvl w:val="0"/>
                <w:numId w:val="18"/>
              </w:numPr>
              <w:spacing w:after="0" w:line="240" w:lineRule="auto"/>
              <w:jc w:val="both"/>
              <w:rPr>
                <w:rFonts w:ascii="Tahoma" w:hAnsi="Tahoma" w:cs="Tahoma"/>
                <w:sz w:val="24"/>
                <w:szCs w:val="24"/>
              </w:rPr>
            </w:pPr>
            <w:r w:rsidRPr="001D2C64">
              <w:rPr>
                <w:rFonts w:ascii="Tahoma" w:hAnsi="Tahoma" w:cs="Tahoma"/>
                <w:sz w:val="24"/>
                <w:szCs w:val="24"/>
              </w:rPr>
              <w:t>Realizar la depuración de los procesos clasificados según la cuantía para agilizar y maximizar la cantidad de audiencias en el caso de los procesos de menor cuantía. De forma tal que para el momento en que se levante la orden de suspensión, se</w:t>
            </w:r>
            <w:r w:rsidR="001E03DC" w:rsidRPr="001D2C64">
              <w:rPr>
                <w:rFonts w:ascii="Tahoma" w:hAnsi="Tahoma" w:cs="Tahoma"/>
                <w:sz w:val="24"/>
                <w:szCs w:val="24"/>
              </w:rPr>
              <w:t xml:space="preserve"> </w:t>
            </w:r>
            <w:r w:rsidRPr="001D2C64">
              <w:rPr>
                <w:rFonts w:ascii="Tahoma" w:hAnsi="Tahoma" w:cs="Tahoma"/>
                <w:sz w:val="24"/>
                <w:szCs w:val="24"/>
              </w:rPr>
              <w:t>procede a un manejo de las audiencias para recuperar el tiempo suspendido,</w:t>
            </w:r>
            <w:r w:rsidR="001E03DC" w:rsidRPr="001D2C64">
              <w:rPr>
                <w:rFonts w:ascii="Tahoma" w:hAnsi="Tahoma" w:cs="Tahoma"/>
                <w:sz w:val="24"/>
                <w:szCs w:val="24"/>
              </w:rPr>
              <w:t xml:space="preserve"> </w:t>
            </w:r>
            <w:r w:rsidRPr="001D2C64">
              <w:rPr>
                <w:rFonts w:ascii="Tahoma" w:hAnsi="Tahoma" w:cs="Tahoma"/>
                <w:sz w:val="24"/>
                <w:szCs w:val="24"/>
              </w:rPr>
              <w:t xml:space="preserve">incluyendo los asuntos que cuentan con fecha de señalamiento. </w:t>
            </w:r>
          </w:p>
          <w:p w:rsidR="006F79E1" w:rsidRPr="001D2C64" w:rsidRDefault="006F79E1" w:rsidP="00D72D78">
            <w:pPr>
              <w:spacing w:after="0" w:line="240" w:lineRule="auto"/>
              <w:jc w:val="both"/>
              <w:rPr>
                <w:rFonts w:ascii="Tahoma" w:hAnsi="Tahoma" w:cs="Tahoma"/>
                <w:sz w:val="24"/>
                <w:szCs w:val="24"/>
              </w:rPr>
            </w:pPr>
          </w:p>
          <w:p w:rsidR="006F79E1" w:rsidRPr="001D2C64" w:rsidRDefault="006F79E1" w:rsidP="00D72D78">
            <w:pPr>
              <w:pStyle w:val="Prrafodelista"/>
              <w:numPr>
                <w:ilvl w:val="0"/>
                <w:numId w:val="18"/>
              </w:numPr>
              <w:spacing w:after="0" w:line="240" w:lineRule="auto"/>
              <w:jc w:val="both"/>
              <w:rPr>
                <w:rFonts w:ascii="Tahoma" w:hAnsi="Tahoma" w:cs="Tahoma"/>
                <w:sz w:val="24"/>
                <w:szCs w:val="24"/>
              </w:rPr>
            </w:pPr>
            <w:r w:rsidRPr="001D2C64">
              <w:rPr>
                <w:rFonts w:ascii="Tahoma" w:hAnsi="Tahoma" w:cs="Tahoma"/>
                <w:sz w:val="24"/>
                <w:szCs w:val="24"/>
              </w:rPr>
              <w:t>Continuar con la tramitación de los procesos, hasta sentencia, en aquellos asuntos en los que no se requiera la realización de una audiencia de juicio.</w:t>
            </w:r>
          </w:p>
          <w:p w:rsidR="001E03DC" w:rsidRPr="001D2C64" w:rsidRDefault="001E03DC" w:rsidP="00D72D78">
            <w:pPr>
              <w:pStyle w:val="Prrafodelista"/>
              <w:spacing w:after="0" w:line="240" w:lineRule="auto"/>
              <w:rPr>
                <w:rFonts w:ascii="Tahoma" w:hAnsi="Tahoma" w:cs="Tahoma"/>
                <w:sz w:val="24"/>
                <w:szCs w:val="24"/>
              </w:rPr>
            </w:pPr>
          </w:p>
          <w:p w:rsidR="006F79E1" w:rsidRPr="001D2C64" w:rsidRDefault="006F79E1" w:rsidP="00D72D78">
            <w:pPr>
              <w:pStyle w:val="Prrafodelista"/>
              <w:spacing w:after="0" w:line="240" w:lineRule="auto"/>
              <w:jc w:val="both"/>
              <w:rPr>
                <w:rFonts w:ascii="Tahoma" w:hAnsi="Tahoma" w:cs="Tahoma"/>
                <w:sz w:val="24"/>
                <w:szCs w:val="24"/>
              </w:rPr>
            </w:pPr>
          </w:p>
          <w:p w:rsidR="006F79E1" w:rsidRPr="001D2C64" w:rsidRDefault="006F79E1" w:rsidP="00D72D78">
            <w:pPr>
              <w:pStyle w:val="Prrafodelista"/>
              <w:numPr>
                <w:ilvl w:val="0"/>
                <w:numId w:val="18"/>
              </w:numPr>
              <w:spacing w:after="0" w:line="240" w:lineRule="auto"/>
              <w:jc w:val="both"/>
              <w:rPr>
                <w:rFonts w:ascii="Tahoma" w:hAnsi="Tahoma" w:cs="Tahoma"/>
                <w:sz w:val="24"/>
                <w:szCs w:val="24"/>
              </w:rPr>
            </w:pPr>
            <w:r w:rsidRPr="001D2C64">
              <w:rPr>
                <w:rFonts w:ascii="Tahoma" w:hAnsi="Tahoma" w:cs="Tahoma"/>
                <w:sz w:val="24"/>
                <w:szCs w:val="24"/>
              </w:rPr>
              <w:t xml:space="preserve">El Juez/za Coordinador/a deberá definir la persona que estará a cargo </w:t>
            </w:r>
            <w:r w:rsidR="002F0B1E" w:rsidRPr="001D2C64">
              <w:rPr>
                <w:rFonts w:ascii="Tahoma" w:hAnsi="Tahoma" w:cs="Tahoma"/>
                <w:sz w:val="24"/>
                <w:szCs w:val="24"/>
              </w:rPr>
              <w:t>de la</w:t>
            </w:r>
            <w:r w:rsidRPr="001D2C64">
              <w:rPr>
                <w:rFonts w:ascii="Tahoma" w:hAnsi="Tahoma" w:cs="Tahoma"/>
                <w:sz w:val="24"/>
                <w:szCs w:val="24"/>
              </w:rPr>
              <w:t xml:space="preserve"> revisión diaria del correo electrónico oficial</w:t>
            </w:r>
            <w:r w:rsidR="001E03DC" w:rsidRPr="001D2C64">
              <w:rPr>
                <w:rFonts w:ascii="Tahoma" w:hAnsi="Tahoma" w:cs="Tahoma"/>
                <w:sz w:val="24"/>
                <w:szCs w:val="24"/>
              </w:rPr>
              <w:t xml:space="preserve"> </w:t>
            </w:r>
            <w:r w:rsidRPr="001D2C64">
              <w:rPr>
                <w:rFonts w:ascii="Tahoma" w:hAnsi="Tahoma" w:cs="Tahoma"/>
                <w:sz w:val="24"/>
                <w:szCs w:val="24"/>
              </w:rPr>
              <w:t xml:space="preserve">del despacho, </w:t>
            </w:r>
            <w:r w:rsidR="002F0B1E" w:rsidRPr="001D2C64">
              <w:rPr>
                <w:rFonts w:ascii="Tahoma" w:hAnsi="Tahoma" w:cs="Tahoma"/>
                <w:sz w:val="24"/>
                <w:szCs w:val="24"/>
              </w:rPr>
              <w:t>quién deberá</w:t>
            </w:r>
            <w:r w:rsidRPr="001D2C64">
              <w:rPr>
                <w:rFonts w:ascii="Tahoma" w:hAnsi="Tahoma" w:cs="Tahoma"/>
                <w:sz w:val="24"/>
                <w:szCs w:val="24"/>
              </w:rPr>
              <w:t xml:space="preserve"> cerciorarse que este no exceda su capacidad de almacenamiento.</w:t>
            </w:r>
          </w:p>
          <w:p w:rsidR="002F0B1E" w:rsidRPr="001D2C64" w:rsidRDefault="002F0B1E" w:rsidP="00D72D78">
            <w:pPr>
              <w:pStyle w:val="Prrafodelista"/>
              <w:spacing w:after="0" w:line="240" w:lineRule="auto"/>
              <w:jc w:val="both"/>
              <w:rPr>
                <w:rFonts w:ascii="Tahoma" w:hAnsi="Tahoma" w:cs="Tahoma"/>
                <w:sz w:val="24"/>
                <w:szCs w:val="24"/>
              </w:rPr>
            </w:pPr>
          </w:p>
          <w:p w:rsidR="00BE3C6E" w:rsidRPr="001D2C64" w:rsidRDefault="006F79E1" w:rsidP="00D72D78">
            <w:pPr>
              <w:pStyle w:val="Prrafodelista"/>
              <w:numPr>
                <w:ilvl w:val="0"/>
                <w:numId w:val="18"/>
              </w:numPr>
              <w:spacing w:after="0" w:line="240" w:lineRule="auto"/>
              <w:jc w:val="both"/>
              <w:rPr>
                <w:rFonts w:ascii="Tahoma" w:hAnsi="Tahoma" w:cs="Tahoma"/>
                <w:sz w:val="24"/>
                <w:szCs w:val="24"/>
              </w:rPr>
            </w:pPr>
            <w:r w:rsidRPr="001D2C64">
              <w:rPr>
                <w:rFonts w:ascii="Tahoma" w:hAnsi="Tahoma" w:cs="Tahoma"/>
                <w:sz w:val="24"/>
                <w:szCs w:val="24"/>
              </w:rPr>
              <w:t xml:space="preserve">Será obligación del personal que se encuentre en la oficina la atención de consultas telefónicas, así como disponer lo que corresponda sobre las solicitudes urgentes que se formulen. </w:t>
            </w:r>
          </w:p>
          <w:p w:rsidR="00BE3C6E" w:rsidRPr="001D2C64" w:rsidRDefault="00BE3C6E" w:rsidP="00D72D78">
            <w:pPr>
              <w:pStyle w:val="Prrafodelista"/>
              <w:spacing w:after="0" w:line="240" w:lineRule="auto"/>
              <w:rPr>
                <w:rFonts w:ascii="Tahoma" w:hAnsi="Tahoma" w:cs="Tahoma"/>
                <w:sz w:val="24"/>
                <w:szCs w:val="24"/>
              </w:rPr>
            </w:pPr>
          </w:p>
          <w:p w:rsidR="006F79E1" w:rsidRPr="001D2C64" w:rsidRDefault="006F79E1" w:rsidP="00D72D78">
            <w:pPr>
              <w:pStyle w:val="Prrafodelista"/>
              <w:numPr>
                <w:ilvl w:val="0"/>
                <w:numId w:val="18"/>
              </w:numPr>
              <w:spacing w:after="0" w:line="240" w:lineRule="auto"/>
              <w:jc w:val="both"/>
              <w:rPr>
                <w:rFonts w:ascii="Tahoma" w:hAnsi="Tahoma" w:cs="Tahoma"/>
                <w:sz w:val="24"/>
                <w:szCs w:val="24"/>
              </w:rPr>
            </w:pPr>
            <w:r w:rsidRPr="001D2C64">
              <w:rPr>
                <w:rFonts w:ascii="Tahoma" w:hAnsi="Tahoma" w:cs="Tahoma"/>
                <w:sz w:val="24"/>
                <w:szCs w:val="24"/>
              </w:rPr>
              <w:t>En  caso de extenderse  la emergencia sanitaria y no se tenga asuntos pendientes para fallo, deberá</w:t>
            </w:r>
            <w:r w:rsidR="0045218A" w:rsidRPr="001D2C64">
              <w:rPr>
                <w:rFonts w:ascii="Tahoma" w:hAnsi="Tahoma" w:cs="Tahoma"/>
                <w:sz w:val="24"/>
                <w:szCs w:val="24"/>
              </w:rPr>
              <w:t>n</w:t>
            </w:r>
            <w:r w:rsidRPr="001D2C64">
              <w:rPr>
                <w:rFonts w:ascii="Tahoma" w:hAnsi="Tahoma" w:cs="Tahoma"/>
                <w:sz w:val="24"/>
                <w:szCs w:val="24"/>
              </w:rPr>
              <w:t xml:space="preserve"> coordinar con la Defensa Pública, la Procuraduría General de la República, el Instituto Nacional de Seguros, la Caja Costarricense del Seguro Social  y de ser necesario con litigantes privados en aquellos asuntos que partiendo de criterios de vulnerabilidad y urgencia (como los fueros de protección), y con la anuencia de las partes; se fortalezca la conciliación previa y se realicen audiencias utilizando todos los recursos electrónicos disponibles en la institución, tales como el sistema de video conferencias, u otras modalidades de videollamadas que garanticen la seguridad y legalidad del acto procesal, todo en absoluto apego a la legislación y consentimiento de las personas juzgadoras. Lo anterior sin perjuicio de que, ante la imposibilidad de realizar la audiencia por medios tecnológicos, por la urgencia o tratándose de un fuero de protección, se realicen las audiencias de forma presencial siguiendo los lineamientos de salubridad establecidos por la institución. </w:t>
            </w:r>
          </w:p>
          <w:p w:rsidR="006F79E1" w:rsidRPr="001D2C64" w:rsidRDefault="006F79E1" w:rsidP="00D72D78">
            <w:pPr>
              <w:spacing w:after="0" w:line="240" w:lineRule="auto"/>
              <w:jc w:val="both"/>
              <w:rPr>
                <w:rFonts w:ascii="Tahoma" w:hAnsi="Tahoma" w:cs="Tahoma"/>
                <w:sz w:val="24"/>
                <w:szCs w:val="24"/>
              </w:rPr>
            </w:pPr>
          </w:p>
          <w:p w:rsidR="006F79E1" w:rsidRPr="001D2C64" w:rsidRDefault="006F79E1" w:rsidP="00D72D78">
            <w:pPr>
              <w:spacing w:after="0" w:line="240" w:lineRule="auto"/>
              <w:jc w:val="both"/>
              <w:rPr>
                <w:rFonts w:ascii="Tahoma" w:hAnsi="Tahoma" w:cs="Tahoma"/>
                <w:sz w:val="24"/>
                <w:szCs w:val="24"/>
              </w:rPr>
            </w:pPr>
            <w:r w:rsidRPr="001D2C64">
              <w:rPr>
                <w:rFonts w:ascii="Tahoma" w:hAnsi="Tahoma" w:cs="Tahoma"/>
                <w:sz w:val="24"/>
                <w:szCs w:val="24"/>
              </w:rPr>
              <w:t>Las audiencias por fueros de protección que se suspendieron del 23 de marzo al 3 de abril pasado, se reprogramarán, en los espacios disponibles por la suspensión de las audiencias ordinarias, siempre tomando todas las medidas sanitarias.</w:t>
            </w:r>
          </w:p>
          <w:p w:rsidR="006F79E1" w:rsidRPr="001D2C64" w:rsidRDefault="006F79E1" w:rsidP="00D72D78">
            <w:pPr>
              <w:spacing w:after="0" w:line="240" w:lineRule="auto"/>
              <w:jc w:val="both"/>
              <w:rPr>
                <w:rFonts w:ascii="Tahoma" w:hAnsi="Tahoma" w:cs="Tahoma"/>
                <w:sz w:val="24"/>
                <w:szCs w:val="24"/>
              </w:rPr>
            </w:pPr>
          </w:p>
          <w:p w:rsidR="006F79E1" w:rsidRPr="001D2C64" w:rsidRDefault="006F79E1" w:rsidP="00D72D78">
            <w:pPr>
              <w:spacing w:after="0" w:line="240" w:lineRule="auto"/>
              <w:jc w:val="both"/>
              <w:rPr>
                <w:rFonts w:ascii="Tahoma" w:hAnsi="Tahoma" w:cs="Tahoma"/>
                <w:sz w:val="24"/>
                <w:szCs w:val="24"/>
              </w:rPr>
            </w:pPr>
            <w:r w:rsidRPr="001D2C64">
              <w:rPr>
                <w:rFonts w:ascii="Tahoma" w:hAnsi="Tahoma" w:cs="Tahoma"/>
                <w:sz w:val="24"/>
                <w:szCs w:val="24"/>
              </w:rPr>
              <w:t>En relación con las cuotas de trabajo: Los planes de trabajo asignados y cuotas de cada una de las oficinas serán variados en lo que estrictamente sea necesario y se procurará en lo posible mantener las cuotas establecidas.</w:t>
            </w:r>
          </w:p>
          <w:p w:rsidR="00B26758" w:rsidRPr="001D2C64" w:rsidRDefault="00B26758" w:rsidP="00D72D78">
            <w:pPr>
              <w:spacing w:after="0" w:line="240" w:lineRule="auto"/>
              <w:jc w:val="both"/>
              <w:rPr>
                <w:rFonts w:ascii="Tahoma" w:hAnsi="Tahoma" w:cs="Tahoma"/>
                <w:sz w:val="24"/>
                <w:szCs w:val="24"/>
              </w:rPr>
            </w:pPr>
          </w:p>
          <w:p w:rsidR="00B26758" w:rsidRPr="001D2C64" w:rsidRDefault="00B26758" w:rsidP="00D72D78">
            <w:pPr>
              <w:spacing w:after="0" w:line="240" w:lineRule="auto"/>
              <w:jc w:val="both"/>
              <w:rPr>
                <w:rFonts w:ascii="Tahoma" w:hAnsi="Tahoma" w:cs="Tahoma"/>
                <w:sz w:val="24"/>
                <w:szCs w:val="24"/>
              </w:rPr>
            </w:pPr>
            <w:r w:rsidRPr="001D2C64">
              <w:rPr>
                <w:rFonts w:ascii="Tahoma" w:hAnsi="Tahoma" w:cs="Tahoma"/>
                <w:sz w:val="24"/>
                <w:szCs w:val="24"/>
              </w:rPr>
              <w:t>Finalmente, se continúa con la resolución de recursos de apelación en los Tribunales de alzada de manera ordinaria.</w:t>
            </w:r>
          </w:p>
          <w:p w:rsidR="006F79E1" w:rsidRPr="001D2C64" w:rsidRDefault="006F79E1" w:rsidP="00D72D78">
            <w:pPr>
              <w:spacing w:after="0" w:line="240" w:lineRule="auto"/>
              <w:jc w:val="both"/>
              <w:rPr>
                <w:rFonts w:ascii="Tahoma" w:hAnsi="Tahoma" w:cs="Tahoma"/>
                <w:sz w:val="24"/>
                <w:szCs w:val="24"/>
              </w:rPr>
            </w:pPr>
            <w:r w:rsidRPr="001D2C64">
              <w:rPr>
                <w:rFonts w:ascii="Tahoma" w:hAnsi="Tahoma" w:cs="Tahoma"/>
                <w:sz w:val="24"/>
                <w:szCs w:val="24"/>
              </w:rPr>
              <w:tab/>
              <w:t xml:space="preserve"> </w:t>
            </w:r>
          </w:p>
          <w:p w:rsidR="006F79E1" w:rsidRPr="001D2C64" w:rsidDel="00DF6024" w:rsidRDefault="006F79E1" w:rsidP="00D72D78">
            <w:pPr>
              <w:spacing w:after="0" w:line="240" w:lineRule="auto"/>
              <w:jc w:val="both"/>
              <w:rPr>
                <w:rFonts w:ascii="Tahoma" w:hAnsi="Tahoma" w:cs="Tahoma"/>
                <w:sz w:val="24"/>
                <w:szCs w:val="24"/>
              </w:rPr>
            </w:pPr>
            <w:r w:rsidRPr="001D2C64">
              <w:rPr>
                <w:rFonts w:ascii="Tahoma" w:hAnsi="Tahoma" w:cs="Tahoma"/>
                <w:sz w:val="24"/>
                <w:szCs w:val="24"/>
              </w:rPr>
              <w:tab/>
            </w:r>
          </w:p>
        </w:tc>
      </w:tr>
      <w:tr w:rsidR="006F79E1" w:rsidRPr="001D2C64" w:rsidTr="00084FAE">
        <w:tc>
          <w:tcPr>
            <w:tcW w:w="5368" w:type="dxa"/>
            <w:shd w:val="clear" w:color="auto" w:fill="auto"/>
          </w:tcPr>
          <w:p w:rsidR="006F79E1" w:rsidRPr="001D2C64" w:rsidRDefault="006F79E1" w:rsidP="00D72D78">
            <w:pPr>
              <w:spacing w:after="0" w:line="240" w:lineRule="auto"/>
              <w:jc w:val="both"/>
              <w:rPr>
                <w:rFonts w:ascii="Tahoma" w:hAnsi="Tahoma" w:cs="Tahoma"/>
                <w:b/>
                <w:bCs/>
                <w:sz w:val="24"/>
                <w:szCs w:val="24"/>
              </w:rPr>
            </w:pPr>
          </w:p>
          <w:p w:rsidR="006F79E1" w:rsidRPr="001D2C64" w:rsidRDefault="00E022F2" w:rsidP="00D72D78">
            <w:pPr>
              <w:spacing w:after="0" w:line="240" w:lineRule="auto"/>
              <w:jc w:val="both"/>
              <w:rPr>
                <w:rFonts w:ascii="Tahoma" w:hAnsi="Tahoma" w:cs="Tahoma"/>
                <w:b/>
                <w:bCs/>
                <w:sz w:val="24"/>
                <w:szCs w:val="24"/>
              </w:rPr>
            </w:pPr>
            <w:r w:rsidRPr="001D2C64">
              <w:rPr>
                <w:rFonts w:ascii="Tahoma" w:hAnsi="Tahoma" w:cs="Tahoma"/>
                <w:noProof/>
                <w:sz w:val="24"/>
                <w:szCs w:val="24"/>
              </w:rPr>
              <w:drawing>
                <wp:anchor distT="0" distB="0" distL="114300" distR="114300" simplePos="0" relativeHeight="251656704" behindDoc="1" locked="0" layoutInCell="1" allowOverlap="1" wp14:anchorId="4CA56AE9">
                  <wp:simplePos x="0" y="0"/>
                  <wp:positionH relativeFrom="column">
                    <wp:posOffset>757555</wp:posOffset>
                  </wp:positionH>
                  <wp:positionV relativeFrom="paragraph">
                    <wp:posOffset>8255</wp:posOffset>
                  </wp:positionV>
                  <wp:extent cx="1668780" cy="1098550"/>
                  <wp:effectExtent l="0" t="0" r="0" b="0"/>
                  <wp:wrapTight wrapText="bothSides">
                    <wp:wrapPolygon edited="0">
                      <wp:start x="10110" y="0"/>
                      <wp:lineTo x="5425" y="1498"/>
                      <wp:lineTo x="4438" y="2622"/>
                      <wp:lineTo x="4438" y="5993"/>
                      <wp:lineTo x="3452" y="10488"/>
                      <wp:lineTo x="3452" y="11986"/>
                      <wp:lineTo x="4438" y="17979"/>
                      <wp:lineTo x="4438" y="19477"/>
                      <wp:lineTo x="7890" y="21350"/>
                      <wp:lineTo x="10110" y="21350"/>
                      <wp:lineTo x="11342" y="21350"/>
                      <wp:lineTo x="13562" y="21350"/>
                      <wp:lineTo x="17260" y="19103"/>
                      <wp:lineTo x="17014" y="17979"/>
                      <wp:lineTo x="18247" y="11986"/>
                      <wp:lineTo x="18000" y="9364"/>
                      <wp:lineTo x="17014" y="5993"/>
                      <wp:lineTo x="17507" y="2997"/>
                      <wp:lineTo x="16027" y="1498"/>
                      <wp:lineTo x="11342" y="0"/>
                      <wp:lineTo x="10110" y="0"/>
                    </wp:wrapPolygon>
                  </wp:wrapTight>
                  <wp:docPr id="15" name="Diagrama 1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14:sizeRelH relativeFrom="margin">
                    <wp14:pctWidth>0</wp14:pctWidth>
                  </wp14:sizeRelH>
                  <wp14:sizeRelV relativeFrom="margin">
                    <wp14:pctHeight>0</wp14:pctHeight>
                  </wp14:sizeRelV>
                </wp:anchor>
              </w:drawing>
            </w:r>
          </w:p>
          <w:p w:rsidR="006F79E1" w:rsidRPr="001D2C64" w:rsidRDefault="006F79E1" w:rsidP="00D72D78">
            <w:pPr>
              <w:spacing w:after="0" w:line="240" w:lineRule="auto"/>
              <w:jc w:val="both"/>
              <w:rPr>
                <w:rFonts w:ascii="Tahoma" w:hAnsi="Tahoma" w:cs="Tahoma"/>
                <w:b/>
                <w:bCs/>
                <w:sz w:val="24"/>
                <w:szCs w:val="24"/>
              </w:rPr>
            </w:pPr>
          </w:p>
          <w:p w:rsidR="006F79E1" w:rsidRPr="001D2C64" w:rsidRDefault="006F79E1" w:rsidP="00D72D78">
            <w:pPr>
              <w:spacing w:after="0" w:line="240" w:lineRule="auto"/>
              <w:jc w:val="both"/>
              <w:rPr>
                <w:rFonts w:ascii="Tahoma" w:hAnsi="Tahoma" w:cs="Tahoma"/>
                <w:b/>
                <w:bCs/>
                <w:sz w:val="24"/>
                <w:szCs w:val="24"/>
              </w:rPr>
            </w:pPr>
          </w:p>
          <w:p w:rsidR="006F79E1" w:rsidRPr="001D2C64" w:rsidRDefault="006F79E1" w:rsidP="00D72D78">
            <w:pPr>
              <w:spacing w:after="0" w:line="240" w:lineRule="auto"/>
              <w:jc w:val="both"/>
              <w:rPr>
                <w:rFonts w:ascii="Tahoma" w:hAnsi="Tahoma" w:cs="Tahoma"/>
                <w:b/>
                <w:bCs/>
                <w:sz w:val="24"/>
                <w:szCs w:val="24"/>
              </w:rPr>
            </w:pPr>
          </w:p>
          <w:p w:rsidR="006F79E1" w:rsidRPr="001D2C64" w:rsidRDefault="006F79E1" w:rsidP="00D72D78">
            <w:pPr>
              <w:spacing w:after="0" w:line="240" w:lineRule="auto"/>
              <w:jc w:val="both"/>
              <w:rPr>
                <w:rFonts w:ascii="Tahoma" w:hAnsi="Tahoma" w:cs="Tahoma"/>
                <w:b/>
                <w:bCs/>
                <w:sz w:val="24"/>
                <w:szCs w:val="24"/>
              </w:rPr>
            </w:pPr>
          </w:p>
          <w:p w:rsidR="006F79E1" w:rsidRPr="001D2C64" w:rsidRDefault="006F79E1" w:rsidP="00D72D78">
            <w:pPr>
              <w:spacing w:after="0" w:line="240" w:lineRule="auto"/>
              <w:jc w:val="both"/>
              <w:rPr>
                <w:rFonts w:ascii="Tahoma" w:hAnsi="Tahoma" w:cs="Tahoma"/>
                <w:b/>
                <w:bCs/>
                <w:sz w:val="24"/>
                <w:szCs w:val="24"/>
              </w:rPr>
            </w:pPr>
          </w:p>
          <w:p w:rsidR="006F79E1" w:rsidRPr="001D2C64" w:rsidRDefault="006F79E1" w:rsidP="00D72D78">
            <w:pPr>
              <w:spacing w:after="0" w:line="240" w:lineRule="auto"/>
              <w:jc w:val="both"/>
              <w:rPr>
                <w:rFonts w:ascii="Tahoma" w:hAnsi="Tahoma" w:cs="Tahoma"/>
                <w:b/>
                <w:bCs/>
                <w:sz w:val="24"/>
                <w:szCs w:val="24"/>
              </w:rPr>
            </w:pPr>
          </w:p>
          <w:p w:rsidR="006F79E1" w:rsidRPr="001D2C64" w:rsidRDefault="006F79E1" w:rsidP="00D72D78">
            <w:pPr>
              <w:spacing w:after="0" w:line="240" w:lineRule="auto"/>
              <w:jc w:val="both"/>
              <w:rPr>
                <w:rFonts w:ascii="Tahoma" w:hAnsi="Tahoma" w:cs="Tahoma"/>
                <w:b/>
                <w:bCs/>
                <w:sz w:val="24"/>
                <w:szCs w:val="24"/>
              </w:rPr>
            </w:pPr>
          </w:p>
          <w:p w:rsidR="006F79E1" w:rsidRPr="001D2C64" w:rsidRDefault="006F79E1" w:rsidP="00D72D78">
            <w:pPr>
              <w:spacing w:after="0" w:line="240" w:lineRule="auto"/>
              <w:jc w:val="both"/>
              <w:rPr>
                <w:rFonts w:ascii="Tahoma" w:hAnsi="Tahoma" w:cs="Tahoma"/>
                <w:b/>
                <w:bCs/>
                <w:sz w:val="24"/>
                <w:szCs w:val="24"/>
              </w:rPr>
            </w:pPr>
          </w:p>
          <w:p w:rsidR="006F79E1" w:rsidRPr="001D2C64" w:rsidRDefault="006F79E1" w:rsidP="00D72D78">
            <w:pPr>
              <w:spacing w:after="0" w:line="240" w:lineRule="auto"/>
              <w:jc w:val="center"/>
              <w:rPr>
                <w:rFonts w:ascii="Tahoma" w:hAnsi="Tahoma" w:cs="Tahoma"/>
                <w:b/>
                <w:bCs/>
                <w:sz w:val="24"/>
                <w:szCs w:val="24"/>
              </w:rPr>
            </w:pPr>
            <w:r w:rsidRPr="001D2C64">
              <w:rPr>
                <w:rFonts w:ascii="Tahoma" w:hAnsi="Tahoma" w:cs="Tahoma"/>
                <w:b/>
                <w:bCs/>
                <w:sz w:val="24"/>
                <w:szCs w:val="24"/>
              </w:rPr>
              <w:t xml:space="preserve">Fase </w:t>
            </w:r>
            <w:r w:rsidR="00AA79E7" w:rsidRPr="001D2C64">
              <w:rPr>
                <w:rFonts w:ascii="Tahoma" w:hAnsi="Tahoma" w:cs="Tahoma"/>
                <w:b/>
                <w:bCs/>
                <w:sz w:val="24"/>
                <w:szCs w:val="24"/>
              </w:rPr>
              <w:t>3</w:t>
            </w:r>
            <w:r w:rsidRPr="001D2C64">
              <w:rPr>
                <w:rFonts w:ascii="Tahoma" w:hAnsi="Tahoma" w:cs="Tahoma"/>
                <w:b/>
                <w:bCs/>
                <w:sz w:val="24"/>
                <w:szCs w:val="24"/>
              </w:rPr>
              <w:t>: Alerta Naranja</w:t>
            </w:r>
          </w:p>
          <w:p w:rsidR="00AA79E7" w:rsidRPr="001D2C64" w:rsidRDefault="00AA79E7" w:rsidP="00D72D78">
            <w:pPr>
              <w:spacing w:after="0" w:line="240" w:lineRule="auto"/>
              <w:jc w:val="center"/>
              <w:rPr>
                <w:rFonts w:ascii="Tahoma" w:hAnsi="Tahoma" w:cs="Tahoma"/>
                <w:b/>
                <w:bCs/>
                <w:sz w:val="24"/>
                <w:szCs w:val="24"/>
              </w:rPr>
            </w:pPr>
            <w:r w:rsidRPr="001D2C64">
              <w:rPr>
                <w:rFonts w:ascii="Tahoma" w:hAnsi="Tahoma" w:cs="Tahoma"/>
                <w:b/>
                <w:bCs/>
                <w:sz w:val="24"/>
                <w:szCs w:val="24"/>
              </w:rPr>
              <w:t>Grado de riesgo: alto.</w:t>
            </w:r>
          </w:p>
          <w:p w:rsidR="006F79E1" w:rsidRPr="001D2C64" w:rsidRDefault="006F79E1" w:rsidP="00D72D78">
            <w:pPr>
              <w:spacing w:after="0" w:line="240" w:lineRule="auto"/>
              <w:jc w:val="both"/>
              <w:rPr>
                <w:rFonts w:ascii="Tahoma" w:hAnsi="Tahoma" w:cs="Tahoma"/>
                <w:b/>
                <w:bCs/>
                <w:sz w:val="24"/>
                <w:szCs w:val="24"/>
              </w:rPr>
            </w:pPr>
          </w:p>
          <w:p w:rsidR="006F79E1" w:rsidRPr="00D43BDD" w:rsidRDefault="006F79E1" w:rsidP="00D72D78">
            <w:pPr>
              <w:spacing w:after="0" w:line="240" w:lineRule="auto"/>
              <w:jc w:val="both"/>
              <w:rPr>
                <w:rFonts w:ascii="Tahoma" w:hAnsi="Tahoma" w:cs="Tahoma"/>
                <w:sz w:val="24"/>
                <w:szCs w:val="24"/>
                <w:u w:val="single"/>
              </w:rPr>
            </w:pPr>
            <w:r w:rsidRPr="00D43BDD">
              <w:rPr>
                <w:rFonts w:ascii="Tahoma" w:hAnsi="Tahoma" w:cs="Tahoma"/>
                <w:sz w:val="24"/>
                <w:szCs w:val="24"/>
                <w:u w:val="single"/>
              </w:rPr>
              <w:t>Cierre con atención de servicios mínimos esenciales.</w:t>
            </w:r>
          </w:p>
          <w:p w:rsidR="006F79E1" w:rsidRPr="001D2C64" w:rsidRDefault="006F79E1" w:rsidP="00D72D78">
            <w:pPr>
              <w:spacing w:after="0" w:line="240" w:lineRule="auto"/>
              <w:jc w:val="both"/>
              <w:rPr>
                <w:rFonts w:ascii="Tahoma" w:hAnsi="Tahoma" w:cs="Tahoma"/>
                <w:sz w:val="24"/>
                <w:szCs w:val="24"/>
              </w:rPr>
            </w:pPr>
          </w:p>
          <w:p w:rsidR="009F6FD3" w:rsidRDefault="009F6FD3" w:rsidP="009F6FD3">
            <w:pPr>
              <w:spacing w:after="0" w:line="240" w:lineRule="auto"/>
              <w:jc w:val="both"/>
              <w:rPr>
                <w:rFonts w:ascii="Tahoma" w:hAnsi="Tahoma" w:cs="Tahoma"/>
                <w:i/>
                <w:iCs/>
                <w:sz w:val="24"/>
                <w:szCs w:val="24"/>
              </w:rPr>
            </w:pPr>
            <w:r w:rsidRPr="001D2C64">
              <w:rPr>
                <w:rFonts w:ascii="Tahoma" w:hAnsi="Tahoma" w:cs="Tahoma"/>
                <w:sz w:val="24"/>
                <w:szCs w:val="24"/>
              </w:rPr>
              <w:t xml:space="preserve">Circular N°91-2020 </w:t>
            </w:r>
            <w:r w:rsidRPr="001D2C64">
              <w:rPr>
                <w:rFonts w:ascii="Tahoma" w:hAnsi="Tahoma" w:cs="Tahoma"/>
                <w:i/>
                <w:iCs/>
                <w:sz w:val="24"/>
                <w:szCs w:val="24"/>
              </w:rPr>
              <w:t>“Proyecto para la realización de audiencias virtuales de la materia laboral en el Poder Judicial de Costa Rica y Protocolo de Manejo de Audiencias Virtuales en los Procesos Laborales en Costa Rica”</w:t>
            </w:r>
          </w:p>
          <w:p w:rsidR="009F6FD3" w:rsidRDefault="009F6FD3" w:rsidP="009F6FD3">
            <w:pPr>
              <w:spacing w:after="0" w:line="240" w:lineRule="auto"/>
              <w:jc w:val="both"/>
              <w:rPr>
                <w:rFonts w:ascii="Tahoma" w:hAnsi="Tahoma" w:cs="Tahoma"/>
                <w:i/>
                <w:iCs/>
                <w:sz w:val="24"/>
                <w:szCs w:val="24"/>
              </w:rPr>
            </w:pPr>
          </w:p>
          <w:p w:rsidR="009F6FD3" w:rsidRPr="009F6FD3" w:rsidRDefault="009F6FD3" w:rsidP="009F6FD3">
            <w:pPr>
              <w:jc w:val="both"/>
              <w:rPr>
                <w:rFonts w:ascii="Tahoma" w:hAnsi="Tahoma" w:cs="Tahoma"/>
                <w:i/>
                <w:iCs/>
                <w:color w:val="000000"/>
                <w:sz w:val="24"/>
                <w:szCs w:val="24"/>
                <w:lang w:eastAsia="es-CR"/>
              </w:rPr>
            </w:pPr>
            <w:r>
              <w:rPr>
                <w:rFonts w:ascii="Tahoma" w:hAnsi="Tahoma" w:cs="Tahoma"/>
                <w:sz w:val="24"/>
                <w:szCs w:val="24"/>
              </w:rPr>
              <w:t xml:space="preserve">Circular N° 97-2020 </w:t>
            </w:r>
            <w:r>
              <w:rPr>
                <w:rFonts w:ascii="Tahoma" w:hAnsi="Tahoma" w:cs="Tahoma"/>
                <w:i/>
                <w:iCs/>
                <w:sz w:val="24"/>
                <w:szCs w:val="24"/>
              </w:rPr>
              <w:t>“Protocolos para la utilización de salas de juicio, ingreso de personas usuarias y limpieza de áreas.</w:t>
            </w:r>
          </w:p>
          <w:p w:rsidR="009F6FD3" w:rsidRDefault="009F6FD3" w:rsidP="00D72D78">
            <w:pPr>
              <w:spacing w:after="0" w:line="240" w:lineRule="auto"/>
              <w:jc w:val="both"/>
              <w:rPr>
                <w:rFonts w:ascii="Tahoma" w:hAnsi="Tahoma" w:cs="Tahoma"/>
                <w:sz w:val="24"/>
                <w:szCs w:val="24"/>
              </w:rPr>
            </w:pPr>
          </w:p>
          <w:p w:rsidR="006F79E1" w:rsidRPr="001D2C64" w:rsidRDefault="006F79E1" w:rsidP="00D72D78">
            <w:pPr>
              <w:spacing w:after="0" w:line="240" w:lineRule="auto"/>
              <w:jc w:val="both"/>
              <w:rPr>
                <w:rFonts w:ascii="Tahoma" w:hAnsi="Tahoma" w:cs="Tahoma"/>
                <w:i/>
                <w:iCs/>
                <w:sz w:val="24"/>
                <w:szCs w:val="24"/>
              </w:rPr>
            </w:pPr>
            <w:r w:rsidRPr="001D2C64">
              <w:rPr>
                <w:rFonts w:ascii="Tahoma" w:hAnsi="Tahoma" w:cs="Tahoma"/>
                <w:sz w:val="24"/>
                <w:szCs w:val="24"/>
              </w:rPr>
              <w:t xml:space="preserve">Circular </w:t>
            </w:r>
            <w:r w:rsidR="00A75703" w:rsidRPr="001D2C64">
              <w:rPr>
                <w:rFonts w:ascii="Tahoma" w:hAnsi="Tahoma" w:cs="Tahoma"/>
                <w:sz w:val="24"/>
                <w:szCs w:val="24"/>
              </w:rPr>
              <w:t>N°</w:t>
            </w:r>
            <w:r w:rsidRPr="001D2C64">
              <w:rPr>
                <w:rFonts w:ascii="Tahoma" w:hAnsi="Tahoma" w:cs="Tahoma"/>
                <w:sz w:val="24"/>
                <w:szCs w:val="24"/>
              </w:rPr>
              <w:t>118-2020</w:t>
            </w:r>
            <w:r w:rsidR="00A75703" w:rsidRPr="001D2C64">
              <w:rPr>
                <w:rFonts w:ascii="Tahoma" w:hAnsi="Tahoma" w:cs="Tahoma"/>
                <w:sz w:val="24"/>
                <w:szCs w:val="24"/>
              </w:rPr>
              <w:t xml:space="preserve"> “</w:t>
            </w:r>
            <w:r w:rsidR="008015AD" w:rsidRPr="001D2C64">
              <w:rPr>
                <w:rFonts w:ascii="Tahoma" w:hAnsi="Tahoma" w:cs="Tahoma"/>
                <w:i/>
                <w:iCs/>
                <w:sz w:val="24"/>
                <w:szCs w:val="24"/>
              </w:rPr>
              <w:t>“Acuerdo de Corte Plena. Sesión N° 32-2020 del 8 de junio de 2020, en atención a la declaratoria de emergencia nacional, debido a la situación de emergencia sanitaria provocada por la enfermedad COVID-19.”</w:t>
            </w:r>
          </w:p>
          <w:p w:rsidR="008015AD" w:rsidRPr="001D2C64" w:rsidRDefault="008015AD" w:rsidP="00D72D78">
            <w:pPr>
              <w:spacing w:after="0" w:line="240" w:lineRule="auto"/>
              <w:jc w:val="both"/>
              <w:rPr>
                <w:rFonts w:ascii="Tahoma" w:hAnsi="Tahoma" w:cs="Tahoma"/>
                <w:sz w:val="24"/>
                <w:szCs w:val="24"/>
              </w:rPr>
            </w:pPr>
          </w:p>
          <w:p w:rsidR="006F79E1" w:rsidRPr="001D2C64" w:rsidRDefault="006F79E1" w:rsidP="00D72D78">
            <w:pPr>
              <w:spacing w:after="0" w:line="240" w:lineRule="auto"/>
              <w:jc w:val="both"/>
              <w:rPr>
                <w:rFonts w:ascii="Tahoma" w:hAnsi="Tahoma" w:cs="Tahoma"/>
                <w:i/>
                <w:iCs/>
                <w:sz w:val="24"/>
                <w:szCs w:val="24"/>
              </w:rPr>
            </w:pPr>
            <w:r w:rsidRPr="001D2C64">
              <w:rPr>
                <w:rFonts w:ascii="Tahoma" w:hAnsi="Tahoma" w:cs="Tahoma"/>
                <w:sz w:val="24"/>
                <w:szCs w:val="24"/>
              </w:rPr>
              <w:t>Circular</w:t>
            </w:r>
            <w:r w:rsidR="00491567" w:rsidRPr="001D2C64">
              <w:rPr>
                <w:rFonts w:ascii="Tahoma" w:hAnsi="Tahoma" w:cs="Tahoma"/>
                <w:sz w:val="24"/>
                <w:szCs w:val="24"/>
              </w:rPr>
              <w:t xml:space="preserve"> </w:t>
            </w:r>
            <w:r w:rsidR="008015AD" w:rsidRPr="001D2C64">
              <w:rPr>
                <w:rFonts w:ascii="Tahoma" w:hAnsi="Tahoma" w:cs="Tahoma"/>
                <w:sz w:val="24"/>
                <w:szCs w:val="24"/>
              </w:rPr>
              <w:t>N°</w:t>
            </w:r>
            <w:r w:rsidRPr="001D2C64">
              <w:rPr>
                <w:rFonts w:ascii="Tahoma" w:hAnsi="Tahoma" w:cs="Tahoma"/>
                <w:sz w:val="24"/>
                <w:szCs w:val="24"/>
              </w:rPr>
              <w:t>124-2020</w:t>
            </w:r>
            <w:r w:rsidR="008015AD" w:rsidRPr="001D2C64">
              <w:rPr>
                <w:rFonts w:ascii="Tahoma" w:hAnsi="Tahoma" w:cs="Tahoma"/>
                <w:sz w:val="24"/>
                <w:szCs w:val="24"/>
              </w:rPr>
              <w:t xml:space="preserve"> </w:t>
            </w:r>
            <w:r w:rsidR="008015AD" w:rsidRPr="001D2C64">
              <w:rPr>
                <w:rFonts w:ascii="Tahoma" w:hAnsi="Tahoma" w:cs="Tahoma"/>
                <w:i/>
                <w:iCs/>
                <w:sz w:val="24"/>
                <w:szCs w:val="24"/>
              </w:rPr>
              <w:t>“</w:t>
            </w:r>
            <w:r w:rsidR="00147AF6" w:rsidRPr="001D2C64">
              <w:rPr>
                <w:rFonts w:ascii="Tahoma" w:hAnsi="Tahoma" w:cs="Tahoma"/>
                <w:i/>
                <w:iCs/>
                <w:sz w:val="24"/>
                <w:szCs w:val="24"/>
              </w:rPr>
              <w:t>Disposiciones para los despachos judiciales de Desamparados y Alajuelita ante la declaratoria de alerta naranja por parte del Ministerio de Salud”</w:t>
            </w:r>
          </w:p>
          <w:p w:rsidR="009A0C36" w:rsidRPr="001D2C64" w:rsidRDefault="009A0C36" w:rsidP="00D72D78">
            <w:pPr>
              <w:spacing w:after="0" w:line="240" w:lineRule="auto"/>
              <w:jc w:val="both"/>
              <w:rPr>
                <w:rFonts w:ascii="Tahoma" w:hAnsi="Tahoma" w:cs="Tahoma"/>
                <w:i/>
                <w:iCs/>
                <w:sz w:val="24"/>
                <w:szCs w:val="24"/>
              </w:rPr>
            </w:pPr>
          </w:p>
          <w:p w:rsidR="009A0C36" w:rsidRPr="001D2C64" w:rsidRDefault="007B14BD" w:rsidP="00D72D78">
            <w:pPr>
              <w:jc w:val="both"/>
              <w:rPr>
                <w:rFonts w:ascii="Tahoma" w:hAnsi="Tahoma" w:cs="Tahoma"/>
                <w:i/>
                <w:iCs/>
                <w:color w:val="201F1E"/>
                <w:sz w:val="24"/>
                <w:szCs w:val="24"/>
                <w:bdr w:val="none" w:sz="0" w:space="0" w:color="auto" w:frame="1"/>
                <w:shd w:val="clear" w:color="auto" w:fill="FFFFFF"/>
              </w:rPr>
            </w:pPr>
            <w:r w:rsidRPr="001D2C64">
              <w:rPr>
                <w:rFonts w:ascii="Tahoma" w:hAnsi="Tahoma" w:cs="Tahoma"/>
                <w:sz w:val="24"/>
                <w:szCs w:val="24"/>
              </w:rPr>
              <w:t>Circular N°131-2020</w:t>
            </w:r>
            <w:r w:rsidR="0022230D" w:rsidRPr="001D2C64">
              <w:rPr>
                <w:rFonts w:ascii="Tahoma" w:hAnsi="Tahoma" w:cs="Tahoma"/>
                <w:sz w:val="24"/>
                <w:szCs w:val="24"/>
              </w:rPr>
              <w:t xml:space="preserve"> </w:t>
            </w:r>
            <w:r w:rsidRPr="001D2C64">
              <w:rPr>
                <w:rFonts w:ascii="Tahoma" w:hAnsi="Tahoma" w:cs="Tahoma"/>
                <w:i/>
                <w:iCs/>
                <w:sz w:val="24"/>
                <w:szCs w:val="24"/>
              </w:rPr>
              <w:t>“</w:t>
            </w:r>
            <w:r w:rsidRPr="001D2C64">
              <w:rPr>
                <w:rFonts w:ascii="Tahoma" w:hAnsi="Tahoma" w:cs="Tahoma"/>
                <w:i/>
                <w:iCs/>
                <w:color w:val="201F1E"/>
                <w:sz w:val="24"/>
                <w:szCs w:val="24"/>
                <w:shd w:val="clear" w:color="auto" w:fill="FFFFFF"/>
              </w:rPr>
              <w:t>Disposiciones para </w:t>
            </w:r>
            <w:bookmarkStart w:id="3" w:name="x__Hlk35780246"/>
            <w:r w:rsidRPr="001D2C64">
              <w:rPr>
                <w:rFonts w:ascii="Tahoma" w:hAnsi="Tahoma" w:cs="Tahoma"/>
                <w:i/>
                <w:iCs/>
                <w:color w:val="201F1E"/>
                <w:sz w:val="24"/>
                <w:szCs w:val="24"/>
                <w:bdr w:val="none" w:sz="0" w:space="0" w:color="auto" w:frame="1"/>
                <w:shd w:val="clear" w:color="auto" w:fill="FFFFFF"/>
              </w:rPr>
              <w:t>los despachos judiciales de Corredores y demás despachos todo el país, ante la declaratoria de alerta naranja por parte del Ministerio de Salud.</w:t>
            </w:r>
            <w:bookmarkEnd w:id="3"/>
            <w:r w:rsidRPr="001D2C64">
              <w:rPr>
                <w:rFonts w:ascii="Tahoma" w:hAnsi="Tahoma" w:cs="Tahoma"/>
                <w:i/>
                <w:iCs/>
                <w:color w:val="201F1E"/>
                <w:sz w:val="24"/>
                <w:szCs w:val="24"/>
                <w:bdr w:val="none" w:sz="0" w:space="0" w:color="auto" w:frame="1"/>
                <w:shd w:val="clear" w:color="auto" w:fill="FFFFFF"/>
              </w:rPr>
              <w:t>”</w:t>
            </w:r>
          </w:p>
          <w:p w:rsidR="00147AF6" w:rsidRPr="001D2C64" w:rsidRDefault="00147AF6" w:rsidP="00D72D78">
            <w:pPr>
              <w:spacing w:after="0" w:line="240" w:lineRule="auto"/>
              <w:jc w:val="both"/>
              <w:rPr>
                <w:rFonts w:ascii="Tahoma" w:hAnsi="Tahoma" w:cs="Tahoma"/>
                <w:sz w:val="24"/>
                <w:szCs w:val="24"/>
              </w:rPr>
            </w:pPr>
          </w:p>
          <w:p w:rsidR="004F6347" w:rsidRPr="001D2C64" w:rsidRDefault="006F79E1" w:rsidP="00D72D78">
            <w:pPr>
              <w:spacing w:after="0" w:line="240" w:lineRule="auto"/>
              <w:jc w:val="both"/>
              <w:rPr>
                <w:rFonts w:ascii="Tahoma" w:hAnsi="Tahoma" w:cs="Tahoma"/>
                <w:i/>
                <w:iCs/>
                <w:sz w:val="24"/>
                <w:szCs w:val="24"/>
              </w:rPr>
            </w:pPr>
            <w:r w:rsidRPr="001D2C64">
              <w:rPr>
                <w:rFonts w:ascii="Tahoma" w:hAnsi="Tahoma" w:cs="Tahoma"/>
                <w:sz w:val="24"/>
                <w:szCs w:val="24"/>
              </w:rPr>
              <w:t xml:space="preserve">Circular </w:t>
            </w:r>
            <w:r w:rsidR="008015AD" w:rsidRPr="001D2C64">
              <w:rPr>
                <w:rFonts w:ascii="Tahoma" w:hAnsi="Tahoma" w:cs="Tahoma"/>
                <w:sz w:val="24"/>
                <w:szCs w:val="24"/>
              </w:rPr>
              <w:t>N°</w:t>
            </w:r>
            <w:r w:rsidRPr="001D2C64">
              <w:rPr>
                <w:rFonts w:ascii="Tahoma" w:hAnsi="Tahoma" w:cs="Tahoma"/>
                <w:sz w:val="24"/>
                <w:szCs w:val="24"/>
              </w:rPr>
              <w:t>146-2020</w:t>
            </w:r>
            <w:r w:rsidR="004F6347" w:rsidRPr="001D2C64">
              <w:rPr>
                <w:rFonts w:ascii="Tahoma" w:hAnsi="Tahoma" w:cs="Tahoma"/>
                <w:sz w:val="24"/>
                <w:szCs w:val="24"/>
              </w:rPr>
              <w:t xml:space="preserve"> </w:t>
            </w:r>
            <w:r w:rsidR="004F6347" w:rsidRPr="001D2C64">
              <w:rPr>
                <w:rFonts w:ascii="Tahoma" w:hAnsi="Tahoma" w:cs="Tahoma"/>
                <w:i/>
                <w:iCs/>
                <w:sz w:val="24"/>
                <w:szCs w:val="24"/>
              </w:rPr>
              <w:t>“Acuerdo de Corte Plena. Sesión N° 40-2020 del 11 de julio de 2020, en atención a la declaratoria de emergencia nacional, debido a la situación de emergencia sanitaria provocada por la enfermedad COVID-19.”</w:t>
            </w:r>
          </w:p>
          <w:p w:rsidR="004F6347" w:rsidRPr="001D2C64" w:rsidRDefault="004F6347" w:rsidP="00D72D78">
            <w:pPr>
              <w:spacing w:after="0" w:line="240" w:lineRule="auto"/>
              <w:jc w:val="both"/>
              <w:rPr>
                <w:rFonts w:ascii="Tahoma" w:hAnsi="Tahoma" w:cs="Tahoma"/>
                <w:sz w:val="24"/>
                <w:szCs w:val="24"/>
                <w:lang w:eastAsia="ar-SA"/>
              </w:rPr>
            </w:pPr>
          </w:p>
          <w:p w:rsidR="006F79E1" w:rsidRPr="001D2C64" w:rsidRDefault="006F79E1" w:rsidP="00D72D78">
            <w:pPr>
              <w:spacing w:after="0" w:line="240" w:lineRule="auto"/>
              <w:jc w:val="both"/>
              <w:rPr>
                <w:rFonts w:ascii="Tahoma" w:hAnsi="Tahoma" w:cs="Tahoma"/>
                <w:sz w:val="24"/>
                <w:szCs w:val="24"/>
              </w:rPr>
            </w:pPr>
            <w:r w:rsidRPr="001D2C64">
              <w:rPr>
                <w:rFonts w:ascii="Tahoma" w:hAnsi="Tahoma" w:cs="Tahoma"/>
                <w:sz w:val="24"/>
                <w:szCs w:val="24"/>
              </w:rPr>
              <w:t xml:space="preserve">Circular </w:t>
            </w:r>
            <w:r w:rsidR="008015AD" w:rsidRPr="001D2C64">
              <w:rPr>
                <w:rFonts w:ascii="Tahoma" w:hAnsi="Tahoma" w:cs="Tahoma"/>
                <w:sz w:val="24"/>
                <w:szCs w:val="24"/>
              </w:rPr>
              <w:t>N°</w:t>
            </w:r>
            <w:r w:rsidRPr="001D2C64">
              <w:rPr>
                <w:rFonts w:ascii="Tahoma" w:hAnsi="Tahoma" w:cs="Tahoma"/>
                <w:sz w:val="24"/>
                <w:szCs w:val="24"/>
              </w:rPr>
              <w:t xml:space="preserve">152-2020 </w:t>
            </w:r>
            <w:r w:rsidR="006C1AC2" w:rsidRPr="001D2C64">
              <w:rPr>
                <w:rFonts w:ascii="Tahoma" w:hAnsi="Tahoma" w:cs="Tahoma"/>
                <w:i/>
                <w:iCs/>
                <w:sz w:val="24"/>
                <w:szCs w:val="24"/>
              </w:rPr>
              <w:t>“Acuerdo de Corte Plena. Sesión N° 41-2020 del 13 de julio de 2020, en atención a la declaratoria de emergencia nacional, debido a la situación de emergencia sanitaria provocada por la enfermedad COVID-19.”</w:t>
            </w:r>
          </w:p>
          <w:p w:rsidR="001343AC" w:rsidRPr="001D2C64" w:rsidRDefault="001343AC" w:rsidP="00D72D78">
            <w:pPr>
              <w:spacing w:after="0" w:line="240" w:lineRule="auto"/>
              <w:jc w:val="both"/>
              <w:rPr>
                <w:rFonts w:ascii="Tahoma" w:hAnsi="Tahoma" w:cs="Tahoma"/>
                <w:sz w:val="24"/>
                <w:szCs w:val="24"/>
              </w:rPr>
            </w:pPr>
          </w:p>
          <w:p w:rsidR="00D43BDD" w:rsidRPr="008F49FC" w:rsidRDefault="00D43BDD" w:rsidP="00D43BDD">
            <w:pPr>
              <w:spacing w:after="0" w:line="240" w:lineRule="auto"/>
              <w:jc w:val="both"/>
              <w:rPr>
                <w:rFonts w:ascii="Tahoma" w:hAnsi="Tahoma" w:cs="Tahoma"/>
                <w:b/>
                <w:bCs/>
                <w:i/>
                <w:iCs/>
                <w:color w:val="000000"/>
                <w:sz w:val="24"/>
                <w:szCs w:val="24"/>
                <w:u w:val="single"/>
                <w:lang w:eastAsia="es-CR"/>
              </w:rPr>
            </w:pPr>
            <w:r w:rsidRPr="00196173">
              <w:rPr>
                <w:rFonts w:ascii="Tahoma" w:hAnsi="Tahoma" w:cs="Tahoma"/>
                <w:sz w:val="24"/>
                <w:szCs w:val="24"/>
              </w:rPr>
              <w:t>C</w:t>
            </w:r>
            <w:r>
              <w:rPr>
                <w:rFonts w:ascii="Tahoma" w:hAnsi="Tahoma" w:cs="Tahoma"/>
                <w:sz w:val="24"/>
                <w:szCs w:val="24"/>
              </w:rPr>
              <w:t>ircular</w:t>
            </w:r>
            <w:r w:rsidRPr="00196173">
              <w:rPr>
                <w:rFonts w:ascii="Tahoma" w:hAnsi="Tahoma" w:cs="Tahoma"/>
                <w:sz w:val="24"/>
                <w:szCs w:val="24"/>
              </w:rPr>
              <w:t xml:space="preserve"> N° 244-2020</w:t>
            </w:r>
            <w:r w:rsidRPr="00C94CBC">
              <w:rPr>
                <w:rFonts w:ascii="Tahoma" w:hAnsi="Tahoma" w:cs="Tahoma"/>
                <w:b/>
                <w:bCs/>
                <w:color w:val="000000"/>
                <w:sz w:val="24"/>
                <w:szCs w:val="24"/>
                <w:lang w:eastAsia="es-CR"/>
              </w:rPr>
              <w:t xml:space="preserve"> </w:t>
            </w:r>
            <w:r w:rsidRPr="008F49FC">
              <w:rPr>
                <w:rFonts w:ascii="Tahoma" w:hAnsi="Tahoma" w:cs="Tahoma"/>
                <w:b/>
                <w:bCs/>
                <w:i/>
                <w:iCs/>
                <w:color w:val="000000"/>
                <w:sz w:val="24"/>
                <w:szCs w:val="24"/>
                <w:lang w:eastAsia="es-CR"/>
              </w:rPr>
              <w:t>“</w:t>
            </w:r>
            <w:r w:rsidRPr="008F49FC">
              <w:rPr>
                <w:rFonts w:ascii="Tahoma" w:hAnsi="Tahoma" w:cs="Tahoma"/>
                <w:i/>
                <w:iCs/>
                <w:color w:val="000000"/>
                <w:sz w:val="24"/>
                <w:szCs w:val="24"/>
                <w:lang w:eastAsia="es-CR"/>
              </w:rPr>
              <w:t>Acuerdo de Corte Plena. Sesión N° 64-2020 del 26 de octubre de 2020,</w:t>
            </w:r>
            <w:r w:rsidRPr="008F49FC">
              <w:rPr>
                <w:rFonts w:ascii="Tahoma" w:hAnsi="Tahoma" w:cs="Tahoma"/>
                <w:b/>
                <w:bCs/>
                <w:i/>
                <w:iCs/>
                <w:color w:val="000000"/>
                <w:sz w:val="24"/>
                <w:szCs w:val="24"/>
                <w:lang w:eastAsia="es-CR"/>
              </w:rPr>
              <w:t xml:space="preserve"> </w:t>
            </w:r>
            <w:r w:rsidRPr="008F49FC">
              <w:rPr>
                <w:rFonts w:ascii="Tahoma" w:hAnsi="Tahoma" w:cs="Tahoma"/>
                <w:i/>
                <w:iCs/>
                <w:color w:val="000000"/>
                <w:sz w:val="24"/>
                <w:szCs w:val="24"/>
                <w:lang w:eastAsia="es-CR"/>
              </w:rPr>
              <w:t>en atención a la declaratoria de emergencia nacional, debido a la situación de emergencia sanitaria provocada por la enfermedad COVID-19”</w:t>
            </w:r>
          </w:p>
          <w:p w:rsidR="001343AC" w:rsidRPr="001D2C64" w:rsidRDefault="001343AC" w:rsidP="00D72D78">
            <w:pPr>
              <w:spacing w:after="0" w:line="240" w:lineRule="auto"/>
              <w:jc w:val="both"/>
              <w:rPr>
                <w:rFonts w:ascii="Tahoma" w:hAnsi="Tahoma" w:cs="Tahoma"/>
                <w:sz w:val="24"/>
                <w:szCs w:val="24"/>
                <w:highlight w:val="yellow"/>
              </w:rPr>
            </w:pPr>
          </w:p>
          <w:p w:rsidR="009F6FD3" w:rsidRDefault="009F6FD3" w:rsidP="009F6FD3">
            <w:pPr>
              <w:jc w:val="both"/>
              <w:rPr>
                <w:rFonts w:ascii="Tahoma" w:hAnsi="Tahoma" w:cs="Tahoma"/>
                <w:i/>
                <w:iCs/>
                <w:color w:val="000000"/>
                <w:sz w:val="24"/>
                <w:szCs w:val="24"/>
                <w:lang w:eastAsia="es-CR"/>
              </w:rPr>
            </w:pPr>
            <w:r>
              <w:rPr>
                <w:rFonts w:ascii="Tahoma" w:hAnsi="Tahoma" w:cs="Tahoma"/>
                <w:color w:val="000000"/>
                <w:sz w:val="24"/>
                <w:szCs w:val="24"/>
                <w:lang w:eastAsia="es-CR"/>
              </w:rPr>
              <w:t>Circular N° 254-2020</w:t>
            </w:r>
            <w:r>
              <w:rPr>
                <w:rFonts w:ascii="Tahoma" w:hAnsi="Tahoma" w:cs="Tahoma"/>
                <w:i/>
                <w:iCs/>
                <w:color w:val="000000"/>
                <w:sz w:val="24"/>
                <w:szCs w:val="24"/>
                <w:lang w:eastAsia="es-CR"/>
              </w:rPr>
              <w:t xml:space="preserve"> “Protocolos que se requieren con motivo del abordaje de la emergencia nacional presentada por COVID-19.”</w:t>
            </w:r>
          </w:p>
          <w:p w:rsidR="006F79E1" w:rsidRPr="001D2C64" w:rsidRDefault="006F79E1" w:rsidP="00D72D78">
            <w:pPr>
              <w:spacing w:after="0" w:line="240" w:lineRule="auto"/>
              <w:jc w:val="both"/>
              <w:rPr>
                <w:rFonts w:ascii="Tahoma" w:hAnsi="Tahoma" w:cs="Tahoma"/>
                <w:sz w:val="24"/>
                <w:szCs w:val="24"/>
              </w:rPr>
            </w:pPr>
          </w:p>
          <w:p w:rsidR="0070121F" w:rsidRPr="001D2C64" w:rsidRDefault="0070121F" w:rsidP="00D72D78">
            <w:pPr>
              <w:spacing w:after="0" w:line="240" w:lineRule="auto"/>
              <w:jc w:val="both"/>
              <w:rPr>
                <w:rFonts w:ascii="Tahoma" w:hAnsi="Tahoma" w:cs="Tahoma"/>
                <w:sz w:val="24"/>
                <w:szCs w:val="24"/>
              </w:rPr>
            </w:pPr>
          </w:p>
          <w:p w:rsidR="009F6FD3" w:rsidRDefault="000C44E1" w:rsidP="00D72D78">
            <w:pPr>
              <w:jc w:val="center"/>
              <w:rPr>
                <w:rFonts w:ascii="Tahoma" w:hAnsi="Tahoma" w:cs="Tahoma"/>
                <w:sz w:val="24"/>
                <w:szCs w:val="24"/>
              </w:rPr>
            </w:pPr>
            <w:r w:rsidRPr="001D2C64">
              <w:rPr>
                <w:rFonts w:ascii="Tahoma" w:hAnsi="Tahoma" w:cs="Tahoma"/>
                <w:sz w:val="24"/>
                <w:szCs w:val="24"/>
              </w:rPr>
              <w:object w:dxaOrig="2117" w:dyaOrig="1383" w14:anchorId="3F9EF29A">
                <v:shape id="_x0000_i1039" type="#_x0000_t75" style="width:105.75pt;height:69pt" o:ole="">
                  <v:imagedata r:id="rId50" o:title=""/>
                </v:shape>
                <o:OLEObject Type="Embed" ProgID="Word.Document.12" ShapeID="_x0000_i1039" DrawAspect="Icon" ObjectID="_1672117955" r:id="rId51">
                  <o:FieldCodes>\s</o:FieldCodes>
                </o:OLEObject>
              </w:object>
            </w:r>
            <w:r w:rsidR="009F6FD3" w:rsidRPr="009F6FD3">
              <w:rPr>
                <w:b/>
                <w:bCs/>
              </w:rPr>
              <w:t xml:space="preserve"> </w:t>
            </w:r>
            <w:r w:rsidR="009F6FD3" w:rsidRPr="009F6FD3">
              <w:rPr>
                <w:b/>
                <w:bCs/>
              </w:rPr>
              <w:object w:dxaOrig="1500" w:dyaOrig="975" w14:anchorId="4FCDCB45">
                <v:shape id="_x0000_i1040" type="#_x0000_t75" style="width:75pt;height:48.75pt" o:ole="">
                  <v:imagedata r:id="rId22" o:title=""/>
                </v:shape>
                <o:OLEObject Type="Embed" ProgID="Word.Document.12" ShapeID="_x0000_i1040" DrawAspect="Icon" ObjectID="_1672117956" r:id="rId52">
                  <o:FieldCodes>\s</o:FieldCodes>
                </o:OLEObject>
              </w:object>
            </w:r>
          </w:p>
          <w:p w:rsidR="00467F72" w:rsidRPr="001D2C64" w:rsidRDefault="00467F72" w:rsidP="00D72D78">
            <w:pPr>
              <w:jc w:val="center"/>
              <w:rPr>
                <w:rFonts w:ascii="Tahoma" w:eastAsia="Times New Roman" w:hAnsi="Tahoma" w:cs="Tahoma"/>
                <w:color w:val="000000"/>
                <w:sz w:val="24"/>
                <w:szCs w:val="24"/>
                <w:lang w:eastAsia="zh-CN" w:bidi="hi-IN"/>
              </w:rPr>
            </w:pPr>
            <w:r w:rsidRPr="001D2C64">
              <w:rPr>
                <w:rFonts w:ascii="Tahoma" w:hAnsi="Tahoma" w:cs="Tahoma"/>
                <w:sz w:val="24"/>
                <w:szCs w:val="24"/>
              </w:rPr>
              <w:object w:dxaOrig="1508" w:dyaOrig="983" w14:anchorId="24FC014A">
                <v:shape id="_x0000_i1041" type="#_x0000_t75" style="width:75pt;height:49.5pt" o:ole="">
                  <v:imagedata r:id="rId53" o:title=""/>
                </v:shape>
                <o:OLEObject Type="Embed" ProgID="Word.Document.12" ShapeID="_x0000_i1041" DrawAspect="Icon" ObjectID="_1672117957" r:id="rId54">
                  <o:FieldCodes>\s</o:FieldCodes>
                </o:OLEObject>
              </w:object>
            </w:r>
            <w:bookmarkStart w:id="4" w:name="_MON_1656777898"/>
            <w:bookmarkEnd w:id="4"/>
            <w:r w:rsidRPr="001D2C64">
              <w:rPr>
                <w:rFonts w:ascii="Tahoma" w:eastAsia="Times New Roman" w:hAnsi="Tahoma" w:cs="Tahoma"/>
                <w:color w:val="000000"/>
                <w:sz w:val="24"/>
                <w:szCs w:val="24"/>
                <w:lang w:eastAsia="zh-CN" w:bidi="hi-IN"/>
              </w:rPr>
              <w:object w:dxaOrig="1534" w:dyaOrig="997" w14:anchorId="72CA4AF2">
                <v:shape id="_x0000_i1042" type="#_x0000_t75" style="width:76.5pt;height:49.5pt" o:ole="">
                  <v:imagedata r:id="rId55" o:title=""/>
                </v:shape>
                <o:OLEObject Type="Embed" ProgID="Word.Document.12" ShapeID="_x0000_i1042" DrawAspect="Icon" ObjectID="_1672117958" r:id="rId56">
                  <o:FieldCodes>\s</o:FieldCodes>
                </o:OLEObject>
              </w:object>
            </w:r>
          </w:p>
          <w:bookmarkStart w:id="5" w:name="_MON_1659266425"/>
          <w:bookmarkEnd w:id="5"/>
          <w:p w:rsidR="0092695A" w:rsidRPr="001D2C64" w:rsidRDefault="0092695A" w:rsidP="00D72D78">
            <w:pPr>
              <w:jc w:val="center"/>
              <w:rPr>
                <w:rFonts w:ascii="Tahoma" w:hAnsi="Tahoma" w:cs="Tahoma"/>
                <w:sz w:val="24"/>
                <w:szCs w:val="24"/>
              </w:rPr>
            </w:pPr>
            <w:r w:rsidRPr="001D2C64">
              <w:rPr>
                <w:rFonts w:ascii="Tahoma" w:hAnsi="Tahoma" w:cs="Tahoma"/>
                <w:sz w:val="24"/>
                <w:szCs w:val="24"/>
              </w:rPr>
              <w:object w:dxaOrig="2117" w:dyaOrig="1383" w14:anchorId="55AA28AA">
                <v:shape id="_x0000_i1043" type="#_x0000_t75" style="width:106.5pt;height:69pt" o:ole="">
                  <v:imagedata r:id="rId57" o:title=""/>
                </v:shape>
                <o:OLEObject Type="Embed" ProgID="Word.Document.12" ShapeID="_x0000_i1043" DrawAspect="Icon" ObjectID="_1672117959" r:id="rId58">
                  <o:FieldCodes>\s</o:FieldCodes>
                </o:OLEObject>
              </w:object>
            </w:r>
            <w:bookmarkStart w:id="6" w:name="_MON_1656777930"/>
            <w:bookmarkEnd w:id="6"/>
            <w:r w:rsidR="00D43BDD" w:rsidRPr="001D2C64">
              <w:rPr>
                <w:rFonts w:ascii="Tahoma" w:eastAsia="Times New Roman" w:hAnsi="Tahoma" w:cs="Tahoma"/>
                <w:color w:val="000000"/>
                <w:sz w:val="24"/>
                <w:szCs w:val="24"/>
                <w:lang w:eastAsia="zh-CN" w:bidi="hi-IN"/>
              </w:rPr>
              <w:object w:dxaOrig="1534" w:dyaOrig="997" w14:anchorId="7BE6DA3F">
                <v:shape id="_x0000_i1044" type="#_x0000_t75" style="width:76.5pt;height:49.5pt" o:ole="">
                  <v:imagedata r:id="rId59" o:title=""/>
                </v:shape>
                <o:OLEObject Type="Embed" ProgID="Word.Document.12" ShapeID="_x0000_i1044" DrawAspect="Icon" ObjectID="_1672117960" r:id="rId60">
                  <o:FieldCodes>\s</o:FieldCodes>
                </o:OLEObject>
              </w:object>
            </w:r>
          </w:p>
          <w:bookmarkStart w:id="7" w:name="_MON_1656777939"/>
          <w:bookmarkEnd w:id="7"/>
          <w:p w:rsidR="00467F72" w:rsidRDefault="00467F72" w:rsidP="00D72D78">
            <w:pPr>
              <w:widowControl w:val="0"/>
              <w:autoSpaceDE w:val="0"/>
              <w:autoSpaceDN w:val="0"/>
              <w:adjustRightInd w:val="0"/>
              <w:jc w:val="center"/>
              <w:rPr>
                <w:rFonts w:ascii="Tahoma" w:eastAsia="Times New Roman" w:hAnsi="Tahoma" w:cs="Tahoma"/>
                <w:color w:val="000000"/>
                <w:sz w:val="24"/>
                <w:szCs w:val="24"/>
                <w:lang w:eastAsia="zh-CN" w:bidi="hi-IN"/>
              </w:rPr>
            </w:pPr>
            <w:r w:rsidRPr="001D2C64">
              <w:rPr>
                <w:rFonts w:ascii="Tahoma" w:eastAsia="Times New Roman" w:hAnsi="Tahoma" w:cs="Tahoma"/>
                <w:color w:val="000000"/>
                <w:sz w:val="24"/>
                <w:szCs w:val="24"/>
                <w:lang w:eastAsia="zh-CN" w:bidi="hi-IN"/>
              </w:rPr>
              <w:object w:dxaOrig="1534" w:dyaOrig="997" w14:anchorId="624F9094">
                <v:shape id="_x0000_i1045" type="#_x0000_t75" style="width:76.5pt;height:49.5pt" o:ole="">
                  <v:imagedata r:id="rId61" o:title=""/>
                </v:shape>
                <o:OLEObject Type="Embed" ProgID="Word.Document.12" ShapeID="_x0000_i1045" DrawAspect="Icon" ObjectID="_1672117961" r:id="rId62">
                  <o:FieldCodes>\s</o:FieldCodes>
                </o:OLEObject>
              </w:object>
            </w:r>
            <w:r w:rsidR="00D43BDD">
              <w:rPr>
                <w:rFonts w:ascii="Tahoma" w:eastAsia="Times New Roman" w:hAnsi="Tahoma" w:cs="Tahoma"/>
                <w:color w:val="000000"/>
                <w:sz w:val="24"/>
                <w:szCs w:val="24"/>
                <w:lang w:eastAsia="zh-CN" w:bidi="hi-IN"/>
              </w:rPr>
              <w:object w:dxaOrig="1537" w:dyaOrig="997" w14:anchorId="216A7AF9">
                <v:shape id="_x0000_i1046" type="#_x0000_t75" style="width:76.5pt;height:49.5pt" o:ole="">
                  <v:imagedata r:id="rId63" o:title=""/>
                </v:shape>
                <o:OLEObject Type="Embed" ProgID="Word.Document.12" ShapeID="_x0000_i1046" DrawAspect="Icon" ObjectID="_1672117962" r:id="rId64">
                  <o:FieldCodes>\s</o:FieldCodes>
                </o:OLEObject>
              </w:object>
            </w:r>
          </w:p>
          <w:p w:rsidR="009F6FD3" w:rsidRPr="001D2C64" w:rsidRDefault="009F6FD3" w:rsidP="00D72D78">
            <w:pPr>
              <w:widowControl w:val="0"/>
              <w:autoSpaceDE w:val="0"/>
              <w:autoSpaceDN w:val="0"/>
              <w:adjustRightInd w:val="0"/>
              <w:jc w:val="center"/>
              <w:rPr>
                <w:rFonts w:ascii="Tahoma" w:eastAsia="Times New Roman" w:hAnsi="Tahoma" w:cs="Tahoma"/>
                <w:color w:val="000000"/>
                <w:sz w:val="24"/>
                <w:szCs w:val="24"/>
                <w:lang w:eastAsia="zh-CN" w:bidi="hi-IN"/>
              </w:rPr>
            </w:pPr>
            <w:r w:rsidRPr="009F6FD3">
              <w:rPr>
                <w:b/>
                <w:bCs/>
              </w:rPr>
              <w:object w:dxaOrig="1500" w:dyaOrig="975" w14:anchorId="0CFC69F1">
                <v:shape id="_x0000_i1047" type="#_x0000_t75" style="width:75pt;height:48.75pt" o:ole="">
                  <v:imagedata r:id="rId26" o:title=""/>
                </v:shape>
                <o:OLEObject Type="Embed" ProgID="Word.Document.12" ShapeID="_x0000_i1047" DrawAspect="Icon" ObjectID="_1672117963" r:id="rId65">
                  <o:FieldCodes>\s</o:FieldCodes>
                </o:OLEObject>
              </w:object>
            </w:r>
          </w:p>
          <w:p w:rsidR="006F79E1" w:rsidRPr="001D2C64" w:rsidRDefault="006F79E1" w:rsidP="00D72D78">
            <w:pPr>
              <w:spacing w:after="0" w:line="240" w:lineRule="auto"/>
              <w:jc w:val="both"/>
              <w:rPr>
                <w:rFonts w:ascii="Tahoma" w:hAnsi="Tahoma" w:cs="Tahoma"/>
                <w:b/>
                <w:bCs/>
                <w:sz w:val="24"/>
                <w:szCs w:val="24"/>
              </w:rPr>
            </w:pPr>
          </w:p>
        </w:tc>
        <w:tc>
          <w:tcPr>
            <w:tcW w:w="5377" w:type="dxa"/>
            <w:shd w:val="clear" w:color="auto" w:fill="auto"/>
          </w:tcPr>
          <w:p w:rsidR="006F79E1" w:rsidRPr="001D2C64" w:rsidRDefault="00215264" w:rsidP="00D72D78">
            <w:pPr>
              <w:spacing w:after="0" w:line="240" w:lineRule="auto"/>
              <w:jc w:val="both"/>
              <w:rPr>
                <w:rFonts w:ascii="Tahoma" w:hAnsi="Tahoma" w:cs="Tahoma"/>
                <w:sz w:val="24"/>
                <w:szCs w:val="24"/>
              </w:rPr>
            </w:pPr>
            <w:r w:rsidRPr="001D2C64">
              <w:rPr>
                <w:rFonts w:ascii="Tahoma" w:hAnsi="Tahoma" w:cs="Tahoma"/>
                <w:sz w:val="24"/>
                <w:szCs w:val="24"/>
              </w:rPr>
              <w:t xml:space="preserve">Se </w:t>
            </w:r>
            <w:r w:rsidR="00FF575E" w:rsidRPr="001D2C64">
              <w:rPr>
                <w:rFonts w:ascii="Tahoma" w:hAnsi="Tahoma" w:cs="Tahoma"/>
                <w:sz w:val="24"/>
                <w:szCs w:val="24"/>
              </w:rPr>
              <w:t>a</w:t>
            </w:r>
            <w:r w:rsidR="006F79E1" w:rsidRPr="001D2C64">
              <w:rPr>
                <w:rFonts w:ascii="Tahoma" w:hAnsi="Tahoma" w:cs="Tahoma"/>
                <w:sz w:val="24"/>
                <w:szCs w:val="24"/>
              </w:rPr>
              <w:t>plica</w:t>
            </w:r>
            <w:r w:rsidRPr="001D2C64">
              <w:rPr>
                <w:rFonts w:ascii="Tahoma" w:hAnsi="Tahoma" w:cs="Tahoma"/>
                <w:sz w:val="24"/>
                <w:szCs w:val="24"/>
              </w:rPr>
              <w:t>n</w:t>
            </w:r>
            <w:r w:rsidR="006F79E1" w:rsidRPr="001D2C64">
              <w:rPr>
                <w:rFonts w:ascii="Tahoma" w:hAnsi="Tahoma" w:cs="Tahoma"/>
                <w:sz w:val="24"/>
                <w:szCs w:val="24"/>
              </w:rPr>
              <w:t xml:space="preserve"> los lineamientos establecidos para la alerta amarilla, con las siguientes indicaciones:</w:t>
            </w:r>
          </w:p>
          <w:p w:rsidR="00215264" w:rsidRPr="001D2C64" w:rsidRDefault="00215264" w:rsidP="00D72D78">
            <w:pPr>
              <w:spacing w:after="0" w:line="240" w:lineRule="auto"/>
              <w:jc w:val="both"/>
              <w:rPr>
                <w:rFonts w:ascii="Tahoma" w:hAnsi="Tahoma" w:cs="Tahoma"/>
                <w:sz w:val="24"/>
                <w:szCs w:val="24"/>
              </w:rPr>
            </w:pPr>
          </w:p>
          <w:p w:rsidR="006F79E1" w:rsidRPr="001D2C64" w:rsidRDefault="006F79E1" w:rsidP="00D72D78">
            <w:pPr>
              <w:spacing w:after="0" w:line="240" w:lineRule="auto"/>
              <w:ind w:left="173" w:hanging="173"/>
              <w:jc w:val="both"/>
              <w:rPr>
                <w:rFonts w:ascii="Tahoma" w:hAnsi="Tahoma" w:cs="Tahoma"/>
                <w:sz w:val="24"/>
                <w:szCs w:val="24"/>
              </w:rPr>
            </w:pPr>
            <w:r w:rsidRPr="001D2C64">
              <w:rPr>
                <w:rFonts w:ascii="Tahoma" w:hAnsi="Tahoma" w:cs="Tahoma"/>
                <w:sz w:val="24"/>
                <w:szCs w:val="24"/>
              </w:rPr>
              <w:t>•</w:t>
            </w:r>
            <w:r w:rsidRPr="001D2C64">
              <w:rPr>
                <w:rFonts w:ascii="Tahoma" w:hAnsi="Tahoma" w:cs="Tahoma"/>
                <w:sz w:val="24"/>
                <w:szCs w:val="24"/>
              </w:rPr>
              <w:tab/>
              <w:t xml:space="preserve">El mínimo de personal que labora de forma presencial </w:t>
            </w:r>
            <w:r w:rsidRPr="001D2C64">
              <w:rPr>
                <w:rFonts w:ascii="Tahoma" w:hAnsi="Tahoma" w:cs="Tahoma"/>
                <w:sz w:val="24"/>
                <w:szCs w:val="24"/>
                <w:u w:val="single"/>
              </w:rPr>
              <w:t>no puede aumentarse</w:t>
            </w:r>
            <w:r w:rsidR="00673642" w:rsidRPr="001D2C64">
              <w:rPr>
                <w:rFonts w:ascii="Tahoma" w:hAnsi="Tahoma" w:cs="Tahoma"/>
                <w:sz w:val="24"/>
                <w:szCs w:val="24"/>
              </w:rPr>
              <w:t>. Lo anterior, sin perjuicio de las personas funcionarias que acudan al Despacho para realizar audiencias presenciales.</w:t>
            </w:r>
            <w:r w:rsidR="00673642" w:rsidRPr="001D2C64">
              <w:rPr>
                <w:rFonts w:ascii="Tahoma" w:hAnsi="Tahoma" w:cs="Tahoma"/>
                <w:sz w:val="24"/>
                <w:szCs w:val="24"/>
                <w:u w:val="single"/>
              </w:rPr>
              <w:t xml:space="preserve"> </w:t>
            </w:r>
          </w:p>
          <w:p w:rsidR="00491567" w:rsidRPr="001D2C64" w:rsidRDefault="00491567" w:rsidP="00D72D78">
            <w:pPr>
              <w:spacing w:after="0" w:line="240" w:lineRule="auto"/>
              <w:ind w:left="173" w:hanging="173"/>
              <w:jc w:val="both"/>
              <w:rPr>
                <w:rFonts w:ascii="Tahoma" w:hAnsi="Tahoma" w:cs="Tahoma"/>
                <w:sz w:val="24"/>
                <w:szCs w:val="24"/>
              </w:rPr>
            </w:pPr>
          </w:p>
          <w:p w:rsidR="006F79E1" w:rsidRPr="001D2C64" w:rsidRDefault="006F79E1" w:rsidP="00D72D78">
            <w:pPr>
              <w:spacing w:after="0" w:line="240" w:lineRule="auto"/>
              <w:ind w:left="173" w:hanging="173"/>
              <w:jc w:val="both"/>
              <w:rPr>
                <w:rFonts w:ascii="Tahoma" w:hAnsi="Tahoma" w:cs="Tahoma"/>
                <w:sz w:val="24"/>
                <w:szCs w:val="24"/>
              </w:rPr>
            </w:pPr>
            <w:r w:rsidRPr="001D2C64">
              <w:rPr>
                <w:rFonts w:ascii="Tahoma" w:hAnsi="Tahoma" w:cs="Tahoma"/>
                <w:sz w:val="24"/>
                <w:szCs w:val="24"/>
              </w:rPr>
              <w:t>•</w:t>
            </w:r>
            <w:r w:rsidRPr="001D2C64">
              <w:rPr>
                <w:rFonts w:ascii="Tahoma" w:hAnsi="Tahoma" w:cs="Tahoma"/>
                <w:sz w:val="24"/>
                <w:szCs w:val="24"/>
              </w:rPr>
              <w:tab/>
              <w:t>Se debe cumplir estrictamente con las medidas sanitarias que establezcan las autoridades de salud y del Poder Judicial.</w:t>
            </w:r>
          </w:p>
          <w:p w:rsidR="006F79E1" w:rsidRPr="001D2C64" w:rsidRDefault="006F79E1" w:rsidP="00D72D78">
            <w:pPr>
              <w:spacing w:after="0" w:line="240" w:lineRule="auto"/>
              <w:ind w:left="173" w:hanging="173"/>
              <w:jc w:val="both"/>
              <w:rPr>
                <w:rFonts w:ascii="Tahoma" w:hAnsi="Tahoma" w:cs="Tahoma"/>
                <w:sz w:val="24"/>
                <w:szCs w:val="24"/>
              </w:rPr>
            </w:pPr>
            <w:r w:rsidRPr="001D2C64">
              <w:rPr>
                <w:rFonts w:ascii="Tahoma" w:hAnsi="Tahoma" w:cs="Tahoma"/>
                <w:sz w:val="24"/>
                <w:szCs w:val="24"/>
              </w:rPr>
              <w:t xml:space="preserve"> </w:t>
            </w:r>
          </w:p>
          <w:p w:rsidR="006F79E1" w:rsidRPr="001D2C64" w:rsidRDefault="006F79E1" w:rsidP="00D72D78">
            <w:pPr>
              <w:spacing w:after="0" w:line="240" w:lineRule="auto"/>
              <w:ind w:left="173" w:hanging="173"/>
              <w:jc w:val="both"/>
              <w:rPr>
                <w:rFonts w:ascii="Tahoma" w:hAnsi="Tahoma" w:cs="Tahoma"/>
                <w:sz w:val="24"/>
                <w:szCs w:val="24"/>
              </w:rPr>
            </w:pPr>
            <w:r w:rsidRPr="001D2C64">
              <w:rPr>
                <w:rFonts w:ascii="Tahoma" w:hAnsi="Tahoma" w:cs="Tahoma"/>
                <w:sz w:val="24"/>
                <w:szCs w:val="24"/>
              </w:rPr>
              <w:t>•</w:t>
            </w:r>
            <w:r w:rsidRPr="001D2C64">
              <w:rPr>
                <w:rFonts w:ascii="Tahoma" w:hAnsi="Tahoma" w:cs="Tahoma"/>
                <w:sz w:val="24"/>
                <w:szCs w:val="24"/>
              </w:rPr>
              <w:tab/>
              <w:t>En el caso de las personas juzgadoras o personal técnico que deben descargar expedientes utilizando llaves Maya, se debe llevar un control de estos con indicación de los números de expediente.</w:t>
            </w:r>
          </w:p>
          <w:p w:rsidR="006F79E1" w:rsidRPr="001D2C64" w:rsidRDefault="006F79E1" w:rsidP="00D72D78">
            <w:pPr>
              <w:spacing w:after="0" w:line="240" w:lineRule="auto"/>
              <w:jc w:val="both"/>
              <w:rPr>
                <w:rFonts w:ascii="Tahoma" w:hAnsi="Tahoma" w:cs="Tahoma"/>
                <w:sz w:val="24"/>
                <w:szCs w:val="24"/>
              </w:rPr>
            </w:pPr>
          </w:p>
          <w:p w:rsidR="004830F5" w:rsidRPr="001D2C64" w:rsidRDefault="006F79E1" w:rsidP="00D72D78">
            <w:pPr>
              <w:spacing w:after="0" w:line="240" w:lineRule="auto"/>
              <w:ind w:left="173" w:hanging="173"/>
              <w:jc w:val="both"/>
              <w:rPr>
                <w:rFonts w:ascii="Tahoma" w:hAnsi="Tahoma" w:cs="Tahoma"/>
                <w:sz w:val="24"/>
                <w:szCs w:val="24"/>
              </w:rPr>
            </w:pPr>
            <w:r w:rsidRPr="001D2C64">
              <w:rPr>
                <w:rFonts w:ascii="Tahoma" w:hAnsi="Tahoma" w:cs="Tahoma"/>
                <w:sz w:val="24"/>
                <w:szCs w:val="24"/>
              </w:rPr>
              <w:t>•</w:t>
            </w:r>
            <w:r w:rsidRPr="001D2C64">
              <w:rPr>
                <w:rFonts w:ascii="Tahoma" w:hAnsi="Tahoma" w:cs="Tahoma"/>
                <w:sz w:val="24"/>
                <w:szCs w:val="24"/>
              </w:rPr>
              <w:tab/>
              <w:t>En caso de que se deba practicar un embargo preventivo, de conformidad con el artículo 572 del Código de Trabajo; la persona juzgadora deberá valorar la procedencia.</w:t>
            </w:r>
          </w:p>
          <w:p w:rsidR="00B619D3" w:rsidRPr="001D2C64" w:rsidRDefault="00B619D3" w:rsidP="00D72D78">
            <w:pPr>
              <w:spacing w:after="0" w:line="240" w:lineRule="auto"/>
              <w:ind w:left="173" w:hanging="173"/>
              <w:jc w:val="both"/>
              <w:rPr>
                <w:rFonts w:ascii="Tahoma" w:hAnsi="Tahoma" w:cs="Tahoma"/>
                <w:sz w:val="24"/>
                <w:szCs w:val="24"/>
              </w:rPr>
            </w:pPr>
          </w:p>
          <w:p w:rsidR="00945ADF" w:rsidRPr="001D2C64" w:rsidRDefault="00CA45CF" w:rsidP="00D72D78">
            <w:pPr>
              <w:spacing w:after="0" w:line="240" w:lineRule="auto"/>
              <w:jc w:val="both"/>
              <w:rPr>
                <w:rFonts w:ascii="Tahoma" w:hAnsi="Tahoma" w:cs="Tahoma"/>
                <w:sz w:val="24"/>
                <w:szCs w:val="24"/>
                <w:lang w:eastAsia="es-CR"/>
              </w:rPr>
            </w:pPr>
            <w:r w:rsidRPr="001D2C64">
              <w:rPr>
                <w:rFonts w:ascii="Tahoma" w:hAnsi="Tahoma" w:cs="Tahoma"/>
                <w:sz w:val="24"/>
                <w:szCs w:val="24"/>
              </w:rPr>
              <w:t>En esta alerta se pueden realizar audiencias virtuales e híbridas</w:t>
            </w:r>
            <w:r w:rsidR="00945ADF" w:rsidRPr="001D2C64">
              <w:rPr>
                <w:rFonts w:ascii="Tahoma" w:hAnsi="Tahoma" w:cs="Tahoma"/>
                <w:sz w:val="24"/>
                <w:szCs w:val="24"/>
              </w:rPr>
              <w:t xml:space="preserve">. </w:t>
            </w:r>
            <w:r w:rsidR="00945ADF" w:rsidRPr="001D2C64">
              <w:rPr>
                <w:rFonts w:ascii="Tahoma" w:hAnsi="Tahoma" w:cs="Tahoma"/>
                <w:sz w:val="24"/>
                <w:szCs w:val="24"/>
                <w:lang w:eastAsia="es-CR"/>
              </w:rPr>
              <w:t>En aquello</w:t>
            </w:r>
            <w:r w:rsidR="0099723C" w:rsidRPr="001D2C64">
              <w:rPr>
                <w:rFonts w:ascii="Tahoma" w:hAnsi="Tahoma" w:cs="Tahoma"/>
                <w:sz w:val="24"/>
                <w:szCs w:val="24"/>
                <w:lang w:eastAsia="es-CR"/>
              </w:rPr>
              <w:t>s</w:t>
            </w:r>
            <w:r w:rsidR="00945ADF" w:rsidRPr="001D2C64">
              <w:rPr>
                <w:rFonts w:ascii="Tahoma" w:hAnsi="Tahoma" w:cs="Tahoma"/>
                <w:sz w:val="24"/>
                <w:szCs w:val="24"/>
                <w:lang w:eastAsia="es-CR"/>
              </w:rPr>
              <w:t xml:space="preserve"> casos donde no sea posible la realización</w:t>
            </w:r>
            <w:r w:rsidR="005B7D76" w:rsidRPr="001D2C64">
              <w:rPr>
                <w:rFonts w:ascii="Tahoma" w:hAnsi="Tahoma" w:cs="Tahoma"/>
                <w:sz w:val="24"/>
                <w:szCs w:val="24"/>
                <w:lang w:eastAsia="es-CR"/>
              </w:rPr>
              <w:t xml:space="preserve"> virtual o híbrida</w:t>
            </w:r>
            <w:r w:rsidR="00945ADF" w:rsidRPr="001D2C64">
              <w:rPr>
                <w:rFonts w:ascii="Tahoma" w:hAnsi="Tahoma" w:cs="Tahoma"/>
                <w:sz w:val="24"/>
                <w:szCs w:val="24"/>
                <w:lang w:eastAsia="es-CR"/>
              </w:rPr>
              <w:t>, deberán hacerse de manera presencial con estricto cumplimiento de los protocolos de Salud requeridos.</w:t>
            </w:r>
          </w:p>
          <w:p w:rsidR="00945ADF" w:rsidRPr="001D2C64" w:rsidRDefault="00945ADF" w:rsidP="00D72D78">
            <w:pPr>
              <w:spacing w:after="0" w:line="240" w:lineRule="auto"/>
              <w:ind w:left="173" w:hanging="173"/>
              <w:jc w:val="both"/>
              <w:rPr>
                <w:rFonts w:ascii="Tahoma" w:hAnsi="Tahoma" w:cs="Tahoma"/>
                <w:sz w:val="24"/>
                <w:szCs w:val="24"/>
              </w:rPr>
            </w:pPr>
          </w:p>
          <w:p w:rsidR="004830F5" w:rsidRPr="001D2C64" w:rsidRDefault="00945ADF" w:rsidP="00D72D78">
            <w:pPr>
              <w:spacing w:after="0" w:line="240" w:lineRule="auto"/>
              <w:ind w:left="173" w:hanging="173"/>
              <w:jc w:val="both"/>
              <w:rPr>
                <w:rFonts w:ascii="Tahoma" w:hAnsi="Tahoma" w:cs="Tahoma"/>
                <w:sz w:val="24"/>
                <w:szCs w:val="24"/>
              </w:rPr>
            </w:pPr>
            <w:r w:rsidRPr="001D2C64">
              <w:rPr>
                <w:rFonts w:ascii="Tahoma" w:hAnsi="Tahoma" w:cs="Tahoma"/>
                <w:sz w:val="24"/>
                <w:szCs w:val="24"/>
              </w:rPr>
              <w:t xml:space="preserve">  No </w:t>
            </w:r>
            <w:r w:rsidR="00BA5DA3" w:rsidRPr="001D2C64">
              <w:rPr>
                <w:rFonts w:ascii="Tahoma" w:hAnsi="Tahoma" w:cs="Tahoma"/>
                <w:sz w:val="24"/>
                <w:szCs w:val="24"/>
              </w:rPr>
              <w:t>obstante,</w:t>
            </w:r>
            <w:r w:rsidRPr="001D2C64">
              <w:rPr>
                <w:rFonts w:ascii="Tahoma" w:hAnsi="Tahoma" w:cs="Tahoma"/>
                <w:sz w:val="24"/>
                <w:szCs w:val="24"/>
              </w:rPr>
              <w:t xml:space="preserve"> lo anterior</w:t>
            </w:r>
            <w:r w:rsidR="00CA45CF" w:rsidRPr="001D2C64">
              <w:rPr>
                <w:rFonts w:ascii="Tahoma" w:hAnsi="Tahoma" w:cs="Tahoma"/>
                <w:sz w:val="24"/>
                <w:szCs w:val="24"/>
              </w:rPr>
              <w:t>, de</w:t>
            </w:r>
            <w:r w:rsidR="004830F5" w:rsidRPr="001D2C64">
              <w:rPr>
                <w:rFonts w:ascii="Tahoma" w:hAnsi="Tahoma" w:cs="Tahoma"/>
                <w:b/>
                <w:bCs/>
                <w:sz w:val="24"/>
                <w:szCs w:val="24"/>
                <w:u w:val="single"/>
              </w:rPr>
              <w:t xml:space="preserve"> ordenar</w:t>
            </w:r>
            <w:r w:rsidR="00CA45CF" w:rsidRPr="001D2C64">
              <w:rPr>
                <w:rFonts w:ascii="Tahoma" w:hAnsi="Tahoma" w:cs="Tahoma"/>
                <w:b/>
                <w:bCs/>
                <w:sz w:val="24"/>
                <w:szCs w:val="24"/>
                <w:u w:val="single"/>
              </w:rPr>
              <w:t>se</w:t>
            </w:r>
            <w:r w:rsidR="004830F5" w:rsidRPr="001D2C64">
              <w:rPr>
                <w:rFonts w:ascii="Tahoma" w:hAnsi="Tahoma" w:cs="Tahoma"/>
                <w:b/>
                <w:bCs/>
                <w:sz w:val="24"/>
                <w:szCs w:val="24"/>
                <w:u w:val="single"/>
              </w:rPr>
              <w:t xml:space="preserve"> un</w:t>
            </w:r>
            <w:r w:rsidRPr="001D2C64">
              <w:rPr>
                <w:rFonts w:ascii="Tahoma" w:hAnsi="Tahoma" w:cs="Tahoma"/>
                <w:b/>
                <w:bCs/>
                <w:sz w:val="24"/>
                <w:szCs w:val="24"/>
                <w:u w:val="single"/>
              </w:rPr>
              <w:t xml:space="preserve"> </w:t>
            </w:r>
            <w:r w:rsidR="004830F5" w:rsidRPr="001D2C64">
              <w:rPr>
                <w:rFonts w:ascii="Tahoma" w:hAnsi="Tahoma" w:cs="Tahoma"/>
                <w:b/>
                <w:bCs/>
                <w:sz w:val="24"/>
                <w:szCs w:val="24"/>
                <w:u w:val="single"/>
              </w:rPr>
              <w:t>cierre de oficinas</w:t>
            </w:r>
            <w:r w:rsidR="00CA45CF" w:rsidRPr="001D2C64">
              <w:rPr>
                <w:rFonts w:ascii="Tahoma" w:hAnsi="Tahoma" w:cs="Tahoma"/>
                <w:b/>
                <w:bCs/>
                <w:sz w:val="24"/>
                <w:szCs w:val="24"/>
                <w:u w:val="single"/>
              </w:rPr>
              <w:t xml:space="preserve"> </w:t>
            </w:r>
            <w:r w:rsidR="004830F5" w:rsidRPr="001D2C64">
              <w:rPr>
                <w:rFonts w:ascii="Tahoma" w:hAnsi="Tahoma" w:cs="Tahoma"/>
                <w:b/>
                <w:bCs/>
                <w:sz w:val="24"/>
                <w:szCs w:val="24"/>
                <w:u w:val="single"/>
              </w:rPr>
              <w:t>solo podrán realizarse audiencias 100 por ciento virtuales</w:t>
            </w:r>
            <w:r w:rsidR="004830F5" w:rsidRPr="001D2C64">
              <w:rPr>
                <w:rFonts w:ascii="Tahoma" w:hAnsi="Tahoma" w:cs="Tahoma"/>
                <w:sz w:val="24"/>
                <w:szCs w:val="24"/>
              </w:rPr>
              <w:t xml:space="preserve">.  </w:t>
            </w:r>
            <w:r w:rsidR="00A34538" w:rsidRPr="001D2C64">
              <w:rPr>
                <w:rFonts w:ascii="Tahoma" w:hAnsi="Tahoma" w:cs="Tahoma"/>
                <w:sz w:val="24"/>
                <w:szCs w:val="24"/>
              </w:rPr>
              <w:t xml:space="preserve">Para la realización de </w:t>
            </w:r>
            <w:r w:rsidR="00BA5DA3" w:rsidRPr="001D2C64">
              <w:rPr>
                <w:rFonts w:ascii="Tahoma" w:hAnsi="Tahoma" w:cs="Tahoma"/>
                <w:sz w:val="24"/>
                <w:szCs w:val="24"/>
              </w:rPr>
              <w:t>estas</w:t>
            </w:r>
            <w:r w:rsidR="00A34538" w:rsidRPr="001D2C64">
              <w:rPr>
                <w:rFonts w:ascii="Tahoma" w:hAnsi="Tahoma" w:cs="Tahoma"/>
                <w:sz w:val="24"/>
                <w:szCs w:val="24"/>
              </w:rPr>
              <w:t xml:space="preserve">, rige el protocolo y el proyecto </w:t>
            </w:r>
            <w:r w:rsidR="00496D59" w:rsidRPr="001D2C64">
              <w:rPr>
                <w:rFonts w:ascii="Tahoma" w:hAnsi="Tahoma" w:cs="Tahoma"/>
                <w:sz w:val="24"/>
                <w:szCs w:val="24"/>
              </w:rPr>
              <w:t>para a</w:t>
            </w:r>
            <w:r w:rsidR="00A34538" w:rsidRPr="001D2C64">
              <w:rPr>
                <w:rFonts w:ascii="Tahoma" w:hAnsi="Tahoma" w:cs="Tahoma"/>
                <w:sz w:val="24"/>
                <w:szCs w:val="24"/>
              </w:rPr>
              <w:t>udiencias virtuales aprobado por Corte Plena.</w:t>
            </w:r>
          </w:p>
          <w:p w:rsidR="006F79E1" w:rsidRPr="001D2C64" w:rsidRDefault="006F79E1" w:rsidP="00D72D78">
            <w:pPr>
              <w:spacing w:after="0" w:line="240" w:lineRule="auto"/>
              <w:ind w:left="173" w:hanging="173"/>
              <w:jc w:val="both"/>
              <w:rPr>
                <w:rFonts w:ascii="Tahoma" w:hAnsi="Tahoma" w:cs="Tahoma"/>
                <w:sz w:val="24"/>
                <w:szCs w:val="24"/>
              </w:rPr>
            </w:pPr>
            <w:r w:rsidRPr="001D2C64">
              <w:rPr>
                <w:rFonts w:ascii="Tahoma" w:hAnsi="Tahoma" w:cs="Tahoma"/>
                <w:sz w:val="24"/>
                <w:szCs w:val="24"/>
              </w:rPr>
              <w:t xml:space="preserve"> </w:t>
            </w:r>
          </w:p>
          <w:p w:rsidR="00B26758" w:rsidRPr="001D2C64" w:rsidRDefault="00B26758" w:rsidP="00D72D78">
            <w:pPr>
              <w:spacing w:after="0" w:line="240" w:lineRule="auto"/>
              <w:jc w:val="both"/>
              <w:rPr>
                <w:rFonts w:ascii="Tahoma" w:hAnsi="Tahoma" w:cs="Tahoma"/>
                <w:sz w:val="24"/>
                <w:szCs w:val="24"/>
              </w:rPr>
            </w:pPr>
            <w:r w:rsidRPr="001D2C64">
              <w:rPr>
                <w:rFonts w:ascii="Tahoma" w:hAnsi="Tahoma" w:cs="Tahoma"/>
                <w:sz w:val="24"/>
                <w:szCs w:val="24"/>
              </w:rPr>
              <w:t>Finalmente, se continúa con la resolución de recursos de apelación en los Tribunales de alzada de manera ordinaria.</w:t>
            </w:r>
          </w:p>
          <w:p w:rsidR="004830F5" w:rsidRPr="001D2C64" w:rsidRDefault="004830F5" w:rsidP="00D72D78">
            <w:pPr>
              <w:spacing w:after="0" w:line="240" w:lineRule="auto"/>
              <w:ind w:left="173" w:hanging="173"/>
              <w:jc w:val="both"/>
              <w:rPr>
                <w:rFonts w:ascii="Tahoma" w:hAnsi="Tahoma" w:cs="Tahoma"/>
                <w:sz w:val="24"/>
                <w:szCs w:val="24"/>
              </w:rPr>
            </w:pPr>
          </w:p>
        </w:tc>
      </w:tr>
      <w:tr w:rsidR="006F79E1" w:rsidRPr="001D2C64" w:rsidTr="00084FAE">
        <w:tc>
          <w:tcPr>
            <w:tcW w:w="5368" w:type="dxa"/>
            <w:shd w:val="clear" w:color="auto" w:fill="auto"/>
          </w:tcPr>
          <w:p w:rsidR="006F79E1" w:rsidRPr="001D2C64" w:rsidRDefault="00E022F2" w:rsidP="00D72D78">
            <w:pPr>
              <w:spacing w:after="0" w:line="240" w:lineRule="auto"/>
              <w:jc w:val="both"/>
              <w:rPr>
                <w:rFonts w:ascii="Tahoma" w:hAnsi="Tahoma" w:cs="Tahoma"/>
                <w:b/>
                <w:bCs/>
                <w:sz w:val="24"/>
                <w:szCs w:val="24"/>
              </w:rPr>
            </w:pPr>
            <w:r w:rsidRPr="001D2C64">
              <w:rPr>
                <w:rFonts w:ascii="Tahoma" w:hAnsi="Tahoma" w:cs="Tahoma"/>
                <w:noProof/>
                <w:sz w:val="24"/>
                <w:szCs w:val="24"/>
              </w:rPr>
              <w:drawing>
                <wp:anchor distT="0" distB="0" distL="114300" distR="114300" simplePos="0" relativeHeight="251658752" behindDoc="1" locked="0" layoutInCell="1" allowOverlap="1" wp14:anchorId="01035D57">
                  <wp:simplePos x="0" y="0"/>
                  <wp:positionH relativeFrom="column">
                    <wp:posOffset>841375</wp:posOffset>
                  </wp:positionH>
                  <wp:positionV relativeFrom="paragraph">
                    <wp:posOffset>142240</wp:posOffset>
                  </wp:positionV>
                  <wp:extent cx="1148715" cy="897255"/>
                  <wp:effectExtent l="0" t="0" r="0" b="0"/>
                  <wp:wrapTight wrapText="bothSides">
                    <wp:wrapPolygon edited="0">
                      <wp:start x="9672" y="0"/>
                      <wp:lineTo x="4299" y="1834"/>
                      <wp:lineTo x="3224" y="3210"/>
                      <wp:lineTo x="2149" y="10089"/>
                      <wp:lineTo x="3582" y="19261"/>
                      <wp:lineTo x="5373" y="21096"/>
                      <wp:lineTo x="9672" y="21096"/>
                      <wp:lineTo x="11821" y="21096"/>
                      <wp:lineTo x="16478" y="21096"/>
                      <wp:lineTo x="18627" y="18803"/>
                      <wp:lineTo x="19343" y="10089"/>
                      <wp:lineTo x="18627" y="3210"/>
                      <wp:lineTo x="17194" y="1376"/>
                      <wp:lineTo x="11821" y="0"/>
                      <wp:lineTo x="9672" y="0"/>
                    </wp:wrapPolygon>
                  </wp:wrapTight>
                  <wp:docPr id="14" name="Diagrama 1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6" r:lo="rId67" r:qs="rId68" r:cs="rId69"/>
                    </a:graphicData>
                  </a:graphic>
                  <wp14:sizeRelH relativeFrom="margin">
                    <wp14:pctWidth>0</wp14:pctWidth>
                  </wp14:sizeRelH>
                  <wp14:sizeRelV relativeFrom="margin">
                    <wp14:pctHeight>0</wp14:pctHeight>
                  </wp14:sizeRelV>
                </wp:anchor>
              </w:drawing>
            </w:r>
          </w:p>
          <w:p w:rsidR="006F79E1" w:rsidRPr="001D2C64" w:rsidRDefault="006F79E1" w:rsidP="00D72D78">
            <w:pPr>
              <w:spacing w:after="0" w:line="240" w:lineRule="auto"/>
              <w:jc w:val="both"/>
              <w:rPr>
                <w:rFonts w:ascii="Tahoma" w:hAnsi="Tahoma" w:cs="Tahoma"/>
                <w:b/>
                <w:bCs/>
                <w:sz w:val="24"/>
                <w:szCs w:val="24"/>
              </w:rPr>
            </w:pPr>
          </w:p>
          <w:p w:rsidR="006F79E1" w:rsidRPr="001D2C64" w:rsidRDefault="006F79E1" w:rsidP="00D72D78">
            <w:pPr>
              <w:spacing w:after="0" w:line="240" w:lineRule="auto"/>
              <w:jc w:val="both"/>
              <w:rPr>
                <w:rFonts w:ascii="Tahoma" w:hAnsi="Tahoma" w:cs="Tahoma"/>
                <w:b/>
                <w:bCs/>
                <w:sz w:val="24"/>
                <w:szCs w:val="24"/>
              </w:rPr>
            </w:pPr>
          </w:p>
          <w:p w:rsidR="006F79E1" w:rsidRPr="001D2C64" w:rsidRDefault="006F79E1" w:rsidP="00D72D78">
            <w:pPr>
              <w:spacing w:after="0" w:line="240" w:lineRule="auto"/>
              <w:jc w:val="both"/>
              <w:rPr>
                <w:rFonts w:ascii="Tahoma" w:hAnsi="Tahoma" w:cs="Tahoma"/>
                <w:b/>
                <w:bCs/>
                <w:sz w:val="24"/>
                <w:szCs w:val="24"/>
              </w:rPr>
            </w:pPr>
          </w:p>
          <w:p w:rsidR="006F79E1" w:rsidRPr="001D2C64" w:rsidRDefault="006F79E1" w:rsidP="00D72D78">
            <w:pPr>
              <w:spacing w:after="0" w:line="240" w:lineRule="auto"/>
              <w:jc w:val="both"/>
              <w:rPr>
                <w:rFonts w:ascii="Tahoma" w:hAnsi="Tahoma" w:cs="Tahoma"/>
                <w:b/>
                <w:bCs/>
                <w:sz w:val="24"/>
                <w:szCs w:val="24"/>
              </w:rPr>
            </w:pPr>
          </w:p>
          <w:p w:rsidR="006F79E1" w:rsidRPr="001D2C64" w:rsidRDefault="006F79E1" w:rsidP="00D72D78">
            <w:pPr>
              <w:spacing w:after="0" w:line="240" w:lineRule="auto"/>
              <w:jc w:val="both"/>
              <w:rPr>
                <w:rFonts w:ascii="Tahoma" w:hAnsi="Tahoma" w:cs="Tahoma"/>
                <w:b/>
                <w:bCs/>
                <w:sz w:val="24"/>
                <w:szCs w:val="24"/>
              </w:rPr>
            </w:pPr>
          </w:p>
          <w:p w:rsidR="006F79E1" w:rsidRPr="001D2C64" w:rsidRDefault="006F79E1" w:rsidP="00D72D78">
            <w:pPr>
              <w:spacing w:after="0" w:line="240" w:lineRule="auto"/>
              <w:jc w:val="both"/>
              <w:rPr>
                <w:rFonts w:ascii="Tahoma" w:hAnsi="Tahoma" w:cs="Tahoma"/>
                <w:b/>
                <w:bCs/>
                <w:sz w:val="24"/>
                <w:szCs w:val="24"/>
              </w:rPr>
            </w:pPr>
          </w:p>
          <w:p w:rsidR="006F79E1" w:rsidRPr="001D2C64" w:rsidRDefault="006F79E1" w:rsidP="00D72D78">
            <w:pPr>
              <w:spacing w:after="0" w:line="240" w:lineRule="auto"/>
              <w:jc w:val="both"/>
              <w:rPr>
                <w:rFonts w:ascii="Tahoma" w:hAnsi="Tahoma" w:cs="Tahoma"/>
                <w:b/>
                <w:bCs/>
                <w:sz w:val="24"/>
                <w:szCs w:val="24"/>
              </w:rPr>
            </w:pPr>
          </w:p>
          <w:p w:rsidR="006F79E1" w:rsidRPr="001D2C64" w:rsidRDefault="006F79E1" w:rsidP="00D72D78">
            <w:pPr>
              <w:spacing w:after="0" w:line="240" w:lineRule="auto"/>
              <w:jc w:val="center"/>
              <w:rPr>
                <w:rFonts w:ascii="Tahoma" w:hAnsi="Tahoma" w:cs="Tahoma"/>
                <w:b/>
                <w:bCs/>
                <w:sz w:val="24"/>
                <w:szCs w:val="24"/>
              </w:rPr>
            </w:pPr>
            <w:r w:rsidRPr="001D2C64">
              <w:rPr>
                <w:rFonts w:ascii="Tahoma" w:hAnsi="Tahoma" w:cs="Tahoma"/>
                <w:b/>
                <w:bCs/>
                <w:sz w:val="24"/>
                <w:szCs w:val="24"/>
              </w:rPr>
              <w:t xml:space="preserve">Fase </w:t>
            </w:r>
            <w:r w:rsidR="004A1097" w:rsidRPr="001D2C64">
              <w:rPr>
                <w:rFonts w:ascii="Tahoma" w:hAnsi="Tahoma" w:cs="Tahoma"/>
                <w:b/>
                <w:bCs/>
                <w:sz w:val="24"/>
                <w:szCs w:val="24"/>
              </w:rPr>
              <w:t>4</w:t>
            </w:r>
            <w:r w:rsidRPr="001D2C64">
              <w:rPr>
                <w:rFonts w:ascii="Tahoma" w:hAnsi="Tahoma" w:cs="Tahoma"/>
                <w:b/>
                <w:bCs/>
                <w:sz w:val="24"/>
                <w:szCs w:val="24"/>
              </w:rPr>
              <w:t>: Alerta Roja</w:t>
            </w:r>
          </w:p>
          <w:p w:rsidR="000521B2" w:rsidRPr="001D2C64" w:rsidRDefault="000521B2" w:rsidP="00D72D78">
            <w:pPr>
              <w:spacing w:after="0" w:line="240" w:lineRule="auto"/>
              <w:jc w:val="center"/>
              <w:rPr>
                <w:rFonts w:ascii="Tahoma" w:hAnsi="Tahoma" w:cs="Tahoma"/>
                <w:b/>
                <w:bCs/>
                <w:sz w:val="24"/>
                <w:szCs w:val="24"/>
              </w:rPr>
            </w:pPr>
            <w:r w:rsidRPr="001D2C64">
              <w:rPr>
                <w:rFonts w:ascii="Tahoma" w:hAnsi="Tahoma" w:cs="Tahoma"/>
                <w:b/>
                <w:bCs/>
                <w:sz w:val="24"/>
                <w:szCs w:val="24"/>
              </w:rPr>
              <w:t>Grado de riego: extremo.</w:t>
            </w:r>
          </w:p>
          <w:p w:rsidR="006F79E1" w:rsidRPr="001D2C64" w:rsidRDefault="006F79E1" w:rsidP="00D72D78">
            <w:pPr>
              <w:spacing w:after="0" w:line="240" w:lineRule="auto"/>
              <w:jc w:val="center"/>
              <w:rPr>
                <w:rFonts w:ascii="Tahoma" w:hAnsi="Tahoma" w:cs="Tahoma"/>
                <w:b/>
                <w:bCs/>
                <w:sz w:val="24"/>
                <w:szCs w:val="24"/>
              </w:rPr>
            </w:pPr>
          </w:p>
          <w:p w:rsidR="006F79E1" w:rsidRPr="00604223" w:rsidRDefault="006F79E1" w:rsidP="00D72D78">
            <w:pPr>
              <w:spacing w:after="0" w:line="240" w:lineRule="auto"/>
              <w:jc w:val="both"/>
              <w:rPr>
                <w:rFonts w:ascii="Tahoma" w:hAnsi="Tahoma" w:cs="Tahoma"/>
                <w:sz w:val="24"/>
                <w:szCs w:val="24"/>
                <w:u w:val="single"/>
              </w:rPr>
            </w:pPr>
            <w:r w:rsidRPr="00604223">
              <w:rPr>
                <w:rFonts w:ascii="Tahoma" w:hAnsi="Tahoma" w:cs="Tahoma"/>
                <w:sz w:val="24"/>
                <w:szCs w:val="24"/>
                <w:u w:val="single"/>
              </w:rPr>
              <w:t>Cierre total del servicio, atención mínimos esenciales.</w:t>
            </w:r>
          </w:p>
          <w:p w:rsidR="006F79E1" w:rsidRPr="001D2C64" w:rsidRDefault="006F79E1" w:rsidP="00D72D78">
            <w:pPr>
              <w:spacing w:after="0" w:line="240" w:lineRule="auto"/>
              <w:jc w:val="both"/>
              <w:rPr>
                <w:rFonts w:ascii="Tahoma" w:hAnsi="Tahoma" w:cs="Tahoma"/>
                <w:sz w:val="24"/>
                <w:szCs w:val="24"/>
              </w:rPr>
            </w:pPr>
          </w:p>
          <w:p w:rsidR="006F79E1" w:rsidRDefault="0031143E" w:rsidP="00D72D78">
            <w:pPr>
              <w:spacing w:after="0" w:line="240" w:lineRule="auto"/>
              <w:jc w:val="both"/>
              <w:rPr>
                <w:rFonts w:ascii="Tahoma" w:hAnsi="Tahoma" w:cs="Tahoma"/>
                <w:i/>
                <w:iCs/>
                <w:sz w:val="24"/>
                <w:szCs w:val="24"/>
              </w:rPr>
            </w:pPr>
            <w:r w:rsidRPr="001D2C64">
              <w:rPr>
                <w:rFonts w:ascii="Tahoma" w:hAnsi="Tahoma" w:cs="Tahoma"/>
                <w:sz w:val="24"/>
                <w:szCs w:val="24"/>
              </w:rPr>
              <w:t>Circular</w:t>
            </w:r>
            <w:r w:rsidR="00104D72" w:rsidRPr="001D2C64">
              <w:rPr>
                <w:rFonts w:ascii="Tahoma" w:hAnsi="Tahoma" w:cs="Tahoma"/>
                <w:sz w:val="24"/>
                <w:szCs w:val="24"/>
              </w:rPr>
              <w:t xml:space="preserve"> N°</w:t>
            </w:r>
            <w:r w:rsidRPr="001D2C64">
              <w:rPr>
                <w:rFonts w:ascii="Tahoma" w:hAnsi="Tahoma" w:cs="Tahoma"/>
                <w:sz w:val="24"/>
                <w:szCs w:val="24"/>
              </w:rPr>
              <w:t xml:space="preserve"> 91-2020. </w:t>
            </w:r>
            <w:r w:rsidR="00104D72" w:rsidRPr="001D2C64">
              <w:rPr>
                <w:rFonts w:ascii="Tahoma" w:hAnsi="Tahoma" w:cs="Tahoma"/>
                <w:i/>
                <w:iCs/>
                <w:sz w:val="24"/>
                <w:szCs w:val="24"/>
              </w:rPr>
              <w:t>“</w:t>
            </w:r>
            <w:r w:rsidR="006F79E1" w:rsidRPr="001D2C64">
              <w:rPr>
                <w:rFonts w:ascii="Tahoma" w:hAnsi="Tahoma" w:cs="Tahoma"/>
                <w:i/>
                <w:iCs/>
                <w:sz w:val="24"/>
                <w:szCs w:val="24"/>
              </w:rPr>
              <w:t>Proyecto para la realización de audiencias virtuales de la materia laboral en el Poder Judicial de Costa Rica y Protocolo de Manejo de Audiencias Virtuales en los Procesos Laborales en Costa Rica</w:t>
            </w:r>
            <w:r w:rsidR="00104D72" w:rsidRPr="001D2C64">
              <w:rPr>
                <w:rFonts w:ascii="Tahoma" w:hAnsi="Tahoma" w:cs="Tahoma"/>
                <w:i/>
                <w:iCs/>
                <w:sz w:val="24"/>
                <w:szCs w:val="24"/>
              </w:rPr>
              <w:t>”</w:t>
            </w:r>
          </w:p>
          <w:p w:rsidR="00AE0F16" w:rsidRDefault="00AE0F16" w:rsidP="00D72D78">
            <w:pPr>
              <w:spacing w:after="0" w:line="240" w:lineRule="auto"/>
              <w:jc w:val="both"/>
              <w:rPr>
                <w:rFonts w:ascii="Tahoma" w:hAnsi="Tahoma" w:cs="Tahoma"/>
                <w:i/>
                <w:iCs/>
                <w:sz w:val="24"/>
                <w:szCs w:val="24"/>
              </w:rPr>
            </w:pPr>
          </w:p>
          <w:p w:rsidR="00AE0F16" w:rsidRPr="00AE0F16" w:rsidRDefault="00AE0F16" w:rsidP="00AE0F16">
            <w:pPr>
              <w:jc w:val="both"/>
              <w:rPr>
                <w:rFonts w:ascii="Tahoma" w:hAnsi="Tahoma" w:cs="Tahoma"/>
                <w:i/>
                <w:iCs/>
                <w:color w:val="000000"/>
                <w:sz w:val="24"/>
                <w:szCs w:val="24"/>
                <w:lang w:eastAsia="es-CR"/>
              </w:rPr>
            </w:pPr>
            <w:r>
              <w:rPr>
                <w:rFonts w:ascii="Tahoma" w:hAnsi="Tahoma" w:cs="Tahoma"/>
                <w:color w:val="000000"/>
                <w:sz w:val="24"/>
                <w:szCs w:val="24"/>
                <w:lang w:eastAsia="es-CR"/>
              </w:rPr>
              <w:t>Circular N° 97-2020</w:t>
            </w:r>
            <w:r>
              <w:rPr>
                <w:rFonts w:ascii="Tahoma" w:hAnsi="Tahoma" w:cs="Tahoma"/>
                <w:i/>
                <w:iCs/>
                <w:color w:val="000000"/>
                <w:sz w:val="24"/>
                <w:szCs w:val="24"/>
                <w:lang w:eastAsia="es-CR"/>
              </w:rPr>
              <w:t xml:space="preserve"> “Protocolos para la utilización de salas de juicio, ingreso de personas usuarias y limpieza de áreas.”</w:t>
            </w:r>
          </w:p>
          <w:p w:rsidR="006F79E1" w:rsidRPr="001D2C64" w:rsidRDefault="006F79E1" w:rsidP="00D72D78">
            <w:pPr>
              <w:spacing w:after="0" w:line="240" w:lineRule="auto"/>
              <w:jc w:val="both"/>
              <w:rPr>
                <w:rFonts w:ascii="Tahoma" w:hAnsi="Tahoma" w:cs="Tahoma"/>
                <w:b/>
                <w:bCs/>
                <w:sz w:val="24"/>
                <w:szCs w:val="24"/>
              </w:rPr>
            </w:pPr>
          </w:p>
          <w:p w:rsidR="00AE0F16" w:rsidRDefault="00AE0F16" w:rsidP="00AE0F16">
            <w:pPr>
              <w:jc w:val="both"/>
              <w:rPr>
                <w:rFonts w:ascii="Tahoma" w:hAnsi="Tahoma" w:cs="Tahoma"/>
                <w:i/>
                <w:iCs/>
                <w:color w:val="000000"/>
                <w:sz w:val="24"/>
                <w:szCs w:val="24"/>
                <w:lang w:eastAsia="es-CR"/>
              </w:rPr>
            </w:pPr>
            <w:r>
              <w:rPr>
                <w:rFonts w:ascii="Tahoma" w:hAnsi="Tahoma" w:cs="Tahoma"/>
                <w:i/>
                <w:iCs/>
                <w:color w:val="000000"/>
                <w:sz w:val="24"/>
                <w:szCs w:val="24"/>
                <w:lang w:eastAsia="es-CR"/>
              </w:rPr>
              <w:t>Circular N° 254-2020 “Protocolos que se requieren con motivo del abordaje de la emergencia nacional presentada por COVID-19.”</w:t>
            </w:r>
          </w:p>
          <w:p w:rsidR="00AE0F16" w:rsidRPr="001D2C64" w:rsidRDefault="00AE0F16" w:rsidP="00D72D78">
            <w:pPr>
              <w:spacing w:after="0" w:line="240" w:lineRule="auto"/>
              <w:jc w:val="both"/>
              <w:rPr>
                <w:rFonts w:ascii="Tahoma" w:hAnsi="Tahoma" w:cs="Tahoma"/>
                <w:b/>
                <w:bCs/>
                <w:sz w:val="24"/>
                <w:szCs w:val="24"/>
              </w:rPr>
            </w:pPr>
          </w:p>
          <w:p w:rsidR="006F79E1" w:rsidRDefault="00F96C2D" w:rsidP="00D72D78">
            <w:pPr>
              <w:spacing w:after="0" w:line="240" w:lineRule="auto"/>
              <w:jc w:val="center"/>
            </w:pPr>
            <w:r w:rsidRPr="001D2C64">
              <w:rPr>
                <w:rFonts w:ascii="Tahoma" w:hAnsi="Tahoma" w:cs="Tahoma"/>
                <w:sz w:val="24"/>
                <w:szCs w:val="24"/>
              </w:rPr>
              <w:object w:dxaOrig="2117" w:dyaOrig="1383" w14:anchorId="4A7900F7">
                <v:shape id="_x0000_i1048" type="#_x0000_t75" style="width:105.75pt;height:69pt" o:ole="">
                  <v:imagedata r:id="rId50" o:title=""/>
                </v:shape>
                <o:OLEObject Type="Embed" ProgID="Word.Document.12" ShapeID="_x0000_i1048" DrawAspect="Icon" ObjectID="_1672117964" r:id="rId71">
                  <o:FieldCodes>\s</o:FieldCodes>
                </o:OLEObject>
              </w:object>
            </w:r>
            <w:r w:rsidR="00AE0F16" w:rsidRPr="00AE0F16">
              <w:t xml:space="preserve"> </w:t>
            </w:r>
            <w:r w:rsidR="00AE0F16" w:rsidRPr="00AE0F16">
              <w:object w:dxaOrig="1500" w:dyaOrig="975" w14:anchorId="1F26E956">
                <v:shape id="_x0000_i1049" type="#_x0000_t75" style="width:75pt;height:48.75pt" o:ole="">
                  <v:imagedata r:id="rId22" o:title=""/>
                </v:shape>
                <o:OLEObject Type="Embed" ProgID="Word.Document.12" ShapeID="_x0000_i1049" DrawAspect="Icon" ObjectID="_1672117965" r:id="rId72">
                  <o:FieldCodes>\s</o:FieldCodes>
                </o:OLEObject>
              </w:object>
            </w:r>
          </w:p>
          <w:p w:rsidR="00AE0F16" w:rsidRPr="001D2C64" w:rsidRDefault="00AE0F16" w:rsidP="00D72D78">
            <w:pPr>
              <w:spacing w:after="0" w:line="240" w:lineRule="auto"/>
              <w:jc w:val="center"/>
              <w:rPr>
                <w:rFonts w:ascii="Tahoma" w:hAnsi="Tahoma" w:cs="Tahoma"/>
                <w:sz w:val="24"/>
                <w:szCs w:val="24"/>
              </w:rPr>
            </w:pPr>
            <w:r w:rsidRPr="00AE0F16">
              <w:object w:dxaOrig="1500" w:dyaOrig="975" w14:anchorId="32D24768">
                <v:shape id="_x0000_i1050" type="#_x0000_t75" style="width:75pt;height:48.75pt" o:ole="">
                  <v:imagedata r:id="rId73" o:title=""/>
                </v:shape>
                <o:OLEObject Type="Embed" ProgID="Word.Document.12" ShapeID="_x0000_i1050" DrawAspect="Icon" ObjectID="_1672117966" r:id="rId74">
                  <o:FieldCodes>\s</o:FieldCodes>
                </o:OLEObject>
              </w:object>
            </w:r>
          </w:p>
        </w:tc>
        <w:tc>
          <w:tcPr>
            <w:tcW w:w="5377" w:type="dxa"/>
            <w:shd w:val="clear" w:color="auto" w:fill="auto"/>
          </w:tcPr>
          <w:p w:rsidR="00631270" w:rsidRPr="001D2C64" w:rsidRDefault="00631270" w:rsidP="00D72D78">
            <w:pPr>
              <w:spacing w:after="0" w:line="240" w:lineRule="auto"/>
              <w:jc w:val="both"/>
              <w:rPr>
                <w:rFonts w:ascii="Tahoma" w:hAnsi="Tahoma" w:cs="Tahoma"/>
                <w:sz w:val="24"/>
                <w:szCs w:val="24"/>
              </w:rPr>
            </w:pPr>
          </w:p>
          <w:p w:rsidR="00631270" w:rsidRPr="001D2C64" w:rsidRDefault="00631270" w:rsidP="00D72D78">
            <w:pPr>
              <w:spacing w:after="0" w:line="240" w:lineRule="auto"/>
              <w:jc w:val="both"/>
              <w:rPr>
                <w:rFonts w:ascii="Tahoma" w:hAnsi="Tahoma" w:cs="Tahoma"/>
                <w:sz w:val="24"/>
                <w:szCs w:val="24"/>
              </w:rPr>
            </w:pPr>
          </w:p>
          <w:p w:rsidR="006F79E1" w:rsidRPr="001D2C64" w:rsidRDefault="006F79E1" w:rsidP="00D72D78">
            <w:pPr>
              <w:spacing w:after="0" w:line="240" w:lineRule="auto"/>
              <w:jc w:val="both"/>
              <w:rPr>
                <w:rFonts w:ascii="Tahoma" w:hAnsi="Tahoma" w:cs="Tahoma"/>
                <w:sz w:val="24"/>
                <w:szCs w:val="24"/>
              </w:rPr>
            </w:pPr>
            <w:r w:rsidRPr="001D2C64">
              <w:rPr>
                <w:rFonts w:ascii="Tahoma" w:hAnsi="Tahoma" w:cs="Tahoma"/>
                <w:sz w:val="24"/>
                <w:szCs w:val="24"/>
              </w:rPr>
              <w:t xml:space="preserve">La jurisdicción laboral mantendrá la modalidad del teletrabajo </w:t>
            </w:r>
            <w:r w:rsidR="002156DF" w:rsidRPr="001D2C64">
              <w:rPr>
                <w:rFonts w:ascii="Tahoma" w:hAnsi="Tahoma" w:cs="Tahoma"/>
                <w:sz w:val="24"/>
                <w:szCs w:val="24"/>
              </w:rPr>
              <w:t xml:space="preserve">para brindar los </w:t>
            </w:r>
            <w:r w:rsidR="002156DF" w:rsidRPr="001D2C64">
              <w:rPr>
                <w:rFonts w:ascii="Tahoma" w:hAnsi="Tahoma" w:cs="Tahoma"/>
                <w:sz w:val="24"/>
                <w:szCs w:val="24"/>
                <w:u w:val="single"/>
              </w:rPr>
              <w:t>servicios esenciales mínimos</w:t>
            </w:r>
            <w:r w:rsidR="002156DF" w:rsidRPr="001D2C64">
              <w:rPr>
                <w:rFonts w:ascii="Tahoma" w:hAnsi="Tahoma" w:cs="Tahoma"/>
                <w:sz w:val="24"/>
                <w:szCs w:val="24"/>
              </w:rPr>
              <w:t xml:space="preserve"> </w:t>
            </w:r>
            <w:r w:rsidRPr="001D2C64">
              <w:rPr>
                <w:rFonts w:ascii="Tahoma" w:hAnsi="Tahoma" w:cs="Tahoma"/>
                <w:sz w:val="24"/>
                <w:szCs w:val="24"/>
              </w:rPr>
              <w:t xml:space="preserve">de la siguiente manera: </w:t>
            </w:r>
          </w:p>
          <w:p w:rsidR="006F79E1" w:rsidRPr="001D2C64" w:rsidRDefault="006F79E1" w:rsidP="00D72D78">
            <w:pPr>
              <w:spacing w:after="0" w:line="240" w:lineRule="auto"/>
              <w:jc w:val="both"/>
              <w:rPr>
                <w:rFonts w:ascii="Tahoma" w:hAnsi="Tahoma" w:cs="Tahoma"/>
                <w:sz w:val="24"/>
                <w:szCs w:val="24"/>
              </w:rPr>
            </w:pPr>
          </w:p>
          <w:p w:rsidR="001419DE" w:rsidRPr="001D2C64" w:rsidRDefault="001419DE" w:rsidP="00D72D78">
            <w:pPr>
              <w:spacing w:after="0" w:line="240" w:lineRule="auto"/>
              <w:jc w:val="both"/>
              <w:rPr>
                <w:rFonts w:ascii="Tahoma" w:hAnsi="Tahoma" w:cs="Tahoma"/>
                <w:sz w:val="24"/>
                <w:szCs w:val="24"/>
              </w:rPr>
            </w:pPr>
            <w:r w:rsidRPr="001D2C64">
              <w:rPr>
                <w:rFonts w:ascii="Tahoma" w:hAnsi="Tahoma" w:cs="Tahoma"/>
                <w:sz w:val="24"/>
                <w:szCs w:val="24"/>
              </w:rPr>
              <w:t xml:space="preserve">La Jurisdicción mantendrá la modalidad de teletrabajo siempre y cuando </w:t>
            </w:r>
            <w:r w:rsidR="002B2E5E" w:rsidRPr="001D2C64">
              <w:rPr>
                <w:rFonts w:ascii="Tahoma" w:hAnsi="Tahoma" w:cs="Tahoma"/>
                <w:sz w:val="24"/>
                <w:szCs w:val="24"/>
              </w:rPr>
              <w:t>cuente con las condiciones para realizar esta modalidad y el personal que no cuente con ellas deberá acogerse a lo dispuesto por l</w:t>
            </w:r>
            <w:r w:rsidR="00E6080E" w:rsidRPr="001D2C64">
              <w:rPr>
                <w:rFonts w:ascii="Tahoma" w:hAnsi="Tahoma" w:cs="Tahoma"/>
                <w:sz w:val="24"/>
                <w:szCs w:val="24"/>
              </w:rPr>
              <w:t>os Órganos Superiores</w:t>
            </w:r>
            <w:r w:rsidR="002B2E5E" w:rsidRPr="001D2C64">
              <w:rPr>
                <w:rFonts w:ascii="Tahoma" w:hAnsi="Tahoma" w:cs="Tahoma"/>
                <w:sz w:val="24"/>
                <w:szCs w:val="24"/>
              </w:rPr>
              <w:t xml:space="preserve">. </w:t>
            </w:r>
          </w:p>
          <w:p w:rsidR="006F79E1" w:rsidRPr="001D2C64" w:rsidRDefault="006F79E1" w:rsidP="00D72D78">
            <w:pPr>
              <w:spacing w:after="0" w:line="240" w:lineRule="auto"/>
              <w:jc w:val="both"/>
              <w:rPr>
                <w:rFonts w:ascii="Tahoma" w:hAnsi="Tahoma" w:cs="Tahoma"/>
                <w:sz w:val="24"/>
                <w:szCs w:val="24"/>
              </w:rPr>
            </w:pPr>
          </w:p>
          <w:p w:rsidR="006F79E1" w:rsidRPr="001D2C64" w:rsidRDefault="006F79E1" w:rsidP="00D72D78">
            <w:pPr>
              <w:spacing w:after="0" w:line="240" w:lineRule="auto"/>
              <w:jc w:val="both"/>
              <w:rPr>
                <w:rFonts w:ascii="Tahoma" w:hAnsi="Tahoma" w:cs="Tahoma"/>
                <w:sz w:val="24"/>
                <w:szCs w:val="24"/>
              </w:rPr>
            </w:pPr>
          </w:p>
          <w:p w:rsidR="006F79E1" w:rsidRPr="001D2C64" w:rsidRDefault="006F79E1" w:rsidP="00D72D78">
            <w:pPr>
              <w:spacing w:after="0" w:line="240" w:lineRule="auto"/>
              <w:jc w:val="both"/>
              <w:rPr>
                <w:rFonts w:ascii="Tahoma" w:hAnsi="Tahoma" w:cs="Tahoma"/>
                <w:sz w:val="24"/>
                <w:szCs w:val="24"/>
              </w:rPr>
            </w:pPr>
            <w:r w:rsidRPr="001D2C64">
              <w:rPr>
                <w:rFonts w:ascii="Tahoma" w:hAnsi="Tahoma" w:cs="Tahoma"/>
                <w:sz w:val="24"/>
                <w:szCs w:val="24"/>
              </w:rPr>
              <w:t xml:space="preserve">Asuntos que deberán atenderse como </w:t>
            </w:r>
            <w:r w:rsidRPr="001D2C64">
              <w:rPr>
                <w:rFonts w:ascii="Tahoma" w:hAnsi="Tahoma" w:cs="Tahoma"/>
                <w:sz w:val="24"/>
                <w:szCs w:val="24"/>
                <w:u w:val="single"/>
              </w:rPr>
              <w:t>servicios esenciales mínimos</w:t>
            </w:r>
            <w:r w:rsidRPr="001D2C64">
              <w:rPr>
                <w:rFonts w:ascii="Tahoma" w:hAnsi="Tahoma" w:cs="Tahoma"/>
                <w:sz w:val="24"/>
                <w:szCs w:val="24"/>
              </w:rPr>
              <w:t>:</w:t>
            </w:r>
          </w:p>
          <w:p w:rsidR="006F79E1" w:rsidRPr="001D2C64" w:rsidRDefault="006F79E1" w:rsidP="00D72D78">
            <w:pPr>
              <w:spacing w:after="0" w:line="240" w:lineRule="auto"/>
              <w:jc w:val="both"/>
              <w:rPr>
                <w:rFonts w:ascii="Tahoma" w:hAnsi="Tahoma" w:cs="Tahoma"/>
                <w:sz w:val="24"/>
                <w:szCs w:val="24"/>
              </w:rPr>
            </w:pPr>
          </w:p>
          <w:p w:rsidR="006F79E1" w:rsidRPr="001D2C64" w:rsidRDefault="006F79E1" w:rsidP="00D72D78">
            <w:pPr>
              <w:pStyle w:val="Prrafodelista"/>
              <w:numPr>
                <w:ilvl w:val="0"/>
                <w:numId w:val="21"/>
              </w:numPr>
              <w:spacing w:after="0" w:line="240" w:lineRule="auto"/>
              <w:jc w:val="both"/>
              <w:rPr>
                <w:rFonts w:ascii="Tahoma" w:hAnsi="Tahoma" w:cs="Tahoma"/>
                <w:sz w:val="24"/>
                <w:szCs w:val="24"/>
              </w:rPr>
            </w:pPr>
            <w:r w:rsidRPr="001D2C64">
              <w:rPr>
                <w:rFonts w:ascii="Tahoma" w:hAnsi="Tahoma" w:cs="Tahoma"/>
                <w:sz w:val="24"/>
                <w:szCs w:val="24"/>
              </w:rPr>
              <w:t>Todo lo relacionado con medidas cautelares</w:t>
            </w:r>
            <w:r w:rsidR="00AC4450" w:rsidRPr="001D2C64">
              <w:rPr>
                <w:rFonts w:ascii="Tahoma" w:hAnsi="Tahoma" w:cs="Tahoma"/>
                <w:sz w:val="24"/>
                <w:szCs w:val="24"/>
              </w:rPr>
              <w:t xml:space="preserve"> de conformidad con el artículo 572 del Código de Trabajo</w:t>
            </w:r>
            <w:r w:rsidRPr="001D2C64">
              <w:rPr>
                <w:rFonts w:ascii="Tahoma" w:hAnsi="Tahoma" w:cs="Tahoma"/>
                <w:sz w:val="24"/>
                <w:szCs w:val="24"/>
              </w:rPr>
              <w:t xml:space="preserve"> (si se requiriera evacuar prueba para resolver la medida, necesariamente la audiencia tendría que ser virtual). </w:t>
            </w:r>
          </w:p>
          <w:p w:rsidR="006F79E1" w:rsidRPr="001D2C64" w:rsidRDefault="006F79E1" w:rsidP="00D72D78">
            <w:pPr>
              <w:pStyle w:val="Prrafodelista"/>
              <w:spacing w:after="0" w:line="240" w:lineRule="auto"/>
              <w:jc w:val="both"/>
              <w:rPr>
                <w:rFonts w:ascii="Tahoma" w:hAnsi="Tahoma" w:cs="Tahoma"/>
                <w:sz w:val="24"/>
                <w:szCs w:val="24"/>
              </w:rPr>
            </w:pPr>
          </w:p>
          <w:p w:rsidR="006F79E1" w:rsidRPr="001D2C64" w:rsidRDefault="006F79E1" w:rsidP="00D72D78">
            <w:pPr>
              <w:pStyle w:val="Prrafodelista"/>
              <w:numPr>
                <w:ilvl w:val="0"/>
                <w:numId w:val="21"/>
              </w:numPr>
              <w:spacing w:after="0" w:line="240" w:lineRule="auto"/>
              <w:jc w:val="both"/>
              <w:rPr>
                <w:rFonts w:ascii="Tahoma" w:hAnsi="Tahoma" w:cs="Tahoma"/>
                <w:sz w:val="24"/>
                <w:szCs w:val="24"/>
              </w:rPr>
            </w:pPr>
            <w:r w:rsidRPr="001D2C64">
              <w:rPr>
                <w:rFonts w:ascii="Tahoma" w:hAnsi="Tahoma" w:cs="Tahoma"/>
                <w:sz w:val="24"/>
                <w:szCs w:val="24"/>
              </w:rPr>
              <w:t>Atención de demandas y escritos (por medio de las Oficinas de Recepción de Documentos que permanecen abiertas al público, se continúa con la recepción de demandas y escritos, así como documentos a través de gestión en línea y de la Defensa Social Laboral)</w:t>
            </w:r>
            <w:r w:rsidR="00A1494E" w:rsidRPr="001D2C64">
              <w:rPr>
                <w:rFonts w:ascii="Tahoma" w:hAnsi="Tahoma" w:cs="Tahoma"/>
                <w:sz w:val="24"/>
                <w:szCs w:val="24"/>
              </w:rPr>
              <w:t>.</w:t>
            </w:r>
          </w:p>
          <w:p w:rsidR="00B26758" w:rsidRPr="001D2C64" w:rsidRDefault="00B26758" w:rsidP="00D72D78">
            <w:pPr>
              <w:pStyle w:val="Prrafodelista"/>
              <w:spacing w:after="0" w:line="240" w:lineRule="auto"/>
              <w:rPr>
                <w:rFonts w:ascii="Tahoma" w:hAnsi="Tahoma" w:cs="Tahoma"/>
                <w:sz w:val="24"/>
                <w:szCs w:val="24"/>
              </w:rPr>
            </w:pPr>
          </w:p>
          <w:p w:rsidR="006F79E1" w:rsidRPr="001D2C64" w:rsidRDefault="006F79E1" w:rsidP="00D72D78">
            <w:pPr>
              <w:pStyle w:val="Prrafodelista"/>
              <w:numPr>
                <w:ilvl w:val="0"/>
                <w:numId w:val="21"/>
              </w:numPr>
              <w:spacing w:after="0" w:line="240" w:lineRule="auto"/>
              <w:jc w:val="both"/>
              <w:rPr>
                <w:rFonts w:ascii="Tahoma" w:hAnsi="Tahoma" w:cs="Tahoma"/>
                <w:sz w:val="24"/>
                <w:szCs w:val="24"/>
              </w:rPr>
            </w:pPr>
            <w:r w:rsidRPr="001D2C64">
              <w:rPr>
                <w:rFonts w:ascii="Tahoma" w:hAnsi="Tahoma" w:cs="Tahoma"/>
                <w:sz w:val="24"/>
                <w:szCs w:val="24"/>
              </w:rPr>
              <w:t>Giros de dinero.</w:t>
            </w:r>
          </w:p>
          <w:p w:rsidR="00B26758" w:rsidRPr="001D2C64" w:rsidRDefault="00B26758" w:rsidP="00D72D78">
            <w:pPr>
              <w:spacing w:after="0" w:line="240" w:lineRule="auto"/>
              <w:jc w:val="both"/>
              <w:rPr>
                <w:rFonts w:ascii="Tahoma" w:hAnsi="Tahoma" w:cs="Tahoma"/>
                <w:sz w:val="24"/>
                <w:szCs w:val="24"/>
              </w:rPr>
            </w:pPr>
          </w:p>
          <w:p w:rsidR="006F79E1" w:rsidRPr="001D2C64" w:rsidRDefault="006F79E1" w:rsidP="00D72D78">
            <w:pPr>
              <w:pStyle w:val="Prrafodelista"/>
              <w:numPr>
                <w:ilvl w:val="0"/>
                <w:numId w:val="21"/>
              </w:numPr>
              <w:spacing w:after="0" w:line="240" w:lineRule="auto"/>
              <w:jc w:val="both"/>
              <w:rPr>
                <w:rFonts w:ascii="Tahoma" w:hAnsi="Tahoma" w:cs="Tahoma"/>
                <w:sz w:val="24"/>
                <w:szCs w:val="24"/>
              </w:rPr>
            </w:pPr>
            <w:r w:rsidRPr="001D2C64">
              <w:rPr>
                <w:rFonts w:ascii="Tahoma" w:hAnsi="Tahoma" w:cs="Tahoma"/>
                <w:sz w:val="24"/>
                <w:szCs w:val="24"/>
              </w:rPr>
              <w:t xml:space="preserve">Cualquier otra situación de urgencia a criterio de los Jueces/as Coordinadores/as. </w:t>
            </w:r>
          </w:p>
          <w:p w:rsidR="00B26758" w:rsidRPr="001D2C64" w:rsidRDefault="00B26758" w:rsidP="00D72D78">
            <w:pPr>
              <w:pStyle w:val="Prrafodelista"/>
              <w:spacing w:after="0" w:line="240" w:lineRule="auto"/>
              <w:rPr>
                <w:rFonts w:ascii="Tahoma" w:hAnsi="Tahoma" w:cs="Tahoma"/>
                <w:sz w:val="24"/>
                <w:szCs w:val="24"/>
              </w:rPr>
            </w:pPr>
          </w:p>
          <w:p w:rsidR="000A45AC" w:rsidRPr="001D2C64" w:rsidRDefault="00B26758" w:rsidP="00D72D78">
            <w:pPr>
              <w:pStyle w:val="Prrafodelista"/>
              <w:numPr>
                <w:ilvl w:val="0"/>
                <w:numId w:val="21"/>
              </w:numPr>
              <w:spacing w:after="0" w:line="240" w:lineRule="auto"/>
              <w:jc w:val="both"/>
              <w:rPr>
                <w:rFonts w:ascii="Tahoma" w:hAnsi="Tahoma" w:cs="Tahoma"/>
                <w:sz w:val="24"/>
                <w:szCs w:val="24"/>
              </w:rPr>
            </w:pPr>
            <w:r w:rsidRPr="001D2C64">
              <w:rPr>
                <w:rFonts w:ascii="Tahoma" w:hAnsi="Tahoma" w:cs="Tahoma"/>
                <w:sz w:val="24"/>
                <w:szCs w:val="24"/>
              </w:rPr>
              <w:t>Audiencias 100 por ciento virtuales</w:t>
            </w:r>
            <w:r w:rsidR="000A45AC" w:rsidRPr="001D2C64">
              <w:rPr>
                <w:rFonts w:ascii="Tahoma" w:hAnsi="Tahoma" w:cs="Tahoma"/>
                <w:sz w:val="24"/>
                <w:szCs w:val="24"/>
              </w:rPr>
              <w:t>. Para l</w:t>
            </w:r>
            <w:r w:rsidR="000A518C" w:rsidRPr="001D2C64">
              <w:rPr>
                <w:rFonts w:ascii="Tahoma" w:hAnsi="Tahoma" w:cs="Tahoma"/>
                <w:sz w:val="24"/>
                <w:szCs w:val="24"/>
              </w:rPr>
              <w:t xml:space="preserve">a realización de </w:t>
            </w:r>
            <w:r w:rsidR="00BA5DA3" w:rsidRPr="001D2C64">
              <w:rPr>
                <w:rFonts w:ascii="Tahoma" w:hAnsi="Tahoma" w:cs="Tahoma"/>
                <w:sz w:val="24"/>
                <w:szCs w:val="24"/>
              </w:rPr>
              <w:t>estas</w:t>
            </w:r>
            <w:r w:rsidR="000A45AC" w:rsidRPr="001D2C64">
              <w:rPr>
                <w:rFonts w:ascii="Tahoma" w:hAnsi="Tahoma" w:cs="Tahoma"/>
                <w:sz w:val="24"/>
                <w:szCs w:val="24"/>
              </w:rPr>
              <w:t xml:space="preserve">, rige el </w:t>
            </w:r>
            <w:r w:rsidR="00A34538" w:rsidRPr="001D2C64">
              <w:rPr>
                <w:rFonts w:ascii="Tahoma" w:hAnsi="Tahoma" w:cs="Tahoma"/>
                <w:sz w:val="24"/>
                <w:szCs w:val="24"/>
              </w:rPr>
              <w:t xml:space="preserve">protocolo y </w:t>
            </w:r>
            <w:r w:rsidR="000A45AC" w:rsidRPr="001D2C64">
              <w:rPr>
                <w:rFonts w:ascii="Tahoma" w:hAnsi="Tahoma" w:cs="Tahoma"/>
                <w:sz w:val="24"/>
                <w:szCs w:val="24"/>
              </w:rPr>
              <w:t xml:space="preserve">el </w:t>
            </w:r>
            <w:r w:rsidR="00A34538" w:rsidRPr="001D2C64">
              <w:rPr>
                <w:rFonts w:ascii="Tahoma" w:hAnsi="Tahoma" w:cs="Tahoma"/>
                <w:sz w:val="24"/>
                <w:szCs w:val="24"/>
              </w:rPr>
              <w:t xml:space="preserve">proyecto </w:t>
            </w:r>
            <w:r w:rsidR="000A45AC" w:rsidRPr="001D2C64">
              <w:rPr>
                <w:rFonts w:ascii="Tahoma" w:hAnsi="Tahoma" w:cs="Tahoma"/>
                <w:sz w:val="24"/>
                <w:szCs w:val="24"/>
              </w:rPr>
              <w:t>para</w:t>
            </w:r>
            <w:r w:rsidR="00A34538" w:rsidRPr="001D2C64">
              <w:rPr>
                <w:rFonts w:ascii="Tahoma" w:hAnsi="Tahoma" w:cs="Tahoma"/>
                <w:sz w:val="24"/>
                <w:szCs w:val="24"/>
              </w:rPr>
              <w:t xml:space="preserve"> audiencias virtuales aprobado por Corte Plena.</w:t>
            </w:r>
          </w:p>
          <w:p w:rsidR="006F79E1" w:rsidRPr="001D2C64" w:rsidRDefault="006F79E1" w:rsidP="00D72D78">
            <w:pPr>
              <w:spacing w:after="0" w:line="240" w:lineRule="auto"/>
              <w:jc w:val="both"/>
              <w:rPr>
                <w:rFonts w:ascii="Tahoma" w:hAnsi="Tahoma" w:cs="Tahoma"/>
                <w:sz w:val="24"/>
                <w:szCs w:val="24"/>
              </w:rPr>
            </w:pPr>
          </w:p>
          <w:p w:rsidR="006F79E1" w:rsidRPr="001D2C64" w:rsidRDefault="006F79E1" w:rsidP="00D72D78">
            <w:pPr>
              <w:spacing w:after="0" w:line="240" w:lineRule="auto"/>
              <w:jc w:val="both"/>
              <w:rPr>
                <w:rFonts w:ascii="Tahoma" w:hAnsi="Tahoma" w:cs="Tahoma"/>
                <w:sz w:val="24"/>
                <w:szCs w:val="24"/>
              </w:rPr>
            </w:pPr>
            <w:r w:rsidRPr="001D2C64">
              <w:rPr>
                <w:rFonts w:ascii="Tahoma" w:hAnsi="Tahoma" w:cs="Tahoma"/>
                <w:sz w:val="24"/>
                <w:szCs w:val="24"/>
              </w:rPr>
              <w:t xml:space="preserve">Se suspende la realización de audiencias </w:t>
            </w:r>
            <w:r w:rsidR="00E4094B" w:rsidRPr="001D2C64">
              <w:rPr>
                <w:rFonts w:ascii="Tahoma" w:hAnsi="Tahoma" w:cs="Tahoma"/>
                <w:sz w:val="24"/>
                <w:szCs w:val="24"/>
              </w:rPr>
              <w:t>híbridas</w:t>
            </w:r>
            <w:r w:rsidR="0079642A" w:rsidRPr="001D2C64">
              <w:rPr>
                <w:rFonts w:ascii="Tahoma" w:hAnsi="Tahoma" w:cs="Tahoma"/>
                <w:sz w:val="24"/>
                <w:szCs w:val="24"/>
              </w:rPr>
              <w:t xml:space="preserve"> y presenciales</w:t>
            </w:r>
            <w:r w:rsidRPr="001D2C64">
              <w:rPr>
                <w:rFonts w:ascii="Tahoma" w:hAnsi="Tahoma" w:cs="Tahoma"/>
                <w:sz w:val="24"/>
                <w:szCs w:val="24"/>
              </w:rPr>
              <w:t>.</w:t>
            </w:r>
            <w:r w:rsidR="00881FF4" w:rsidRPr="001D2C64">
              <w:rPr>
                <w:rFonts w:ascii="Tahoma" w:hAnsi="Tahoma" w:cs="Tahoma"/>
                <w:sz w:val="24"/>
                <w:szCs w:val="24"/>
              </w:rPr>
              <w:t xml:space="preserve"> </w:t>
            </w:r>
          </w:p>
          <w:p w:rsidR="00B26758" w:rsidRPr="001D2C64" w:rsidRDefault="00B26758" w:rsidP="00D72D78">
            <w:pPr>
              <w:spacing w:after="0" w:line="240" w:lineRule="auto"/>
              <w:jc w:val="both"/>
              <w:rPr>
                <w:rFonts w:ascii="Tahoma" w:hAnsi="Tahoma" w:cs="Tahoma"/>
                <w:sz w:val="24"/>
                <w:szCs w:val="24"/>
              </w:rPr>
            </w:pPr>
          </w:p>
          <w:p w:rsidR="00B26758" w:rsidRPr="001D2C64" w:rsidRDefault="00B26758" w:rsidP="00D72D78">
            <w:pPr>
              <w:spacing w:after="0" w:line="240" w:lineRule="auto"/>
              <w:jc w:val="both"/>
              <w:rPr>
                <w:rFonts w:ascii="Tahoma" w:hAnsi="Tahoma" w:cs="Tahoma"/>
                <w:sz w:val="24"/>
                <w:szCs w:val="24"/>
              </w:rPr>
            </w:pPr>
            <w:r w:rsidRPr="001D2C64">
              <w:rPr>
                <w:rFonts w:ascii="Tahoma" w:hAnsi="Tahoma" w:cs="Tahoma"/>
                <w:sz w:val="24"/>
                <w:szCs w:val="24"/>
              </w:rPr>
              <w:t>Finalmente, se continúa con la resolución de recursos de apelación en los Tribunales de alzada de manera ordinaria.</w:t>
            </w:r>
          </w:p>
          <w:p w:rsidR="00B26758" w:rsidRDefault="00B26758" w:rsidP="00D72D78">
            <w:pPr>
              <w:spacing w:after="0" w:line="240" w:lineRule="auto"/>
              <w:jc w:val="both"/>
              <w:rPr>
                <w:rFonts w:ascii="Tahoma" w:hAnsi="Tahoma" w:cs="Tahoma"/>
                <w:sz w:val="24"/>
                <w:szCs w:val="24"/>
              </w:rPr>
            </w:pPr>
          </w:p>
          <w:p w:rsidR="006F79E1" w:rsidRPr="00920CB0" w:rsidRDefault="00920CB0" w:rsidP="00920CB0">
            <w:pPr>
              <w:jc w:val="both"/>
              <w:rPr>
                <w:rFonts w:ascii="Tahoma" w:eastAsia="Times New Roman" w:hAnsi="Tahoma" w:cs="Tahoma"/>
                <w:sz w:val="24"/>
                <w:szCs w:val="24"/>
                <w:lang w:eastAsia="es-CR"/>
              </w:rPr>
            </w:pPr>
            <w:r>
              <w:rPr>
                <w:rFonts w:ascii="Tahoma" w:eastAsia="Times New Roman" w:hAnsi="Tahoma" w:cs="Tahoma"/>
                <w:sz w:val="24"/>
                <w:szCs w:val="24"/>
                <w:lang w:eastAsia="es-CR"/>
              </w:rPr>
              <w:t xml:space="preserve">Las acciones aprobadas por la Jurisdicción en esta alerta quedan sujetas a cambios posteriores conforme a las medidas que eventualmente dispongan los Órganos Superiores. </w:t>
            </w:r>
          </w:p>
        </w:tc>
      </w:tr>
      <w:bookmarkEnd w:id="0"/>
    </w:tbl>
    <w:p w:rsidR="006F7529" w:rsidRPr="001D2C64" w:rsidRDefault="006F7529" w:rsidP="00CD3574">
      <w:pPr>
        <w:autoSpaceDE w:val="0"/>
        <w:autoSpaceDN w:val="0"/>
        <w:adjustRightInd w:val="0"/>
        <w:spacing w:after="0" w:line="240" w:lineRule="auto"/>
        <w:jc w:val="both"/>
        <w:rPr>
          <w:rFonts w:ascii="Tahoma" w:eastAsia="Times New Roman" w:hAnsi="Tahoma" w:cs="Tahoma"/>
          <w:color w:val="000000"/>
          <w:sz w:val="24"/>
          <w:szCs w:val="24"/>
          <w:lang w:eastAsia="es-CR"/>
        </w:rPr>
      </w:pPr>
    </w:p>
    <w:sectPr w:rsidR="006F7529" w:rsidRPr="001D2C64" w:rsidSect="00897762">
      <w:headerReference w:type="default" r:id="rId75"/>
      <w:footerReference w:type="default" r:id="rId76"/>
      <w:pgSz w:w="12240" w:h="15840"/>
      <w:pgMar w:top="1418" w:right="1701" w:bottom="1418" w:left="1701" w:header="45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526BB" w:rsidRDefault="00A526BB" w:rsidP="0078241B">
      <w:pPr>
        <w:spacing w:after="0" w:line="240" w:lineRule="auto"/>
      </w:pPr>
      <w:r>
        <w:separator/>
      </w:r>
    </w:p>
  </w:endnote>
  <w:endnote w:type="continuationSeparator" w:id="0">
    <w:p w:rsidR="00A526BB" w:rsidRDefault="00A526BB" w:rsidP="00782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94353" w:rsidRPr="003B0DD6" w:rsidRDefault="00E022F2" w:rsidP="003B0DD6">
    <w:pPr>
      <w:jc w:val="center"/>
      <w:rPr>
        <w:lang w:val="en-US"/>
      </w:rPr>
    </w:pPr>
    <w:r w:rsidRPr="000617D6">
      <w:rPr>
        <w:rFonts w:ascii="Calibri Light" w:eastAsia="Times New Roman" w:hAnsi="Calibri Light"/>
        <w:noProof/>
        <w:sz w:val="28"/>
        <w:szCs w:val="28"/>
        <w:lang w:val="en-US"/>
      </w:rPr>
      <mc:AlternateContent>
        <mc:Choice Requires="wps">
          <w:drawing>
            <wp:anchor distT="0" distB="0" distL="114300" distR="114300" simplePos="0" relativeHeight="251657728" behindDoc="0" locked="0" layoutInCell="1" allowOverlap="1" wp14:anchorId="4BBA9A19">
              <wp:simplePos x="0" y="0"/>
              <wp:positionH relativeFrom="page">
                <wp:posOffset>3248025</wp:posOffset>
              </wp:positionH>
              <wp:positionV relativeFrom="page">
                <wp:posOffset>9439275</wp:posOffset>
              </wp:positionV>
              <wp:extent cx="1282700" cy="343535"/>
              <wp:effectExtent l="28575" t="19050" r="22225" b="8890"/>
              <wp:wrapNone/>
              <wp:docPr id="1"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0617D6" w:rsidRPr="000617D6" w:rsidRDefault="000617D6">
                          <w:pPr>
                            <w:jc w:val="center"/>
                            <w:rPr>
                              <w:color w:val="4472C4"/>
                            </w:rPr>
                          </w:pPr>
                          <w:r>
                            <w:fldChar w:fldCharType="begin"/>
                          </w:r>
                          <w:r>
                            <w:instrText>PAGE    \* MERGEFORMAT</w:instrText>
                          </w:r>
                          <w:r>
                            <w:fldChar w:fldCharType="separate"/>
                          </w:r>
                          <w:r w:rsidRPr="000617D6">
                            <w:rPr>
                              <w:color w:val="4472C4"/>
                              <w:lang w:val="es-ES"/>
                            </w:rPr>
                            <w:t>2</w:t>
                          </w:r>
                          <w:r w:rsidRPr="000617D6">
                            <w:rPr>
                              <w:color w:val="4472C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BA9A19"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13" o:spid="_x0000_s1026" type="#_x0000_t107" style="position:absolute;left:0;text-align:left;margin-left:255.75pt;margin-top:743.25pt;width:101pt;height:27.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" filled="f" fillcolor="#17365d" strokecolor="#71a0dc">
              <v:textbox>
                <w:txbxContent>
                  <w:p w:rsidR="000617D6" w:rsidRPr="000617D6" w:rsidRDefault="000617D6">
                    <w:pPr>
                      <w:jc w:val="center"/>
                      <w:rPr>
                        <w:color w:val="4472C4"/>
                      </w:rPr>
                    </w:pPr>
                    <w:r>
                      <w:fldChar w:fldCharType="begin"/>
                    </w:r>
                    <w:r>
                      <w:instrText>PAGE    \* MERGEFORMAT</w:instrText>
                    </w:r>
                    <w:r>
                      <w:fldChar w:fldCharType="separate"/>
                    </w:r>
                    <w:r w:rsidRPr="000617D6">
                      <w:rPr>
                        <w:color w:val="4472C4"/>
                        <w:lang w:val="es-ES"/>
                      </w:rPr>
                      <w:t>2</w:t>
                    </w:r>
                    <w:r w:rsidRPr="000617D6">
                      <w:rPr>
                        <w:color w:val="4472C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526BB" w:rsidRDefault="00A526BB" w:rsidP="0078241B">
      <w:pPr>
        <w:spacing w:after="0" w:line="240" w:lineRule="auto"/>
      </w:pPr>
      <w:r>
        <w:separator/>
      </w:r>
    </w:p>
  </w:footnote>
  <w:footnote w:type="continuationSeparator" w:id="0">
    <w:p w:rsidR="00A526BB" w:rsidRDefault="00A526BB" w:rsidP="007824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94353" w:rsidRPr="003B7AE4" w:rsidRDefault="00194353" w:rsidP="003B7AE4">
    <w:pPr>
      <w:pStyle w:val="NormalWeb"/>
      <w:spacing w:before="0" w:beforeAutospacing="0" w:after="0"/>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5B5E4D"/>
    <w:multiLevelType w:val="hybridMultilevel"/>
    <w:tmpl w:val="702EEEF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19C95DE3"/>
    <w:multiLevelType w:val="multilevel"/>
    <w:tmpl w:val="2A080408"/>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1C841946"/>
    <w:multiLevelType w:val="hybridMultilevel"/>
    <w:tmpl w:val="6EE23BEA"/>
    <w:lvl w:ilvl="0" w:tplc="140A000F">
      <w:start w:val="1"/>
      <w:numFmt w:val="decimal"/>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3" w15:restartNumberingAfterBreak="0">
    <w:nsid w:val="235769D1"/>
    <w:multiLevelType w:val="multilevel"/>
    <w:tmpl w:val="BB400200"/>
    <w:lvl w:ilvl="0">
      <w:start w:val="1"/>
      <w:numFmt w:val="upperRoman"/>
      <w:lvlText w:val="%1."/>
      <w:lvlJc w:val="right"/>
      <w:pPr>
        <w:ind w:left="502" w:hanging="360"/>
      </w:pPr>
      <w:rPr>
        <w:b/>
      </w:rPr>
    </w:lvl>
    <w:lvl w:ilvl="1">
      <w:start w:val="1"/>
      <w:numFmt w:val="decimal"/>
      <w:isLgl/>
      <w:lvlText w:val="%1.%2"/>
      <w:lvlJc w:val="left"/>
      <w:pPr>
        <w:ind w:left="1637" w:hanging="360"/>
      </w:pPr>
      <w:rPr>
        <w:rFonts w:hint="default"/>
        <w:b w:val="0"/>
        <w:bCs/>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4" w15:restartNumberingAfterBreak="0">
    <w:nsid w:val="28503B65"/>
    <w:multiLevelType w:val="hybridMultilevel"/>
    <w:tmpl w:val="811C919C"/>
    <w:lvl w:ilvl="0" w:tplc="140A0001">
      <w:start w:val="1"/>
      <w:numFmt w:val="bullet"/>
      <w:lvlText w:val=""/>
      <w:lvlJc w:val="left"/>
      <w:pPr>
        <w:ind w:left="1428" w:hanging="360"/>
      </w:pPr>
      <w:rPr>
        <w:rFonts w:ascii="Symbol" w:hAnsi="Symbol"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5" w15:restartNumberingAfterBreak="0">
    <w:nsid w:val="2B407E17"/>
    <w:multiLevelType w:val="hybridMultilevel"/>
    <w:tmpl w:val="05667E02"/>
    <w:lvl w:ilvl="0" w:tplc="F6E0704C">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2D0E23F2"/>
    <w:multiLevelType w:val="hybridMultilevel"/>
    <w:tmpl w:val="039CF634"/>
    <w:lvl w:ilvl="0" w:tplc="140A0001">
      <w:start w:val="1"/>
      <w:numFmt w:val="bullet"/>
      <w:lvlText w:val=""/>
      <w:lvlJc w:val="left"/>
      <w:pPr>
        <w:ind w:left="1440" w:hanging="360"/>
      </w:pPr>
      <w:rPr>
        <w:rFonts w:ascii="Symbol" w:hAnsi="Symbol" w:cs="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cs="Wingdings" w:hint="default"/>
      </w:rPr>
    </w:lvl>
    <w:lvl w:ilvl="3" w:tplc="140A0001" w:tentative="1">
      <w:start w:val="1"/>
      <w:numFmt w:val="bullet"/>
      <w:lvlText w:val=""/>
      <w:lvlJc w:val="left"/>
      <w:pPr>
        <w:ind w:left="3600" w:hanging="360"/>
      </w:pPr>
      <w:rPr>
        <w:rFonts w:ascii="Symbol" w:hAnsi="Symbol" w:cs="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cs="Wingdings" w:hint="default"/>
      </w:rPr>
    </w:lvl>
    <w:lvl w:ilvl="6" w:tplc="140A0001" w:tentative="1">
      <w:start w:val="1"/>
      <w:numFmt w:val="bullet"/>
      <w:lvlText w:val=""/>
      <w:lvlJc w:val="left"/>
      <w:pPr>
        <w:ind w:left="5760" w:hanging="360"/>
      </w:pPr>
      <w:rPr>
        <w:rFonts w:ascii="Symbol" w:hAnsi="Symbol" w:cs="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cs="Wingdings" w:hint="default"/>
      </w:rPr>
    </w:lvl>
  </w:abstractNum>
  <w:abstractNum w:abstractNumId="7" w15:restartNumberingAfterBreak="0">
    <w:nsid w:val="2EED70FA"/>
    <w:multiLevelType w:val="hybridMultilevel"/>
    <w:tmpl w:val="BD0AD224"/>
    <w:lvl w:ilvl="0" w:tplc="2AA8C08E">
      <w:start w:val="1"/>
      <w:numFmt w:val="low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8" w15:restartNumberingAfterBreak="0">
    <w:nsid w:val="353560AE"/>
    <w:multiLevelType w:val="hybridMultilevel"/>
    <w:tmpl w:val="4B6CDA2C"/>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3DBD3BCB"/>
    <w:multiLevelType w:val="hybridMultilevel"/>
    <w:tmpl w:val="1A78D83A"/>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4AA85595"/>
    <w:multiLevelType w:val="hybridMultilevel"/>
    <w:tmpl w:val="17CEBC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4D1F531D"/>
    <w:multiLevelType w:val="hybridMultilevel"/>
    <w:tmpl w:val="C68EE852"/>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DEB045A"/>
    <w:multiLevelType w:val="hybridMultilevel"/>
    <w:tmpl w:val="A4A4A15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5094013A"/>
    <w:multiLevelType w:val="hybridMultilevel"/>
    <w:tmpl w:val="B4223216"/>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cs="Wingdings" w:hint="default"/>
      </w:rPr>
    </w:lvl>
    <w:lvl w:ilvl="3" w:tplc="140A0001" w:tentative="1">
      <w:start w:val="1"/>
      <w:numFmt w:val="bullet"/>
      <w:lvlText w:val=""/>
      <w:lvlJc w:val="left"/>
      <w:pPr>
        <w:ind w:left="2880" w:hanging="360"/>
      </w:pPr>
      <w:rPr>
        <w:rFonts w:ascii="Symbol" w:hAnsi="Symbol" w:cs="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cs="Wingdings" w:hint="default"/>
      </w:rPr>
    </w:lvl>
    <w:lvl w:ilvl="6" w:tplc="140A0001" w:tentative="1">
      <w:start w:val="1"/>
      <w:numFmt w:val="bullet"/>
      <w:lvlText w:val=""/>
      <w:lvlJc w:val="left"/>
      <w:pPr>
        <w:ind w:left="5040" w:hanging="360"/>
      </w:pPr>
      <w:rPr>
        <w:rFonts w:ascii="Symbol" w:hAnsi="Symbol" w:cs="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5BF46443"/>
    <w:multiLevelType w:val="hybridMultilevel"/>
    <w:tmpl w:val="2256AD4C"/>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5D0C53B1"/>
    <w:multiLevelType w:val="hybridMultilevel"/>
    <w:tmpl w:val="38B4D3CE"/>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65F713E2"/>
    <w:multiLevelType w:val="hybridMultilevel"/>
    <w:tmpl w:val="2560426C"/>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68FB1FD7"/>
    <w:multiLevelType w:val="multilevel"/>
    <w:tmpl w:val="8AD0B07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699F446F"/>
    <w:multiLevelType w:val="hybridMultilevel"/>
    <w:tmpl w:val="435C7B06"/>
    <w:lvl w:ilvl="0" w:tplc="140A0001">
      <w:start w:val="1"/>
      <w:numFmt w:val="bullet"/>
      <w:lvlText w:val=""/>
      <w:lvlJc w:val="left"/>
      <w:pPr>
        <w:ind w:left="1494" w:hanging="360"/>
      </w:pPr>
      <w:rPr>
        <w:rFonts w:ascii="Symbol" w:hAnsi="Symbol" w:hint="default"/>
      </w:rPr>
    </w:lvl>
    <w:lvl w:ilvl="1" w:tplc="140A0003" w:tentative="1">
      <w:start w:val="1"/>
      <w:numFmt w:val="bullet"/>
      <w:lvlText w:val="o"/>
      <w:lvlJc w:val="left"/>
      <w:pPr>
        <w:ind w:left="2214" w:hanging="360"/>
      </w:pPr>
      <w:rPr>
        <w:rFonts w:ascii="Courier New" w:hAnsi="Courier New" w:cs="Courier New" w:hint="default"/>
      </w:rPr>
    </w:lvl>
    <w:lvl w:ilvl="2" w:tplc="140A0005" w:tentative="1">
      <w:start w:val="1"/>
      <w:numFmt w:val="bullet"/>
      <w:lvlText w:val=""/>
      <w:lvlJc w:val="left"/>
      <w:pPr>
        <w:ind w:left="2934" w:hanging="360"/>
      </w:pPr>
      <w:rPr>
        <w:rFonts w:ascii="Wingdings" w:hAnsi="Wingdings" w:hint="default"/>
      </w:rPr>
    </w:lvl>
    <w:lvl w:ilvl="3" w:tplc="140A0001" w:tentative="1">
      <w:start w:val="1"/>
      <w:numFmt w:val="bullet"/>
      <w:lvlText w:val=""/>
      <w:lvlJc w:val="left"/>
      <w:pPr>
        <w:ind w:left="3654" w:hanging="360"/>
      </w:pPr>
      <w:rPr>
        <w:rFonts w:ascii="Symbol" w:hAnsi="Symbol" w:hint="default"/>
      </w:rPr>
    </w:lvl>
    <w:lvl w:ilvl="4" w:tplc="140A0003" w:tentative="1">
      <w:start w:val="1"/>
      <w:numFmt w:val="bullet"/>
      <w:lvlText w:val="o"/>
      <w:lvlJc w:val="left"/>
      <w:pPr>
        <w:ind w:left="4374" w:hanging="360"/>
      </w:pPr>
      <w:rPr>
        <w:rFonts w:ascii="Courier New" w:hAnsi="Courier New" w:cs="Courier New" w:hint="default"/>
      </w:rPr>
    </w:lvl>
    <w:lvl w:ilvl="5" w:tplc="140A0005" w:tentative="1">
      <w:start w:val="1"/>
      <w:numFmt w:val="bullet"/>
      <w:lvlText w:val=""/>
      <w:lvlJc w:val="left"/>
      <w:pPr>
        <w:ind w:left="5094" w:hanging="360"/>
      </w:pPr>
      <w:rPr>
        <w:rFonts w:ascii="Wingdings" w:hAnsi="Wingdings" w:hint="default"/>
      </w:rPr>
    </w:lvl>
    <w:lvl w:ilvl="6" w:tplc="140A0001" w:tentative="1">
      <w:start w:val="1"/>
      <w:numFmt w:val="bullet"/>
      <w:lvlText w:val=""/>
      <w:lvlJc w:val="left"/>
      <w:pPr>
        <w:ind w:left="5814" w:hanging="360"/>
      </w:pPr>
      <w:rPr>
        <w:rFonts w:ascii="Symbol" w:hAnsi="Symbol" w:hint="default"/>
      </w:rPr>
    </w:lvl>
    <w:lvl w:ilvl="7" w:tplc="140A0003" w:tentative="1">
      <w:start w:val="1"/>
      <w:numFmt w:val="bullet"/>
      <w:lvlText w:val="o"/>
      <w:lvlJc w:val="left"/>
      <w:pPr>
        <w:ind w:left="6534" w:hanging="360"/>
      </w:pPr>
      <w:rPr>
        <w:rFonts w:ascii="Courier New" w:hAnsi="Courier New" w:cs="Courier New" w:hint="default"/>
      </w:rPr>
    </w:lvl>
    <w:lvl w:ilvl="8" w:tplc="140A0005" w:tentative="1">
      <w:start w:val="1"/>
      <w:numFmt w:val="bullet"/>
      <w:lvlText w:val=""/>
      <w:lvlJc w:val="left"/>
      <w:pPr>
        <w:ind w:left="7254" w:hanging="360"/>
      </w:pPr>
      <w:rPr>
        <w:rFonts w:ascii="Wingdings" w:hAnsi="Wingdings" w:hint="default"/>
      </w:rPr>
    </w:lvl>
  </w:abstractNum>
  <w:abstractNum w:abstractNumId="19" w15:restartNumberingAfterBreak="0">
    <w:nsid w:val="6FA154E4"/>
    <w:multiLevelType w:val="hybridMultilevel"/>
    <w:tmpl w:val="C26E6E06"/>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71AE6799"/>
    <w:multiLevelType w:val="hybridMultilevel"/>
    <w:tmpl w:val="3EF253EE"/>
    <w:lvl w:ilvl="0" w:tplc="140A0011">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7A956C75"/>
    <w:multiLevelType w:val="hybridMultilevel"/>
    <w:tmpl w:val="CC02F1D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7CBD436F"/>
    <w:multiLevelType w:val="hybridMultilevel"/>
    <w:tmpl w:val="DC3A308A"/>
    <w:lvl w:ilvl="0" w:tplc="93B62B5E">
      <w:start w:val="1"/>
      <w:numFmt w:val="decimal"/>
      <w:lvlText w:val="%1."/>
      <w:lvlJc w:val="left"/>
      <w:pPr>
        <w:ind w:left="720" w:hanging="360"/>
      </w:pPr>
      <w:rPr>
        <w:rFonts w:ascii="Book Antiqua" w:hAnsi="Book Antiqua" w:hint="default"/>
        <w:b/>
        <w:bCs w:val="0"/>
        <w:i w:val="0"/>
        <w:iCs/>
        <w:sz w:val="24"/>
        <w:szCs w:val="24"/>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3"/>
  </w:num>
  <w:num w:numId="2">
    <w:abstractNumId w:val="1"/>
  </w:num>
  <w:num w:numId="3">
    <w:abstractNumId w:val="6"/>
  </w:num>
  <w:num w:numId="4">
    <w:abstractNumId w:val="17"/>
  </w:num>
  <w:num w:numId="5">
    <w:abstractNumId w:val="7"/>
  </w:num>
  <w:num w:numId="6">
    <w:abstractNumId w:val="5"/>
  </w:num>
  <w:num w:numId="7">
    <w:abstractNumId w:val="2"/>
  </w:num>
  <w:num w:numId="8">
    <w:abstractNumId w:val="22"/>
  </w:num>
  <w:num w:numId="9">
    <w:abstractNumId w:val="13"/>
  </w:num>
  <w:num w:numId="10">
    <w:abstractNumId w:val="18"/>
  </w:num>
  <w:num w:numId="11">
    <w:abstractNumId w:val="4"/>
  </w:num>
  <w:num w:numId="12">
    <w:abstractNumId w:val="15"/>
  </w:num>
  <w:num w:numId="13">
    <w:abstractNumId w:val="11"/>
  </w:num>
  <w:num w:numId="14">
    <w:abstractNumId w:val="8"/>
  </w:num>
  <w:num w:numId="15">
    <w:abstractNumId w:val="10"/>
  </w:num>
  <w:num w:numId="16">
    <w:abstractNumId w:val="9"/>
  </w:num>
  <w:num w:numId="17">
    <w:abstractNumId w:val="12"/>
  </w:num>
  <w:num w:numId="18">
    <w:abstractNumId w:val="16"/>
  </w:num>
  <w:num w:numId="19">
    <w:abstractNumId w:val="14"/>
  </w:num>
  <w:num w:numId="20">
    <w:abstractNumId w:val="19"/>
  </w:num>
  <w:num w:numId="21">
    <w:abstractNumId w:val="20"/>
  </w:num>
  <w:num w:numId="22">
    <w:abstractNumId w:val="21"/>
  </w:num>
  <w:num w:numId="23">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41B"/>
    <w:rsid w:val="00000D18"/>
    <w:rsid w:val="00001C02"/>
    <w:rsid w:val="00002A30"/>
    <w:rsid w:val="00004555"/>
    <w:rsid w:val="00004D55"/>
    <w:rsid w:val="000057E4"/>
    <w:rsid w:val="0001047F"/>
    <w:rsid w:val="0001135F"/>
    <w:rsid w:val="0001232B"/>
    <w:rsid w:val="00012C23"/>
    <w:rsid w:val="00012E33"/>
    <w:rsid w:val="00013B9E"/>
    <w:rsid w:val="00013D47"/>
    <w:rsid w:val="000141A5"/>
    <w:rsid w:val="00015779"/>
    <w:rsid w:val="00015845"/>
    <w:rsid w:val="00015CED"/>
    <w:rsid w:val="0001670F"/>
    <w:rsid w:val="00016CD6"/>
    <w:rsid w:val="00021A3F"/>
    <w:rsid w:val="00021D58"/>
    <w:rsid w:val="000229A6"/>
    <w:rsid w:val="00023890"/>
    <w:rsid w:val="00024302"/>
    <w:rsid w:val="00024873"/>
    <w:rsid w:val="00025D83"/>
    <w:rsid w:val="000263C1"/>
    <w:rsid w:val="000310D2"/>
    <w:rsid w:val="00031818"/>
    <w:rsid w:val="00032217"/>
    <w:rsid w:val="00033D1A"/>
    <w:rsid w:val="000342C1"/>
    <w:rsid w:val="00034C9E"/>
    <w:rsid w:val="00035A3C"/>
    <w:rsid w:val="00036534"/>
    <w:rsid w:val="0003677C"/>
    <w:rsid w:val="00036B1A"/>
    <w:rsid w:val="000375CE"/>
    <w:rsid w:val="000415FC"/>
    <w:rsid w:val="00043545"/>
    <w:rsid w:val="00043A13"/>
    <w:rsid w:val="00045432"/>
    <w:rsid w:val="000455A5"/>
    <w:rsid w:val="000473D0"/>
    <w:rsid w:val="000474E3"/>
    <w:rsid w:val="00047C6F"/>
    <w:rsid w:val="000507E0"/>
    <w:rsid w:val="000513C2"/>
    <w:rsid w:val="000521B2"/>
    <w:rsid w:val="00053A03"/>
    <w:rsid w:val="00053BB2"/>
    <w:rsid w:val="000543EA"/>
    <w:rsid w:val="000550B6"/>
    <w:rsid w:val="00055161"/>
    <w:rsid w:val="00055E43"/>
    <w:rsid w:val="0005622B"/>
    <w:rsid w:val="000579BC"/>
    <w:rsid w:val="00060A31"/>
    <w:rsid w:val="000617D6"/>
    <w:rsid w:val="0006394D"/>
    <w:rsid w:val="00063AB5"/>
    <w:rsid w:val="00063C10"/>
    <w:rsid w:val="000641A9"/>
    <w:rsid w:val="00065E67"/>
    <w:rsid w:val="00066315"/>
    <w:rsid w:val="00066901"/>
    <w:rsid w:val="0006747A"/>
    <w:rsid w:val="00067A8F"/>
    <w:rsid w:val="00073D67"/>
    <w:rsid w:val="00073DA1"/>
    <w:rsid w:val="000742BC"/>
    <w:rsid w:val="00075C8B"/>
    <w:rsid w:val="00076605"/>
    <w:rsid w:val="000775F9"/>
    <w:rsid w:val="000801FC"/>
    <w:rsid w:val="00080206"/>
    <w:rsid w:val="000803DB"/>
    <w:rsid w:val="0008074B"/>
    <w:rsid w:val="00080B36"/>
    <w:rsid w:val="00080DBC"/>
    <w:rsid w:val="000838DF"/>
    <w:rsid w:val="00084FAE"/>
    <w:rsid w:val="00085B2C"/>
    <w:rsid w:val="0009052E"/>
    <w:rsid w:val="00093360"/>
    <w:rsid w:val="0009597B"/>
    <w:rsid w:val="0009627B"/>
    <w:rsid w:val="000973A5"/>
    <w:rsid w:val="00097B57"/>
    <w:rsid w:val="000A410D"/>
    <w:rsid w:val="000A455D"/>
    <w:rsid w:val="000A45AC"/>
    <w:rsid w:val="000A4A69"/>
    <w:rsid w:val="000A4B65"/>
    <w:rsid w:val="000A518C"/>
    <w:rsid w:val="000A66CF"/>
    <w:rsid w:val="000A7D83"/>
    <w:rsid w:val="000B053C"/>
    <w:rsid w:val="000B123C"/>
    <w:rsid w:val="000B207A"/>
    <w:rsid w:val="000B21C1"/>
    <w:rsid w:val="000B2244"/>
    <w:rsid w:val="000B330A"/>
    <w:rsid w:val="000B3636"/>
    <w:rsid w:val="000B5C8E"/>
    <w:rsid w:val="000B66AE"/>
    <w:rsid w:val="000C10C9"/>
    <w:rsid w:val="000C3234"/>
    <w:rsid w:val="000C44E1"/>
    <w:rsid w:val="000C57FF"/>
    <w:rsid w:val="000C66EC"/>
    <w:rsid w:val="000C729F"/>
    <w:rsid w:val="000D0E7A"/>
    <w:rsid w:val="000D21CB"/>
    <w:rsid w:val="000D3D55"/>
    <w:rsid w:val="000D4175"/>
    <w:rsid w:val="000D4D63"/>
    <w:rsid w:val="000D5217"/>
    <w:rsid w:val="000D61D7"/>
    <w:rsid w:val="000D6AA8"/>
    <w:rsid w:val="000D77F5"/>
    <w:rsid w:val="000D7823"/>
    <w:rsid w:val="000E0015"/>
    <w:rsid w:val="000E0DB7"/>
    <w:rsid w:val="000E1568"/>
    <w:rsid w:val="000E1F88"/>
    <w:rsid w:val="000E484B"/>
    <w:rsid w:val="000E5C12"/>
    <w:rsid w:val="000E6208"/>
    <w:rsid w:val="000F0EE2"/>
    <w:rsid w:val="000F1785"/>
    <w:rsid w:val="000F2062"/>
    <w:rsid w:val="000F2C2A"/>
    <w:rsid w:val="000F4A32"/>
    <w:rsid w:val="000F4AE1"/>
    <w:rsid w:val="000F5FC6"/>
    <w:rsid w:val="000F6E6B"/>
    <w:rsid w:val="000F78F0"/>
    <w:rsid w:val="00100460"/>
    <w:rsid w:val="00100BC1"/>
    <w:rsid w:val="00101719"/>
    <w:rsid w:val="00104D72"/>
    <w:rsid w:val="00105263"/>
    <w:rsid w:val="0010743C"/>
    <w:rsid w:val="00111B81"/>
    <w:rsid w:val="00111FC1"/>
    <w:rsid w:val="00112CB5"/>
    <w:rsid w:val="00113063"/>
    <w:rsid w:val="001133D6"/>
    <w:rsid w:val="00113BFA"/>
    <w:rsid w:val="001159BE"/>
    <w:rsid w:val="00121185"/>
    <w:rsid w:val="0012233C"/>
    <w:rsid w:val="00122690"/>
    <w:rsid w:val="00123209"/>
    <w:rsid w:val="00124266"/>
    <w:rsid w:val="00126772"/>
    <w:rsid w:val="00126B0D"/>
    <w:rsid w:val="001277E2"/>
    <w:rsid w:val="00130241"/>
    <w:rsid w:val="00130471"/>
    <w:rsid w:val="0013085D"/>
    <w:rsid w:val="00131354"/>
    <w:rsid w:val="00131A85"/>
    <w:rsid w:val="001343AC"/>
    <w:rsid w:val="00135CA3"/>
    <w:rsid w:val="00136995"/>
    <w:rsid w:val="00141382"/>
    <w:rsid w:val="001419DE"/>
    <w:rsid w:val="00142748"/>
    <w:rsid w:val="00147547"/>
    <w:rsid w:val="00147AF6"/>
    <w:rsid w:val="00147DE1"/>
    <w:rsid w:val="00150D1A"/>
    <w:rsid w:val="00151641"/>
    <w:rsid w:val="00152247"/>
    <w:rsid w:val="00157DE5"/>
    <w:rsid w:val="00161BC3"/>
    <w:rsid w:val="00163981"/>
    <w:rsid w:val="00165038"/>
    <w:rsid w:val="00165C75"/>
    <w:rsid w:val="00165DB6"/>
    <w:rsid w:val="00166CCC"/>
    <w:rsid w:val="00167469"/>
    <w:rsid w:val="00167F31"/>
    <w:rsid w:val="00172FD6"/>
    <w:rsid w:val="00173A43"/>
    <w:rsid w:val="00176B28"/>
    <w:rsid w:val="00176E1D"/>
    <w:rsid w:val="00177E2F"/>
    <w:rsid w:val="00183018"/>
    <w:rsid w:val="00183378"/>
    <w:rsid w:val="00184028"/>
    <w:rsid w:val="00184D8D"/>
    <w:rsid w:val="001873F4"/>
    <w:rsid w:val="00187C8B"/>
    <w:rsid w:val="001911E8"/>
    <w:rsid w:val="00192109"/>
    <w:rsid w:val="00192929"/>
    <w:rsid w:val="00192DA3"/>
    <w:rsid w:val="001931E1"/>
    <w:rsid w:val="00193711"/>
    <w:rsid w:val="00193A58"/>
    <w:rsid w:val="00193BA6"/>
    <w:rsid w:val="001940A5"/>
    <w:rsid w:val="00194353"/>
    <w:rsid w:val="001943F2"/>
    <w:rsid w:val="00196335"/>
    <w:rsid w:val="00196AF3"/>
    <w:rsid w:val="0019767D"/>
    <w:rsid w:val="00197ED1"/>
    <w:rsid w:val="001A00B6"/>
    <w:rsid w:val="001A171A"/>
    <w:rsid w:val="001A1C37"/>
    <w:rsid w:val="001A5D8D"/>
    <w:rsid w:val="001A684D"/>
    <w:rsid w:val="001B0B11"/>
    <w:rsid w:val="001B2B4E"/>
    <w:rsid w:val="001B2E4B"/>
    <w:rsid w:val="001B4E6E"/>
    <w:rsid w:val="001B5D5B"/>
    <w:rsid w:val="001B62B0"/>
    <w:rsid w:val="001B7379"/>
    <w:rsid w:val="001B7522"/>
    <w:rsid w:val="001C08F9"/>
    <w:rsid w:val="001C22A8"/>
    <w:rsid w:val="001C2418"/>
    <w:rsid w:val="001C2813"/>
    <w:rsid w:val="001C4449"/>
    <w:rsid w:val="001C48C4"/>
    <w:rsid w:val="001C6D0F"/>
    <w:rsid w:val="001C78A7"/>
    <w:rsid w:val="001D068A"/>
    <w:rsid w:val="001D0C91"/>
    <w:rsid w:val="001D0D8B"/>
    <w:rsid w:val="001D2C64"/>
    <w:rsid w:val="001D4328"/>
    <w:rsid w:val="001D4499"/>
    <w:rsid w:val="001D56E1"/>
    <w:rsid w:val="001D5928"/>
    <w:rsid w:val="001D6A81"/>
    <w:rsid w:val="001E02D3"/>
    <w:rsid w:val="001E03DC"/>
    <w:rsid w:val="001E1322"/>
    <w:rsid w:val="001E239F"/>
    <w:rsid w:val="001E3592"/>
    <w:rsid w:val="001E6DBF"/>
    <w:rsid w:val="001F02E8"/>
    <w:rsid w:val="001F1761"/>
    <w:rsid w:val="001F2CC9"/>
    <w:rsid w:val="001F3055"/>
    <w:rsid w:val="001F3490"/>
    <w:rsid w:val="001F4789"/>
    <w:rsid w:val="001F70F1"/>
    <w:rsid w:val="001F7231"/>
    <w:rsid w:val="00200F6A"/>
    <w:rsid w:val="0020254F"/>
    <w:rsid w:val="002025B9"/>
    <w:rsid w:val="00203F66"/>
    <w:rsid w:val="00204AB1"/>
    <w:rsid w:val="0020500C"/>
    <w:rsid w:val="002052E0"/>
    <w:rsid w:val="00205A55"/>
    <w:rsid w:val="00205D28"/>
    <w:rsid w:val="00206A43"/>
    <w:rsid w:val="00206B47"/>
    <w:rsid w:val="00207528"/>
    <w:rsid w:val="002128CB"/>
    <w:rsid w:val="00214A03"/>
    <w:rsid w:val="00215264"/>
    <w:rsid w:val="002155F3"/>
    <w:rsid w:val="002156DF"/>
    <w:rsid w:val="0021596F"/>
    <w:rsid w:val="0021636F"/>
    <w:rsid w:val="00216D31"/>
    <w:rsid w:val="0022034F"/>
    <w:rsid w:val="00220664"/>
    <w:rsid w:val="00220FD2"/>
    <w:rsid w:val="00221828"/>
    <w:rsid w:val="002220E5"/>
    <w:rsid w:val="0022230D"/>
    <w:rsid w:val="002226CF"/>
    <w:rsid w:val="00223B43"/>
    <w:rsid w:val="00224AEF"/>
    <w:rsid w:val="00224B56"/>
    <w:rsid w:val="00225BB0"/>
    <w:rsid w:val="00230EE2"/>
    <w:rsid w:val="002312DF"/>
    <w:rsid w:val="00231B36"/>
    <w:rsid w:val="00232BB5"/>
    <w:rsid w:val="002366B4"/>
    <w:rsid w:val="00237408"/>
    <w:rsid w:val="00240175"/>
    <w:rsid w:val="002426A7"/>
    <w:rsid w:val="00242768"/>
    <w:rsid w:val="002437BD"/>
    <w:rsid w:val="00244045"/>
    <w:rsid w:val="00244C6B"/>
    <w:rsid w:val="00245748"/>
    <w:rsid w:val="002457CB"/>
    <w:rsid w:val="00246FF8"/>
    <w:rsid w:val="00247BBE"/>
    <w:rsid w:val="00247EFC"/>
    <w:rsid w:val="00253864"/>
    <w:rsid w:val="00253D1D"/>
    <w:rsid w:val="00253D48"/>
    <w:rsid w:val="00253D89"/>
    <w:rsid w:val="00254C63"/>
    <w:rsid w:val="00254DFD"/>
    <w:rsid w:val="00255B04"/>
    <w:rsid w:val="00255B0B"/>
    <w:rsid w:val="00256817"/>
    <w:rsid w:val="00256B3D"/>
    <w:rsid w:val="0025707F"/>
    <w:rsid w:val="00260FAD"/>
    <w:rsid w:val="002615B5"/>
    <w:rsid w:val="00262B6B"/>
    <w:rsid w:val="00262E49"/>
    <w:rsid w:val="002642D1"/>
    <w:rsid w:val="00264997"/>
    <w:rsid w:val="00266D9B"/>
    <w:rsid w:val="00266DF8"/>
    <w:rsid w:val="002677C7"/>
    <w:rsid w:val="00267D75"/>
    <w:rsid w:val="002711F1"/>
    <w:rsid w:val="002716EE"/>
    <w:rsid w:val="00271933"/>
    <w:rsid w:val="00272C7B"/>
    <w:rsid w:val="00273427"/>
    <w:rsid w:val="0027368D"/>
    <w:rsid w:val="00273C77"/>
    <w:rsid w:val="002743FB"/>
    <w:rsid w:val="00280652"/>
    <w:rsid w:val="002816A7"/>
    <w:rsid w:val="00283CA5"/>
    <w:rsid w:val="002845D2"/>
    <w:rsid w:val="00286AC5"/>
    <w:rsid w:val="00291053"/>
    <w:rsid w:val="00291430"/>
    <w:rsid w:val="00291A37"/>
    <w:rsid w:val="00292541"/>
    <w:rsid w:val="00292D81"/>
    <w:rsid w:val="00292E64"/>
    <w:rsid w:val="002938F8"/>
    <w:rsid w:val="002945D7"/>
    <w:rsid w:val="002948F2"/>
    <w:rsid w:val="00294F86"/>
    <w:rsid w:val="00296C2F"/>
    <w:rsid w:val="00297461"/>
    <w:rsid w:val="00297B56"/>
    <w:rsid w:val="002A07F1"/>
    <w:rsid w:val="002A0EF7"/>
    <w:rsid w:val="002A2463"/>
    <w:rsid w:val="002A34EA"/>
    <w:rsid w:val="002A505E"/>
    <w:rsid w:val="002B0847"/>
    <w:rsid w:val="002B0981"/>
    <w:rsid w:val="002B1C6D"/>
    <w:rsid w:val="002B1DC4"/>
    <w:rsid w:val="002B208F"/>
    <w:rsid w:val="002B2E5E"/>
    <w:rsid w:val="002B3ED8"/>
    <w:rsid w:val="002B4DB8"/>
    <w:rsid w:val="002B51D1"/>
    <w:rsid w:val="002B6242"/>
    <w:rsid w:val="002B6B9E"/>
    <w:rsid w:val="002C08AB"/>
    <w:rsid w:val="002C3B8C"/>
    <w:rsid w:val="002C4FC1"/>
    <w:rsid w:val="002C550A"/>
    <w:rsid w:val="002C6297"/>
    <w:rsid w:val="002D15F7"/>
    <w:rsid w:val="002D6351"/>
    <w:rsid w:val="002D6A60"/>
    <w:rsid w:val="002D6BDE"/>
    <w:rsid w:val="002D7980"/>
    <w:rsid w:val="002E1BED"/>
    <w:rsid w:val="002E1E58"/>
    <w:rsid w:val="002E3B23"/>
    <w:rsid w:val="002E444C"/>
    <w:rsid w:val="002E4A6E"/>
    <w:rsid w:val="002E5323"/>
    <w:rsid w:val="002E737C"/>
    <w:rsid w:val="002E7631"/>
    <w:rsid w:val="002F0622"/>
    <w:rsid w:val="002F0B1E"/>
    <w:rsid w:val="002F11A4"/>
    <w:rsid w:val="002F4C5A"/>
    <w:rsid w:val="002F7576"/>
    <w:rsid w:val="003010D5"/>
    <w:rsid w:val="003046BB"/>
    <w:rsid w:val="00304E19"/>
    <w:rsid w:val="00306030"/>
    <w:rsid w:val="003063EC"/>
    <w:rsid w:val="003067C8"/>
    <w:rsid w:val="00307036"/>
    <w:rsid w:val="00307A90"/>
    <w:rsid w:val="0031143E"/>
    <w:rsid w:val="00311938"/>
    <w:rsid w:val="0031204A"/>
    <w:rsid w:val="00312D17"/>
    <w:rsid w:val="00313E42"/>
    <w:rsid w:val="003168E7"/>
    <w:rsid w:val="003173CE"/>
    <w:rsid w:val="003225F0"/>
    <w:rsid w:val="00324253"/>
    <w:rsid w:val="00324B5A"/>
    <w:rsid w:val="003269F7"/>
    <w:rsid w:val="00327CC3"/>
    <w:rsid w:val="003305FF"/>
    <w:rsid w:val="00330F9B"/>
    <w:rsid w:val="00331FEB"/>
    <w:rsid w:val="003329C2"/>
    <w:rsid w:val="00334C51"/>
    <w:rsid w:val="00340095"/>
    <w:rsid w:val="00340CA0"/>
    <w:rsid w:val="003412D5"/>
    <w:rsid w:val="00341AAE"/>
    <w:rsid w:val="00342210"/>
    <w:rsid w:val="00342BE8"/>
    <w:rsid w:val="003439C9"/>
    <w:rsid w:val="003441A2"/>
    <w:rsid w:val="00345F00"/>
    <w:rsid w:val="003462B7"/>
    <w:rsid w:val="0034666F"/>
    <w:rsid w:val="003466E1"/>
    <w:rsid w:val="00351FBF"/>
    <w:rsid w:val="00353A72"/>
    <w:rsid w:val="00355AC2"/>
    <w:rsid w:val="00355D50"/>
    <w:rsid w:val="00356DC0"/>
    <w:rsid w:val="00357BF3"/>
    <w:rsid w:val="00357D8F"/>
    <w:rsid w:val="00357E4C"/>
    <w:rsid w:val="0036019B"/>
    <w:rsid w:val="00360383"/>
    <w:rsid w:val="0036062A"/>
    <w:rsid w:val="00360CDB"/>
    <w:rsid w:val="00362AAE"/>
    <w:rsid w:val="003636DA"/>
    <w:rsid w:val="00363E4E"/>
    <w:rsid w:val="00364456"/>
    <w:rsid w:val="00365E15"/>
    <w:rsid w:val="00366319"/>
    <w:rsid w:val="00367799"/>
    <w:rsid w:val="00370287"/>
    <w:rsid w:val="00370BDE"/>
    <w:rsid w:val="00370BF6"/>
    <w:rsid w:val="00370CB4"/>
    <w:rsid w:val="00371430"/>
    <w:rsid w:val="00371D68"/>
    <w:rsid w:val="00371F96"/>
    <w:rsid w:val="00372A30"/>
    <w:rsid w:val="00374281"/>
    <w:rsid w:val="00374B78"/>
    <w:rsid w:val="00374CA5"/>
    <w:rsid w:val="003760F6"/>
    <w:rsid w:val="00377189"/>
    <w:rsid w:val="003801A2"/>
    <w:rsid w:val="0038056D"/>
    <w:rsid w:val="003805C6"/>
    <w:rsid w:val="00381926"/>
    <w:rsid w:val="00382D97"/>
    <w:rsid w:val="00382FCC"/>
    <w:rsid w:val="00385E37"/>
    <w:rsid w:val="00387FE2"/>
    <w:rsid w:val="0039001A"/>
    <w:rsid w:val="003911C1"/>
    <w:rsid w:val="00391460"/>
    <w:rsid w:val="00391DCB"/>
    <w:rsid w:val="00397513"/>
    <w:rsid w:val="003A1BEC"/>
    <w:rsid w:val="003A1CF3"/>
    <w:rsid w:val="003A3699"/>
    <w:rsid w:val="003A3E14"/>
    <w:rsid w:val="003A4E25"/>
    <w:rsid w:val="003A554E"/>
    <w:rsid w:val="003B0910"/>
    <w:rsid w:val="003B093D"/>
    <w:rsid w:val="003B0DD6"/>
    <w:rsid w:val="003B2A6A"/>
    <w:rsid w:val="003B7002"/>
    <w:rsid w:val="003B7A4A"/>
    <w:rsid w:val="003B7AE4"/>
    <w:rsid w:val="003C0813"/>
    <w:rsid w:val="003C6636"/>
    <w:rsid w:val="003C67F7"/>
    <w:rsid w:val="003D2E64"/>
    <w:rsid w:val="003D4261"/>
    <w:rsid w:val="003D4B40"/>
    <w:rsid w:val="003D4B5E"/>
    <w:rsid w:val="003D5142"/>
    <w:rsid w:val="003D5393"/>
    <w:rsid w:val="003D5B2B"/>
    <w:rsid w:val="003D640A"/>
    <w:rsid w:val="003D6C1E"/>
    <w:rsid w:val="003D6EFF"/>
    <w:rsid w:val="003D7BE4"/>
    <w:rsid w:val="003E292C"/>
    <w:rsid w:val="003E2DD9"/>
    <w:rsid w:val="003E2FFA"/>
    <w:rsid w:val="003E346F"/>
    <w:rsid w:val="003E35EE"/>
    <w:rsid w:val="003E3B96"/>
    <w:rsid w:val="003E54A1"/>
    <w:rsid w:val="003E60C4"/>
    <w:rsid w:val="003E6521"/>
    <w:rsid w:val="003E71D3"/>
    <w:rsid w:val="003E7988"/>
    <w:rsid w:val="003E7ED3"/>
    <w:rsid w:val="003F1C15"/>
    <w:rsid w:val="003F5A48"/>
    <w:rsid w:val="003F629F"/>
    <w:rsid w:val="003F7C2F"/>
    <w:rsid w:val="00402A97"/>
    <w:rsid w:val="00405A4B"/>
    <w:rsid w:val="00405B90"/>
    <w:rsid w:val="00405F77"/>
    <w:rsid w:val="00407143"/>
    <w:rsid w:val="00407ADC"/>
    <w:rsid w:val="004106EE"/>
    <w:rsid w:val="00414AF1"/>
    <w:rsid w:val="0041521F"/>
    <w:rsid w:val="00415222"/>
    <w:rsid w:val="004169E8"/>
    <w:rsid w:val="004218CE"/>
    <w:rsid w:val="00421B54"/>
    <w:rsid w:val="0042268C"/>
    <w:rsid w:val="00423356"/>
    <w:rsid w:val="0042378B"/>
    <w:rsid w:val="004240F1"/>
    <w:rsid w:val="004243E8"/>
    <w:rsid w:val="00424CBC"/>
    <w:rsid w:val="004255C6"/>
    <w:rsid w:val="004257F4"/>
    <w:rsid w:val="00426A9B"/>
    <w:rsid w:val="00427CA8"/>
    <w:rsid w:val="00431382"/>
    <w:rsid w:val="004313A9"/>
    <w:rsid w:val="004337BB"/>
    <w:rsid w:val="00433CFA"/>
    <w:rsid w:val="00435463"/>
    <w:rsid w:val="004354BE"/>
    <w:rsid w:val="00435757"/>
    <w:rsid w:val="004358B8"/>
    <w:rsid w:val="00435DEA"/>
    <w:rsid w:val="00435E55"/>
    <w:rsid w:val="004362CE"/>
    <w:rsid w:val="004373FB"/>
    <w:rsid w:val="00441CA6"/>
    <w:rsid w:val="00442AEB"/>
    <w:rsid w:val="004444C1"/>
    <w:rsid w:val="00447753"/>
    <w:rsid w:val="0045197B"/>
    <w:rsid w:val="0045218A"/>
    <w:rsid w:val="00453A4B"/>
    <w:rsid w:val="00453FB8"/>
    <w:rsid w:val="004542BE"/>
    <w:rsid w:val="00454D76"/>
    <w:rsid w:val="004608C1"/>
    <w:rsid w:val="00460985"/>
    <w:rsid w:val="00462E17"/>
    <w:rsid w:val="004631F3"/>
    <w:rsid w:val="0046419E"/>
    <w:rsid w:val="004661BA"/>
    <w:rsid w:val="00466DD3"/>
    <w:rsid w:val="004670D8"/>
    <w:rsid w:val="00467F72"/>
    <w:rsid w:val="00470FAC"/>
    <w:rsid w:val="00472437"/>
    <w:rsid w:val="00472E3C"/>
    <w:rsid w:val="00473E52"/>
    <w:rsid w:val="004745FA"/>
    <w:rsid w:val="004757F3"/>
    <w:rsid w:val="00481946"/>
    <w:rsid w:val="00482139"/>
    <w:rsid w:val="004830F5"/>
    <w:rsid w:val="00483ED6"/>
    <w:rsid w:val="00486E77"/>
    <w:rsid w:val="00490ED0"/>
    <w:rsid w:val="00491567"/>
    <w:rsid w:val="00491EB7"/>
    <w:rsid w:val="00491EFC"/>
    <w:rsid w:val="00494227"/>
    <w:rsid w:val="00494AEF"/>
    <w:rsid w:val="00494E6B"/>
    <w:rsid w:val="00496AD0"/>
    <w:rsid w:val="00496D59"/>
    <w:rsid w:val="004976A2"/>
    <w:rsid w:val="00497792"/>
    <w:rsid w:val="004A1097"/>
    <w:rsid w:val="004A1479"/>
    <w:rsid w:val="004A1CA0"/>
    <w:rsid w:val="004A351D"/>
    <w:rsid w:val="004A3690"/>
    <w:rsid w:val="004A3EBA"/>
    <w:rsid w:val="004A511C"/>
    <w:rsid w:val="004B044F"/>
    <w:rsid w:val="004B0C05"/>
    <w:rsid w:val="004B217A"/>
    <w:rsid w:val="004B345D"/>
    <w:rsid w:val="004B41AE"/>
    <w:rsid w:val="004B49C5"/>
    <w:rsid w:val="004B4CE8"/>
    <w:rsid w:val="004B54D7"/>
    <w:rsid w:val="004B5C5A"/>
    <w:rsid w:val="004B619A"/>
    <w:rsid w:val="004B678D"/>
    <w:rsid w:val="004C1847"/>
    <w:rsid w:val="004C185C"/>
    <w:rsid w:val="004C1B77"/>
    <w:rsid w:val="004C653A"/>
    <w:rsid w:val="004C6A65"/>
    <w:rsid w:val="004C7467"/>
    <w:rsid w:val="004C74C3"/>
    <w:rsid w:val="004D4CFC"/>
    <w:rsid w:val="004E2171"/>
    <w:rsid w:val="004E2567"/>
    <w:rsid w:val="004E2CB9"/>
    <w:rsid w:val="004E5898"/>
    <w:rsid w:val="004E5F65"/>
    <w:rsid w:val="004F1139"/>
    <w:rsid w:val="004F12A7"/>
    <w:rsid w:val="004F6347"/>
    <w:rsid w:val="005005AF"/>
    <w:rsid w:val="00502F36"/>
    <w:rsid w:val="00504485"/>
    <w:rsid w:val="005047AC"/>
    <w:rsid w:val="00504E3F"/>
    <w:rsid w:val="0050776D"/>
    <w:rsid w:val="00510E0E"/>
    <w:rsid w:val="00510EA1"/>
    <w:rsid w:val="00511488"/>
    <w:rsid w:val="00512164"/>
    <w:rsid w:val="00513749"/>
    <w:rsid w:val="00515B44"/>
    <w:rsid w:val="005161C9"/>
    <w:rsid w:val="00516545"/>
    <w:rsid w:val="00516618"/>
    <w:rsid w:val="00517ECF"/>
    <w:rsid w:val="00520FD1"/>
    <w:rsid w:val="00523217"/>
    <w:rsid w:val="0052395D"/>
    <w:rsid w:val="00523F79"/>
    <w:rsid w:val="00525520"/>
    <w:rsid w:val="00525683"/>
    <w:rsid w:val="00526CCD"/>
    <w:rsid w:val="0053010B"/>
    <w:rsid w:val="0053170A"/>
    <w:rsid w:val="00532317"/>
    <w:rsid w:val="005335B4"/>
    <w:rsid w:val="005341AC"/>
    <w:rsid w:val="005378B8"/>
    <w:rsid w:val="0054034A"/>
    <w:rsid w:val="0054155D"/>
    <w:rsid w:val="00543C0E"/>
    <w:rsid w:val="00544AB2"/>
    <w:rsid w:val="005450CC"/>
    <w:rsid w:val="00546297"/>
    <w:rsid w:val="00546777"/>
    <w:rsid w:val="005470EF"/>
    <w:rsid w:val="00547827"/>
    <w:rsid w:val="00551420"/>
    <w:rsid w:val="00551B37"/>
    <w:rsid w:val="00551FD1"/>
    <w:rsid w:val="00552068"/>
    <w:rsid w:val="0055215A"/>
    <w:rsid w:val="00553F40"/>
    <w:rsid w:val="005565CA"/>
    <w:rsid w:val="00557013"/>
    <w:rsid w:val="00560391"/>
    <w:rsid w:val="005609AB"/>
    <w:rsid w:val="005622B3"/>
    <w:rsid w:val="00562673"/>
    <w:rsid w:val="00562842"/>
    <w:rsid w:val="00562F1B"/>
    <w:rsid w:val="00562FD8"/>
    <w:rsid w:val="00564E24"/>
    <w:rsid w:val="005651D3"/>
    <w:rsid w:val="00571F0D"/>
    <w:rsid w:val="0057261B"/>
    <w:rsid w:val="005730C6"/>
    <w:rsid w:val="00575426"/>
    <w:rsid w:val="0057797C"/>
    <w:rsid w:val="00577D86"/>
    <w:rsid w:val="00581533"/>
    <w:rsid w:val="00582727"/>
    <w:rsid w:val="00584BB8"/>
    <w:rsid w:val="005854D3"/>
    <w:rsid w:val="00586F3E"/>
    <w:rsid w:val="005871D5"/>
    <w:rsid w:val="00590958"/>
    <w:rsid w:val="0059393F"/>
    <w:rsid w:val="00594323"/>
    <w:rsid w:val="00594AE1"/>
    <w:rsid w:val="00595D6F"/>
    <w:rsid w:val="0059673B"/>
    <w:rsid w:val="0059723E"/>
    <w:rsid w:val="005A051D"/>
    <w:rsid w:val="005A0C3E"/>
    <w:rsid w:val="005A1B1A"/>
    <w:rsid w:val="005A32D2"/>
    <w:rsid w:val="005A58F4"/>
    <w:rsid w:val="005A6AAD"/>
    <w:rsid w:val="005A71AF"/>
    <w:rsid w:val="005B1333"/>
    <w:rsid w:val="005B14C6"/>
    <w:rsid w:val="005B2AA6"/>
    <w:rsid w:val="005B3024"/>
    <w:rsid w:val="005B41DE"/>
    <w:rsid w:val="005B5F3A"/>
    <w:rsid w:val="005B647E"/>
    <w:rsid w:val="005B6650"/>
    <w:rsid w:val="005B7D76"/>
    <w:rsid w:val="005B7F85"/>
    <w:rsid w:val="005C10E1"/>
    <w:rsid w:val="005C1923"/>
    <w:rsid w:val="005C1E55"/>
    <w:rsid w:val="005C21B2"/>
    <w:rsid w:val="005C28D3"/>
    <w:rsid w:val="005C2C11"/>
    <w:rsid w:val="005C4BD0"/>
    <w:rsid w:val="005C5288"/>
    <w:rsid w:val="005C642B"/>
    <w:rsid w:val="005C6A81"/>
    <w:rsid w:val="005D27D9"/>
    <w:rsid w:val="005D2904"/>
    <w:rsid w:val="005D2BC4"/>
    <w:rsid w:val="005D697D"/>
    <w:rsid w:val="005E0711"/>
    <w:rsid w:val="005E1FB3"/>
    <w:rsid w:val="005E2585"/>
    <w:rsid w:val="005E3653"/>
    <w:rsid w:val="005E3B9D"/>
    <w:rsid w:val="005E3FA6"/>
    <w:rsid w:val="005E4C66"/>
    <w:rsid w:val="005E5E0B"/>
    <w:rsid w:val="005F1F87"/>
    <w:rsid w:val="005F3A55"/>
    <w:rsid w:val="005F6CD1"/>
    <w:rsid w:val="00600F09"/>
    <w:rsid w:val="00604223"/>
    <w:rsid w:val="00605B88"/>
    <w:rsid w:val="00607E0F"/>
    <w:rsid w:val="00610662"/>
    <w:rsid w:val="00611375"/>
    <w:rsid w:val="00615156"/>
    <w:rsid w:val="006155A6"/>
    <w:rsid w:val="00617234"/>
    <w:rsid w:val="00617AD6"/>
    <w:rsid w:val="00617C28"/>
    <w:rsid w:val="006200ED"/>
    <w:rsid w:val="00620BE0"/>
    <w:rsid w:val="00625591"/>
    <w:rsid w:val="00625DB6"/>
    <w:rsid w:val="00631270"/>
    <w:rsid w:val="00632C54"/>
    <w:rsid w:val="006331DB"/>
    <w:rsid w:val="00636FAC"/>
    <w:rsid w:val="00637087"/>
    <w:rsid w:val="00637117"/>
    <w:rsid w:val="00637AFF"/>
    <w:rsid w:val="00640D9F"/>
    <w:rsid w:val="00640F1C"/>
    <w:rsid w:val="00641BF7"/>
    <w:rsid w:val="00643B60"/>
    <w:rsid w:val="006443FB"/>
    <w:rsid w:val="006449E0"/>
    <w:rsid w:val="00645089"/>
    <w:rsid w:val="00645E96"/>
    <w:rsid w:val="00646BED"/>
    <w:rsid w:val="00650A7B"/>
    <w:rsid w:val="00650E20"/>
    <w:rsid w:val="00655585"/>
    <w:rsid w:val="0065571E"/>
    <w:rsid w:val="00657415"/>
    <w:rsid w:val="00660769"/>
    <w:rsid w:val="00662359"/>
    <w:rsid w:val="00663775"/>
    <w:rsid w:val="00663E15"/>
    <w:rsid w:val="00664C40"/>
    <w:rsid w:val="0066755D"/>
    <w:rsid w:val="00670EFC"/>
    <w:rsid w:val="00670F1C"/>
    <w:rsid w:val="006714FD"/>
    <w:rsid w:val="00673642"/>
    <w:rsid w:val="0067377D"/>
    <w:rsid w:val="00673F0C"/>
    <w:rsid w:val="00674E9D"/>
    <w:rsid w:val="00676DDE"/>
    <w:rsid w:val="00677057"/>
    <w:rsid w:val="00680BBD"/>
    <w:rsid w:val="00680D2E"/>
    <w:rsid w:val="00681B83"/>
    <w:rsid w:val="00682C65"/>
    <w:rsid w:val="006852ED"/>
    <w:rsid w:val="00686D1B"/>
    <w:rsid w:val="006907AC"/>
    <w:rsid w:val="0069111D"/>
    <w:rsid w:val="00691EB0"/>
    <w:rsid w:val="00692970"/>
    <w:rsid w:val="00693BDF"/>
    <w:rsid w:val="00693C31"/>
    <w:rsid w:val="0069438C"/>
    <w:rsid w:val="0069566D"/>
    <w:rsid w:val="00695D35"/>
    <w:rsid w:val="006962DE"/>
    <w:rsid w:val="00697E3A"/>
    <w:rsid w:val="00697F79"/>
    <w:rsid w:val="006A03CA"/>
    <w:rsid w:val="006A06BD"/>
    <w:rsid w:val="006A1BD6"/>
    <w:rsid w:val="006A289D"/>
    <w:rsid w:val="006A356C"/>
    <w:rsid w:val="006A467D"/>
    <w:rsid w:val="006A5CB4"/>
    <w:rsid w:val="006A7720"/>
    <w:rsid w:val="006A7FC4"/>
    <w:rsid w:val="006B06DF"/>
    <w:rsid w:val="006B0AB1"/>
    <w:rsid w:val="006B1ABE"/>
    <w:rsid w:val="006B1CDB"/>
    <w:rsid w:val="006B24EE"/>
    <w:rsid w:val="006B326B"/>
    <w:rsid w:val="006B3310"/>
    <w:rsid w:val="006B45F0"/>
    <w:rsid w:val="006B4845"/>
    <w:rsid w:val="006B5FFD"/>
    <w:rsid w:val="006B679F"/>
    <w:rsid w:val="006B71CA"/>
    <w:rsid w:val="006C16C9"/>
    <w:rsid w:val="006C1AC2"/>
    <w:rsid w:val="006C2F42"/>
    <w:rsid w:val="006C3592"/>
    <w:rsid w:val="006C4564"/>
    <w:rsid w:val="006C4C0D"/>
    <w:rsid w:val="006D1714"/>
    <w:rsid w:val="006D1F3D"/>
    <w:rsid w:val="006D2628"/>
    <w:rsid w:val="006D3147"/>
    <w:rsid w:val="006D5C28"/>
    <w:rsid w:val="006D60FB"/>
    <w:rsid w:val="006E2CAA"/>
    <w:rsid w:val="006E55E7"/>
    <w:rsid w:val="006E6B19"/>
    <w:rsid w:val="006E7996"/>
    <w:rsid w:val="006F1E1B"/>
    <w:rsid w:val="006F3484"/>
    <w:rsid w:val="006F3C1F"/>
    <w:rsid w:val="006F4BDD"/>
    <w:rsid w:val="006F53F1"/>
    <w:rsid w:val="006F5429"/>
    <w:rsid w:val="006F5ACC"/>
    <w:rsid w:val="006F6498"/>
    <w:rsid w:val="006F7529"/>
    <w:rsid w:val="006F7790"/>
    <w:rsid w:val="006F79E1"/>
    <w:rsid w:val="006F7F7F"/>
    <w:rsid w:val="007003FD"/>
    <w:rsid w:val="0070121F"/>
    <w:rsid w:val="007042D7"/>
    <w:rsid w:val="0070463D"/>
    <w:rsid w:val="00706604"/>
    <w:rsid w:val="00707157"/>
    <w:rsid w:val="00707807"/>
    <w:rsid w:val="00713197"/>
    <w:rsid w:val="00714DD7"/>
    <w:rsid w:val="007161EF"/>
    <w:rsid w:val="00716246"/>
    <w:rsid w:val="00717314"/>
    <w:rsid w:val="0071795F"/>
    <w:rsid w:val="00717D8D"/>
    <w:rsid w:val="00722407"/>
    <w:rsid w:val="00724FBE"/>
    <w:rsid w:val="00725F01"/>
    <w:rsid w:val="007267F2"/>
    <w:rsid w:val="00727EA3"/>
    <w:rsid w:val="007313A3"/>
    <w:rsid w:val="00731781"/>
    <w:rsid w:val="00733748"/>
    <w:rsid w:val="00733C3B"/>
    <w:rsid w:val="00733E5B"/>
    <w:rsid w:val="00734B93"/>
    <w:rsid w:val="00736F9C"/>
    <w:rsid w:val="00740375"/>
    <w:rsid w:val="007419AA"/>
    <w:rsid w:val="007421A4"/>
    <w:rsid w:val="00743D92"/>
    <w:rsid w:val="00745FDE"/>
    <w:rsid w:val="007466DC"/>
    <w:rsid w:val="00747520"/>
    <w:rsid w:val="00751972"/>
    <w:rsid w:val="007533D5"/>
    <w:rsid w:val="007543C1"/>
    <w:rsid w:val="007543FF"/>
    <w:rsid w:val="00754E29"/>
    <w:rsid w:val="007555F7"/>
    <w:rsid w:val="00755659"/>
    <w:rsid w:val="00760542"/>
    <w:rsid w:val="0076083E"/>
    <w:rsid w:val="00761210"/>
    <w:rsid w:val="00763DA5"/>
    <w:rsid w:val="007642F7"/>
    <w:rsid w:val="00764FB7"/>
    <w:rsid w:val="00765441"/>
    <w:rsid w:val="00766E9F"/>
    <w:rsid w:val="00771E17"/>
    <w:rsid w:val="007733CC"/>
    <w:rsid w:val="007740F8"/>
    <w:rsid w:val="00775638"/>
    <w:rsid w:val="0077569A"/>
    <w:rsid w:val="00775A8D"/>
    <w:rsid w:val="00776D47"/>
    <w:rsid w:val="00776E4B"/>
    <w:rsid w:val="0078241B"/>
    <w:rsid w:val="007830FB"/>
    <w:rsid w:val="00783695"/>
    <w:rsid w:val="00783F53"/>
    <w:rsid w:val="00785B17"/>
    <w:rsid w:val="007867D3"/>
    <w:rsid w:val="00787470"/>
    <w:rsid w:val="007905FF"/>
    <w:rsid w:val="007908D9"/>
    <w:rsid w:val="00790AA6"/>
    <w:rsid w:val="00793BA7"/>
    <w:rsid w:val="0079642A"/>
    <w:rsid w:val="00797EB8"/>
    <w:rsid w:val="007A1E3D"/>
    <w:rsid w:val="007A313A"/>
    <w:rsid w:val="007A3513"/>
    <w:rsid w:val="007A4829"/>
    <w:rsid w:val="007B14BD"/>
    <w:rsid w:val="007B1688"/>
    <w:rsid w:val="007B1953"/>
    <w:rsid w:val="007B21FD"/>
    <w:rsid w:val="007B254F"/>
    <w:rsid w:val="007B3BCE"/>
    <w:rsid w:val="007B72CE"/>
    <w:rsid w:val="007C272F"/>
    <w:rsid w:val="007C301D"/>
    <w:rsid w:val="007C3C27"/>
    <w:rsid w:val="007C457E"/>
    <w:rsid w:val="007C63B3"/>
    <w:rsid w:val="007D1F52"/>
    <w:rsid w:val="007D3E88"/>
    <w:rsid w:val="007D4BDB"/>
    <w:rsid w:val="007D5A3E"/>
    <w:rsid w:val="007D628D"/>
    <w:rsid w:val="007D69C3"/>
    <w:rsid w:val="007E0864"/>
    <w:rsid w:val="007E107F"/>
    <w:rsid w:val="007E2D92"/>
    <w:rsid w:val="007E2EFC"/>
    <w:rsid w:val="007E3F2F"/>
    <w:rsid w:val="007E4996"/>
    <w:rsid w:val="007E5154"/>
    <w:rsid w:val="007E56BC"/>
    <w:rsid w:val="007E6654"/>
    <w:rsid w:val="007E7726"/>
    <w:rsid w:val="007F023A"/>
    <w:rsid w:val="007F0250"/>
    <w:rsid w:val="007F05A9"/>
    <w:rsid w:val="007F140C"/>
    <w:rsid w:val="007F2C4B"/>
    <w:rsid w:val="007F3E48"/>
    <w:rsid w:val="007F4F3B"/>
    <w:rsid w:val="007F52B7"/>
    <w:rsid w:val="007F5E6C"/>
    <w:rsid w:val="007F6C65"/>
    <w:rsid w:val="008009CE"/>
    <w:rsid w:val="008015AD"/>
    <w:rsid w:val="00801DBE"/>
    <w:rsid w:val="008052F9"/>
    <w:rsid w:val="008057B0"/>
    <w:rsid w:val="0080585E"/>
    <w:rsid w:val="00806B5A"/>
    <w:rsid w:val="008073D5"/>
    <w:rsid w:val="008075DE"/>
    <w:rsid w:val="008075E3"/>
    <w:rsid w:val="00807EDB"/>
    <w:rsid w:val="008112DB"/>
    <w:rsid w:val="00812105"/>
    <w:rsid w:val="00812EE4"/>
    <w:rsid w:val="00814748"/>
    <w:rsid w:val="00815420"/>
    <w:rsid w:val="008176E9"/>
    <w:rsid w:val="00817FAE"/>
    <w:rsid w:val="00820ED0"/>
    <w:rsid w:val="00820FFB"/>
    <w:rsid w:val="00823E90"/>
    <w:rsid w:val="00823F20"/>
    <w:rsid w:val="0082512D"/>
    <w:rsid w:val="00826445"/>
    <w:rsid w:val="008270C7"/>
    <w:rsid w:val="00832079"/>
    <w:rsid w:val="00832308"/>
    <w:rsid w:val="008331BA"/>
    <w:rsid w:val="008335DC"/>
    <w:rsid w:val="00836312"/>
    <w:rsid w:val="00836327"/>
    <w:rsid w:val="0083756C"/>
    <w:rsid w:val="0083796C"/>
    <w:rsid w:val="00840DFF"/>
    <w:rsid w:val="0084195F"/>
    <w:rsid w:val="0084292D"/>
    <w:rsid w:val="008431A4"/>
    <w:rsid w:val="00843274"/>
    <w:rsid w:val="00843A4E"/>
    <w:rsid w:val="00843C08"/>
    <w:rsid w:val="00844102"/>
    <w:rsid w:val="00845F99"/>
    <w:rsid w:val="0084638B"/>
    <w:rsid w:val="00851033"/>
    <w:rsid w:val="008513A2"/>
    <w:rsid w:val="0085164B"/>
    <w:rsid w:val="00852BCA"/>
    <w:rsid w:val="0086087C"/>
    <w:rsid w:val="00863136"/>
    <w:rsid w:val="0086354F"/>
    <w:rsid w:val="00863CD3"/>
    <w:rsid w:val="00864D32"/>
    <w:rsid w:val="00865666"/>
    <w:rsid w:val="0086577A"/>
    <w:rsid w:val="00865DBF"/>
    <w:rsid w:val="00867A06"/>
    <w:rsid w:val="00870DCA"/>
    <w:rsid w:val="008764B6"/>
    <w:rsid w:val="008773D2"/>
    <w:rsid w:val="008814AE"/>
    <w:rsid w:val="00881FF4"/>
    <w:rsid w:val="008826C4"/>
    <w:rsid w:val="008835E7"/>
    <w:rsid w:val="008859D3"/>
    <w:rsid w:val="0088756D"/>
    <w:rsid w:val="008905F2"/>
    <w:rsid w:val="00890C40"/>
    <w:rsid w:val="00890F5A"/>
    <w:rsid w:val="00892972"/>
    <w:rsid w:val="00892DAF"/>
    <w:rsid w:val="00893C49"/>
    <w:rsid w:val="0089493C"/>
    <w:rsid w:val="00894E68"/>
    <w:rsid w:val="00897762"/>
    <w:rsid w:val="008A1121"/>
    <w:rsid w:val="008A186C"/>
    <w:rsid w:val="008A200B"/>
    <w:rsid w:val="008A2EC8"/>
    <w:rsid w:val="008A34F8"/>
    <w:rsid w:val="008A4886"/>
    <w:rsid w:val="008A494D"/>
    <w:rsid w:val="008A5299"/>
    <w:rsid w:val="008A58D0"/>
    <w:rsid w:val="008A61ED"/>
    <w:rsid w:val="008A6410"/>
    <w:rsid w:val="008A7CB1"/>
    <w:rsid w:val="008B0F8A"/>
    <w:rsid w:val="008B1D6D"/>
    <w:rsid w:val="008B3419"/>
    <w:rsid w:val="008B356A"/>
    <w:rsid w:val="008B3FDE"/>
    <w:rsid w:val="008B64DC"/>
    <w:rsid w:val="008C0D88"/>
    <w:rsid w:val="008C2533"/>
    <w:rsid w:val="008C30FB"/>
    <w:rsid w:val="008C42AE"/>
    <w:rsid w:val="008C7DB0"/>
    <w:rsid w:val="008D39CF"/>
    <w:rsid w:val="008D4D8C"/>
    <w:rsid w:val="008E0406"/>
    <w:rsid w:val="008E07E2"/>
    <w:rsid w:val="008E274D"/>
    <w:rsid w:val="008E3567"/>
    <w:rsid w:val="008E4D72"/>
    <w:rsid w:val="008E539F"/>
    <w:rsid w:val="008E6CF1"/>
    <w:rsid w:val="008E7F42"/>
    <w:rsid w:val="008F36C2"/>
    <w:rsid w:val="008F37DF"/>
    <w:rsid w:val="008F4AD1"/>
    <w:rsid w:val="008F4C0D"/>
    <w:rsid w:val="008F50EA"/>
    <w:rsid w:val="008F6D0A"/>
    <w:rsid w:val="008F7320"/>
    <w:rsid w:val="008F778E"/>
    <w:rsid w:val="008F7F61"/>
    <w:rsid w:val="00900EB7"/>
    <w:rsid w:val="00901B94"/>
    <w:rsid w:val="0090215A"/>
    <w:rsid w:val="009024B3"/>
    <w:rsid w:val="00902BCC"/>
    <w:rsid w:val="0090384B"/>
    <w:rsid w:val="00906D8D"/>
    <w:rsid w:val="00907C95"/>
    <w:rsid w:val="00907EF6"/>
    <w:rsid w:val="00910BDA"/>
    <w:rsid w:val="009128C6"/>
    <w:rsid w:val="00912C13"/>
    <w:rsid w:val="0091368D"/>
    <w:rsid w:val="00915234"/>
    <w:rsid w:val="009173B8"/>
    <w:rsid w:val="0091744C"/>
    <w:rsid w:val="00920CB0"/>
    <w:rsid w:val="00921A37"/>
    <w:rsid w:val="00921D32"/>
    <w:rsid w:val="00921E69"/>
    <w:rsid w:val="00923001"/>
    <w:rsid w:val="009254D0"/>
    <w:rsid w:val="00925E2A"/>
    <w:rsid w:val="00926140"/>
    <w:rsid w:val="009261B5"/>
    <w:rsid w:val="009266CB"/>
    <w:rsid w:val="0092695A"/>
    <w:rsid w:val="00932C51"/>
    <w:rsid w:val="00932E9E"/>
    <w:rsid w:val="00933341"/>
    <w:rsid w:val="009344CA"/>
    <w:rsid w:val="009355A9"/>
    <w:rsid w:val="00936AC4"/>
    <w:rsid w:val="00936BCF"/>
    <w:rsid w:val="00937215"/>
    <w:rsid w:val="00937732"/>
    <w:rsid w:val="00937E61"/>
    <w:rsid w:val="00940791"/>
    <w:rsid w:val="00942CD4"/>
    <w:rsid w:val="00942DAF"/>
    <w:rsid w:val="0094420E"/>
    <w:rsid w:val="0094445C"/>
    <w:rsid w:val="00945085"/>
    <w:rsid w:val="009457FD"/>
    <w:rsid w:val="009458CF"/>
    <w:rsid w:val="00945ADF"/>
    <w:rsid w:val="00946331"/>
    <w:rsid w:val="009517DE"/>
    <w:rsid w:val="009528D4"/>
    <w:rsid w:val="00952AC3"/>
    <w:rsid w:val="00953002"/>
    <w:rsid w:val="0095313C"/>
    <w:rsid w:val="00955B46"/>
    <w:rsid w:val="00955C15"/>
    <w:rsid w:val="00955EEE"/>
    <w:rsid w:val="009577BC"/>
    <w:rsid w:val="0096038F"/>
    <w:rsid w:val="0096110D"/>
    <w:rsid w:val="00961A37"/>
    <w:rsid w:val="009622C4"/>
    <w:rsid w:val="00962716"/>
    <w:rsid w:val="00962770"/>
    <w:rsid w:val="0096298E"/>
    <w:rsid w:val="00963573"/>
    <w:rsid w:val="009639A9"/>
    <w:rsid w:val="00964A12"/>
    <w:rsid w:val="00967FD1"/>
    <w:rsid w:val="00970067"/>
    <w:rsid w:val="0097221A"/>
    <w:rsid w:val="0097539F"/>
    <w:rsid w:val="00976D71"/>
    <w:rsid w:val="00981A3C"/>
    <w:rsid w:val="009827A8"/>
    <w:rsid w:val="009835AE"/>
    <w:rsid w:val="00983990"/>
    <w:rsid w:val="0098533E"/>
    <w:rsid w:val="00986053"/>
    <w:rsid w:val="0098740C"/>
    <w:rsid w:val="00987437"/>
    <w:rsid w:val="00990B13"/>
    <w:rsid w:val="009958B9"/>
    <w:rsid w:val="00996164"/>
    <w:rsid w:val="009969D0"/>
    <w:rsid w:val="00996B6A"/>
    <w:rsid w:val="0099723C"/>
    <w:rsid w:val="009A0C36"/>
    <w:rsid w:val="009A17C8"/>
    <w:rsid w:val="009A2B2E"/>
    <w:rsid w:val="009A2E68"/>
    <w:rsid w:val="009A3868"/>
    <w:rsid w:val="009A3C61"/>
    <w:rsid w:val="009A3F7F"/>
    <w:rsid w:val="009A3FB3"/>
    <w:rsid w:val="009A505B"/>
    <w:rsid w:val="009A5CB1"/>
    <w:rsid w:val="009B0095"/>
    <w:rsid w:val="009B1A0C"/>
    <w:rsid w:val="009B1EA3"/>
    <w:rsid w:val="009B27B4"/>
    <w:rsid w:val="009B2C90"/>
    <w:rsid w:val="009B2DF4"/>
    <w:rsid w:val="009B542F"/>
    <w:rsid w:val="009B5C6D"/>
    <w:rsid w:val="009B6BD0"/>
    <w:rsid w:val="009B7062"/>
    <w:rsid w:val="009B7CE3"/>
    <w:rsid w:val="009C28F3"/>
    <w:rsid w:val="009C3A70"/>
    <w:rsid w:val="009C3B15"/>
    <w:rsid w:val="009C3E56"/>
    <w:rsid w:val="009C5326"/>
    <w:rsid w:val="009C565E"/>
    <w:rsid w:val="009C6A62"/>
    <w:rsid w:val="009C6AFB"/>
    <w:rsid w:val="009D1419"/>
    <w:rsid w:val="009D40B4"/>
    <w:rsid w:val="009D4BD5"/>
    <w:rsid w:val="009D529A"/>
    <w:rsid w:val="009D5826"/>
    <w:rsid w:val="009D5E66"/>
    <w:rsid w:val="009D775E"/>
    <w:rsid w:val="009D78D0"/>
    <w:rsid w:val="009E013B"/>
    <w:rsid w:val="009E1CD7"/>
    <w:rsid w:val="009E6A8A"/>
    <w:rsid w:val="009E7575"/>
    <w:rsid w:val="009F048E"/>
    <w:rsid w:val="009F070E"/>
    <w:rsid w:val="009F1938"/>
    <w:rsid w:val="009F4DA7"/>
    <w:rsid w:val="009F5261"/>
    <w:rsid w:val="009F699E"/>
    <w:rsid w:val="009F6FD3"/>
    <w:rsid w:val="00A00A50"/>
    <w:rsid w:val="00A0184D"/>
    <w:rsid w:val="00A04691"/>
    <w:rsid w:val="00A04A28"/>
    <w:rsid w:val="00A05F5A"/>
    <w:rsid w:val="00A06629"/>
    <w:rsid w:val="00A06816"/>
    <w:rsid w:val="00A06A1D"/>
    <w:rsid w:val="00A10607"/>
    <w:rsid w:val="00A1076B"/>
    <w:rsid w:val="00A11235"/>
    <w:rsid w:val="00A123A0"/>
    <w:rsid w:val="00A123FA"/>
    <w:rsid w:val="00A13DCB"/>
    <w:rsid w:val="00A1439D"/>
    <w:rsid w:val="00A147E3"/>
    <w:rsid w:val="00A1494E"/>
    <w:rsid w:val="00A1496F"/>
    <w:rsid w:val="00A15F63"/>
    <w:rsid w:val="00A1623F"/>
    <w:rsid w:val="00A162EA"/>
    <w:rsid w:val="00A16392"/>
    <w:rsid w:val="00A16DEE"/>
    <w:rsid w:val="00A2071C"/>
    <w:rsid w:val="00A20E2B"/>
    <w:rsid w:val="00A21398"/>
    <w:rsid w:val="00A21714"/>
    <w:rsid w:val="00A21771"/>
    <w:rsid w:val="00A23A0E"/>
    <w:rsid w:val="00A23A2A"/>
    <w:rsid w:val="00A2556A"/>
    <w:rsid w:val="00A25707"/>
    <w:rsid w:val="00A265B0"/>
    <w:rsid w:val="00A311F0"/>
    <w:rsid w:val="00A335C1"/>
    <w:rsid w:val="00A34538"/>
    <w:rsid w:val="00A34E21"/>
    <w:rsid w:val="00A35215"/>
    <w:rsid w:val="00A37669"/>
    <w:rsid w:val="00A40ABC"/>
    <w:rsid w:val="00A43A86"/>
    <w:rsid w:val="00A45CE0"/>
    <w:rsid w:val="00A4640E"/>
    <w:rsid w:val="00A5056A"/>
    <w:rsid w:val="00A50BF2"/>
    <w:rsid w:val="00A50C07"/>
    <w:rsid w:val="00A50FD5"/>
    <w:rsid w:val="00A517D7"/>
    <w:rsid w:val="00A517FA"/>
    <w:rsid w:val="00A526BB"/>
    <w:rsid w:val="00A53B40"/>
    <w:rsid w:val="00A544A6"/>
    <w:rsid w:val="00A54A4E"/>
    <w:rsid w:val="00A57DD6"/>
    <w:rsid w:val="00A60161"/>
    <w:rsid w:val="00A607F8"/>
    <w:rsid w:val="00A60860"/>
    <w:rsid w:val="00A70253"/>
    <w:rsid w:val="00A70A4B"/>
    <w:rsid w:val="00A720B3"/>
    <w:rsid w:val="00A73E62"/>
    <w:rsid w:val="00A74118"/>
    <w:rsid w:val="00A741A2"/>
    <w:rsid w:val="00A7536E"/>
    <w:rsid w:val="00A75703"/>
    <w:rsid w:val="00A81463"/>
    <w:rsid w:val="00A8196C"/>
    <w:rsid w:val="00A81984"/>
    <w:rsid w:val="00A819C5"/>
    <w:rsid w:val="00A82B22"/>
    <w:rsid w:val="00A900A5"/>
    <w:rsid w:val="00A902CB"/>
    <w:rsid w:val="00A90D0A"/>
    <w:rsid w:val="00A91328"/>
    <w:rsid w:val="00A92DB5"/>
    <w:rsid w:val="00A934CC"/>
    <w:rsid w:val="00A9364C"/>
    <w:rsid w:val="00A9457B"/>
    <w:rsid w:val="00A94BDD"/>
    <w:rsid w:val="00A96DBD"/>
    <w:rsid w:val="00AA0D10"/>
    <w:rsid w:val="00AA271B"/>
    <w:rsid w:val="00AA29E9"/>
    <w:rsid w:val="00AA3403"/>
    <w:rsid w:val="00AA3428"/>
    <w:rsid w:val="00AA399E"/>
    <w:rsid w:val="00AA4BC0"/>
    <w:rsid w:val="00AA693C"/>
    <w:rsid w:val="00AA79E7"/>
    <w:rsid w:val="00AB1A7F"/>
    <w:rsid w:val="00AB2F26"/>
    <w:rsid w:val="00AB3A10"/>
    <w:rsid w:val="00AB3A60"/>
    <w:rsid w:val="00AB3D46"/>
    <w:rsid w:val="00AB6B7E"/>
    <w:rsid w:val="00AB7507"/>
    <w:rsid w:val="00AC21E0"/>
    <w:rsid w:val="00AC3276"/>
    <w:rsid w:val="00AC4450"/>
    <w:rsid w:val="00AC58BB"/>
    <w:rsid w:val="00AC62EE"/>
    <w:rsid w:val="00AC7B45"/>
    <w:rsid w:val="00AD14A0"/>
    <w:rsid w:val="00AD1EC8"/>
    <w:rsid w:val="00AD44F5"/>
    <w:rsid w:val="00AD4C8D"/>
    <w:rsid w:val="00AD4D1B"/>
    <w:rsid w:val="00AD6965"/>
    <w:rsid w:val="00AE0F16"/>
    <w:rsid w:val="00AE4793"/>
    <w:rsid w:val="00AE49AB"/>
    <w:rsid w:val="00AE5244"/>
    <w:rsid w:val="00AE5260"/>
    <w:rsid w:val="00AE5F8D"/>
    <w:rsid w:val="00AE7679"/>
    <w:rsid w:val="00AF06E0"/>
    <w:rsid w:val="00AF0D43"/>
    <w:rsid w:val="00AF3D10"/>
    <w:rsid w:val="00AF4F34"/>
    <w:rsid w:val="00AF503E"/>
    <w:rsid w:val="00AF53DA"/>
    <w:rsid w:val="00AF64F7"/>
    <w:rsid w:val="00AF7226"/>
    <w:rsid w:val="00AF77FB"/>
    <w:rsid w:val="00AF7BE7"/>
    <w:rsid w:val="00B01D85"/>
    <w:rsid w:val="00B02685"/>
    <w:rsid w:val="00B0361B"/>
    <w:rsid w:val="00B10BFC"/>
    <w:rsid w:val="00B1269F"/>
    <w:rsid w:val="00B1311F"/>
    <w:rsid w:val="00B1320F"/>
    <w:rsid w:val="00B17AA7"/>
    <w:rsid w:val="00B20304"/>
    <w:rsid w:val="00B2126B"/>
    <w:rsid w:val="00B21DF7"/>
    <w:rsid w:val="00B2237F"/>
    <w:rsid w:val="00B22770"/>
    <w:rsid w:val="00B22F55"/>
    <w:rsid w:val="00B2437A"/>
    <w:rsid w:val="00B26758"/>
    <w:rsid w:val="00B26C35"/>
    <w:rsid w:val="00B31A3B"/>
    <w:rsid w:val="00B31BEC"/>
    <w:rsid w:val="00B3205F"/>
    <w:rsid w:val="00B3225A"/>
    <w:rsid w:val="00B33151"/>
    <w:rsid w:val="00B3406F"/>
    <w:rsid w:val="00B349B0"/>
    <w:rsid w:val="00B34FC5"/>
    <w:rsid w:val="00B36A7F"/>
    <w:rsid w:val="00B403B4"/>
    <w:rsid w:val="00B40BAA"/>
    <w:rsid w:val="00B43426"/>
    <w:rsid w:val="00B44837"/>
    <w:rsid w:val="00B460ED"/>
    <w:rsid w:val="00B474BE"/>
    <w:rsid w:val="00B504F7"/>
    <w:rsid w:val="00B50585"/>
    <w:rsid w:val="00B50A72"/>
    <w:rsid w:val="00B5521C"/>
    <w:rsid w:val="00B5525C"/>
    <w:rsid w:val="00B55D8F"/>
    <w:rsid w:val="00B61742"/>
    <w:rsid w:val="00B619D3"/>
    <w:rsid w:val="00B6298E"/>
    <w:rsid w:val="00B6362D"/>
    <w:rsid w:val="00B705C4"/>
    <w:rsid w:val="00B70678"/>
    <w:rsid w:val="00B71B0F"/>
    <w:rsid w:val="00B74060"/>
    <w:rsid w:val="00B763AE"/>
    <w:rsid w:val="00B765BC"/>
    <w:rsid w:val="00B81904"/>
    <w:rsid w:val="00B826E7"/>
    <w:rsid w:val="00B83A03"/>
    <w:rsid w:val="00B8632D"/>
    <w:rsid w:val="00B864F1"/>
    <w:rsid w:val="00B866AB"/>
    <w:rsid w:val="00B86871"/>
    <w:rsid w:val="00B87300"/>
    <w:rsid w:val="00B87753"/>
    <w:rsid w:val="00B90356"/>
    <w:rsid w:val="00B90909"/>
    <w:rsid w:val="00B90DF9"/>
    <w:rsid w:val="00B91B8B"/>
    <w:rsid w:val="00B944D3"/>
    <w:rsid w:val="00B95B72"/>
    <w:rsid w:val="00B961C5"/>
    <w:rsid w:val="00B970BF"/>
    <w:rsid w:val="00B976E2"/>
    <w:rsid w:val="00B97DE6"/>
    <w:rsid w:val="00BA122B"/>
    <w:rsid w:val="00BA1437"/>
    <w:rsid w:val="00BA160D"/>
    <w:rsid w:val="00BA1B2A"/>
    <w:rsid w:val="00BA1E8B"/>
    <w:rsid w:val="00BA2069"/>
    <w:rsid w:val="00BA285A"/>
    <w:rsid w:val="00BA5A34"/>
    <w:rsid w:val="00BA5B6A"/>
    <w:rsid w:val="00BA5DA3"/>
    <w:rsid w:val="00BA6055"/>
    <w:rsid w:val="00BA6C22"/>
    <w:rsid w:val="00BA6EE4"/>
    <w:rsid w:val="00BB0531"/>
    <w:rsid w:val="00BB0595"/>
    <w:rsid w:val="00BB088D"/>
    <w:rsid w:val="00BB1520"/>
    <w:rsid w:val="00BB2151"/>
    <w:rsid w:val="00BB5283"/>
    <w:rsid w:val="00BB52FA"/>
    <w:rsid w:val="00BB545F"/>
    <w:rsid w:val="00BB67CE"/>
    <w:rsid w:val="00BC07D8"/>
    <w:rsid w:val="00BC0BA7"/>
    <w:rsid w:val="00BC10F0"/>
    <w:rsid w:val="00BC18BB"/>
    <w:rsid w:val="00BC21E0"/>
    <w:rsid w:val="00BC245D"/>
    <w:rsid w:val="00BC672E"/>
    <w:rsid w:val="00BC6839"/>
    <w:rsid w:val="00BD071A"/>
    <w:rsid w:val="00BD217B"/>
    <w:rsid w:val="00BD2180"/>
    <w:rsid w:val="00BD2287"/>
    <w:rsid w:val="00BD2530"/>
    <w:rsid w:val="00BD6F3D"/>
    <w:rsid w:val="00BD7585"/>
    <w:rsid w:val="00BE09F4"/>
    <w:rsid w:val="00BE23D3"/>
    <w:rsid w:val="00BE2A26"/>
    <w:rsid w:val="00BE307A"/>
    <w:rsid w:val="00BE3C6E"/>
    <w:rsid w:val="00BE3D21"/>
    <w:rsid w:val="00BE4CBE"/>
    <w:rsid w:val="00BE5182"/>
    <w:rsid w:val="00BE6589"/>
    <w:rsid w:val="00BE6C61"/>
    <w:rsid w:val="00BE797F"/>
    <w:rsid w:val="00BF1654"/>
    <w:rsid w:val="00BF3BEC"/>
    <w:rsid w:val="00BF5370"/>
    <w:rsid w:val="00BF7F9A"/>
    <w:rsid w:val="00C01E2E"/>
    <w:rsid w:val="00C02E69"/>
    <w:rsid w:val="00C04116"/>
    <w:rsid w:val="00C049F7"/>
    <w:rsid w:val="00C04BD8"/>
    <w:rsid w:val="00C05C9D"/>
    <w:rsid w:val="00C06C0A"/>
    <w:rsid w:val="00C100E6"/>
    <w:rsid w:val="00C10ADD"/>
    <w:rsid w:val="00C11654"/>
    <w:rsid w:val="00C1171B"/>
    <w:rsid w:val="00C12302"/>
    <w:rsid w:val="00C1261E"/>
    <w:rsid w:val="00C1321F"/>
    <w:rsid w:val="00C14A1C"/>
    <w:rsid w:val="00C168AF"/>
    <w:rsid w:val="00C171FE"/>
    <w:rsid w:val="00C17762"/>
    <w:rsid w:val="00C21571"/>
    <w:rsid w:val="00C224DA"/>
    <w:rsid w:val="00C22523"/>
    <w:rsid w:val="00C32AAB"/>
    <w:rsid w:val="00C32E14"/>
    <w:rsid w:val="00C3475A"/>
    <w:rsid w:val="00C34E97"/>
    <w:rsid w:val="00C35B03"/>
    <w:rsid w:val="00C37177"/>
    <w:rsid w:val="00C373A8"/>
    <w:rsid w:val="00C378FC"/>
    <w:rsid w:val="00C40279"/>
    <w:rsid w:val="00C406D3"/>
    <w:rsid w:val="00C4482B"/>
    <w:rsid w:val="00C4601A"/>
    <w:rsid w:val="00C46493"/>
    <w:rsid w:val="00C47140"/>
    <w:rsid w:val="00C51BE6"/>
    <w:rsid w:val="00C51D3B"/>
    <w:rsid w:val="00C52476"/>
    <w:rsid w:val="00C52832"/>
    <w:rsid w:val="00C53159"/>
    <w:rsid w:val="00C53C15"/>
    <w:rsid w:val="00C54973"/>
    <w:rsid w:val="00C5507D"/>
    <w:rsid w:val="00C61627"/>
    <w:rsid w:val="00C63F2F"/>
    <w:rsid w:val="00C6496E"/>
    <w:rsid w:val="00C6577F"/>
    <w:rsid w:val="00C65862"/>
    <w:rsid w:val="00C65AF6"/>
    <w:rsid w:val="00C65D09"/>
    <w:rsid w:val="00C67FEB"/>
    <w:rsid w:val="00C71339"/>
    <w:rsid w:val="00C72954"/>
    <w:rsid w:val="00C75456"/>
    <w:rsid w:val="00C754BB"/>
    <w:rsid w:val="00C76873"/>
    <w:rsid w:val="00C771B6"/>
    <w:rsid w:val="00C81530"/>
    <w:rsid w:val="00C8177F"/>
    <w:rsid w:val="00C82D8C"/>
    <w:rsid w:val="00C84523"/>
    <w:rsid w:val="00C852D9"/>
    <w:rsid w:val="00C907F2"/>
    <w:rsid w:val="00C9249E"/>
    <w:rsid w:val="00C92705"/>
    <w:rsid w:val="00C92ADB"/>
    <w:rsid w:val="00C93699"/>
    <w:rsid w:val="00C949A6"/>
    <w:rsid w:val="00C94CBC"/>
    <w:rsid w:val="00C96128"/>
    <w:rsid w:val="00C96B5D"/>
    <w:rsid w:val="00C97223"/>
    <w:rsid w:val="00C97A16"/>
    <w:rsid w:val="00CA0CFB"/>
    <w:rsid w:val="00CA15D6"/>
    <w:rsid w:val="00CA2B59"/>
    <w:rsid w:val="00CA45CF"/>
    <w:rsid w:val="00CA4D52"/>
    <w:rsid w:val="00CA6926"/>
    <w:rsid w:val="00CB01E9"/>
    <w:rsid w:val="00CB25F4"/>
    <w:rsid w:val="00CB2AF9"/>
    <w:rsid w:val="00CB4F4C"/>
    <w:rsid w:val="00CB51E4"/>
    <w:rsid w:val="00CB67C9"/>
    <w:rsid w:val="00CB6865"/>
    <w:rsid w:val="00CB6BDB"/>
    <w:rsid w:val="00CB7754"/>
    <w:rsid w:val="00CC02F2"/>
    <w:rsid w:val="00CC1AE3"/>
    <w:rsid w:val="00CC2E7A"/>
    <w:rsid w:val="00CC34E5"/>
    <w:rsid w:val="00CC69AD"/>
    <w:rsid w:val="00CD2528"/>
    <w:rsid w:val="00CD2788"/>
    <w:rsid w:val="00CD3574"/>
    <w:rsid w:val="00CE1377"/>
    <w:rsid w:val="00CE3F70"/>
    <w:rsid w:val="00CE4FE9"/>
    <w:rsid w:val="00CE5CFB"/>
    <w:rsid w:val="00CF0219"/>
    <w:rsid w:val="00CF1967"/>
    <w:rsid w:val="00CF2A07"/>
    <w:rsid w:val="00CF2E4D"/>
    <w:rsid w:val="00CF3AF1"/>
    <w:rsid w:val="00CF750F"/>
    <w:rsid w:val="00CF7FD1"/>
    <w:rsid w:val="00D0145C"/>
    <w:rsid w:val="00D01E55"/>
    <w:rsid w:val="00D023C4"/>
    <w:rsid w:val="00D02478"/>
    <w:rsid w:val="00D0416F"/>
    <w:rsid w:val="00D04B32"/>
    <w:rsid w:val="00D07CA9"/>
    <w:rsid w:val="00D108E4"/>
    <w:rsid w:val="00D12708"/>
    <w:rsid w:val="00D13322"/>
    <w:rsid w:val="00D14A15"/>
    <w:rsid w:val="00D15321"/>
    <w:rsid w:val="00D154C2"/>
    <w:rsid w:val="00D169ED"/>
    <w:rsid w:val="00D16AAA"/>
    <w:rsid w:val="00D16B7B"/>
    <w:rsid w:val="00D2093D"/>
    <w:rsid w:val="00D24DD7"/>
    <w:rsid w:val="00D26107"/>
    <w:rsid w:val="00D275CC"/>
    <w:rsid w:val="00D27A8E"/>
    <w:rsid w:val="00D30848"/>
    <w:rsid w:val="00D31CC8"/>
    <w:rsid w:val="00D32777"/>
    <w:rsid w:val="00D339D3"/>
    <w:rsid w:val="00D34CA1"/>
    <w:rsid w:val="00D34E58"/>
    <w:rsid w:val="00D37121"/>
    <w:rsid w:val="00D42234"/>
    <w:rsid w:val="00D43BDD"/>
    <w:rsid w:val="00D44EDD"/>
    <w:rsid w:val="00D45E8A"/>
    <w:rsid w:val="00D45F72"/>
    <w:rsid w:val="00D474F6"/>
    <w:rsid w:val="00D47635"/>
    <w:rsid w:val="00D50C48"/>
    <w:rsid w:val="00D550E0"/>
    <w:rsid w:val="00D55A3D"/>
    <w:rsid w:val="00D561CB"/>
    <w:rsid w:val="00D574FB"/>
    <w:rsid w:val="00D579DA"/>
    <w:rsid w:val="00D606AF"/>
    <w:rsid w:val="00D612B7"/>
    <w:rsid w:val="00D62091"/>
    <w:rsid w:val="00D62527"/>
    <w:rsid w:val="00D67CAD"/>
    <w:rsid w:val="00D70281"/>
    <w:rsid w:val="00D70983"/>
    <w:rsid w:val="00D71CDE"/>
    <w:rsid w:val="00D72A9F"/>
    <w:rsid w:val="00D72D78"/>
    <w:rsid w:val="00D73B4D"/>
    <w:rsid w:val="00D74240"/>
    <w:rsid w:val="00D74FB3"/>
    <w:rsid w:val="00D76003"/>
    <w:rsid w:val="00D77085"/>
    <w:rsid w:val="00D771BB"/>
    <w:rsid w:val="00D775AF"/>
    <w:rsid w:val="00D8079B"/>
    <w:rsid w:val="00D80990"/>
    <w:rsid w:val="00D80A7E"/>
    <w:rsid w:val="00D81AA9"/>
    <w:rsid w:val="00D83DD8"/>
    <w:rsid w:val="00D84075"/>
    <w:rsid w:val="00D8480D"/>
    <w:rsid w:val="00D84A4B"/>
    <w:rsid w:val="00D862EA"/>
    <w:rsid w:val="00D8696F"/>
    <w:rsid w:val="00D9134B"/>
    <w:rsid w:val="00D93066"/>
    <w:rsid w:val="00D97966"/>
    <w:rsid w:val="00DA26E2"/>
    <w:rsid w:val="00DA2FD8"/>
    <w:rsid w:val="00DA336A"/>
    <w:rsid w:val="00DA56ED"/>
    <w:rsid w:val="00DA72F3"/>
    <w:rsid w:val="00DA738F"/>
    <w:rsid w:val="00DB6843"/>
    <w:rsid w:val="00DB733E"/>
    <w:rsid w:val="00DC26B7"/>
    <w:rsid w:val="00DC4040"/>
    <w:rsid w:val="00DC5006"/>
    <w:rsid w:val="00DC634F"/>
    <w:rsid w:val="00DC63C5"/>
    <w:rsid w:val="00DC7ABE"/>
    <w:rsid w:val="00DD02F7"/>
    <w:rsid w:val="00DD0D87"/>
    <w:rsid w:val="00DD101A"/>
    <w:rsid w:val="00DD11C5"/>
    <w:rsid w:val="00DD2654"/>
    <w:rsid w:val="00DD2762"/>
    <w:rsid w:val="00DD2A7D"/>
    <w:rsid w:val="00DD2C3C"/>
    <w:rsid w:val="00DD2C9C"/>
    <w:rsid w:val="00DD355D"/>
    <w:rsid w:val="00DD3BA9"/>
    <w:rsid w:val="00DD4419"/>
    <w:rsid w:val="00DD44E5"/>
    <w:rsid w:val="00DD60EF"/>
    <w:rsid w:val="00DE09D4"/>
    <w:rsid w:val="00DE2CAE"/>
    <w:rsid w:val="00DE335F"/>
    <w:rsid w:val="00DE3EDC"/>
    <w:rsid w:val="00DE5199"/>
    <w:rsid w:val="00DE58AF"/>
    <w:rsid w:val="00DE6063"/>
    <w:rsid w:val="00DF398B"/>
    <w:rsid w:val="00DF44BA"/>
    <w:rsid w:val="00DF4CBB"/>
    <w:rsid w:val="00DF4D9E"/>
    <w:rsid w:val="00DF6024"/>
    <w:rsid w:val="00DF7649"/>
    <w:rsid w:val="00DF7C15"/>
    <w:rsid w:val="00E007B2"/>
    <w:rsid w:val="00E022F2"/>
    <w:rsid w:val="00E026EF"/>
    <w:rsid w:val="00E02AFC"/>
    <w:rsid w:val="00E037C5"/>
    <w:rsid w:val="00E0393B"/>
    <w:rsid w:val="00E0512D"/>
    <w:rsid w:val="00E05EA5"/>
    <w:rsid w:val="00E10873"/>
    <w:rsid w:val="00E10988"/>
    <w:rsid w:val="00E12DD3"/>
    <w:rsid w:val="00E216EA"/>
    <w:rsid w:val="00E22999"/>
    <w:rsid w:val="00E253C6"/>
    <w:rsid w:val="00E26560"/>
    <w:rsid w:val="00E2704F"/>
    <w:rsid w:val="00E3377F"/>
    <w:rsid w:val="00E36386"/>
    <w:rsid w:val="00E36FF2"/>
    <w:rsid w:val="00E370D2"/>
    <w:rsid w:val="00E4094B"/>
    <w:rsid w:val="00E475D3"/>
    <w:rsid w:val="00E503C0"/>
    <w:rsid w:val="00E51792"/>
    <w:rsid w:val="00E517E0"/>
    <w:rsid w:val="00E51A32"/>
    <w:rsid w:val="00E524A1"/>
    <w:rsid w:val="00E5344B"/>
    <w:rsid w:val="00E53DB2"/>
    <w:rsid w:val="00E54721"/>
    <w:rsid w:val="00E55816"/>
    <w:rsid w:val="00E5640F"/>
    <w:rsid w:val="00E56D8D"/>
    <w:rsid w:val="00E5735D"/>
    <w:rsid w:val="00E605A1"/>
    <w:rsid w:val="00E6080E"/>
    <w:rsid w:val="00E6104D"/>
    <w:rsid w:val="00E6344F"/>
    <w:rsid w:val="00E6377C"/>
    <w:rsid w:val="00E63F5A"/>
    <w:rsid w:val="00E72E99"/>
    <w:rsid w:val="00E73276"/>
    <w:rsid w:val="00E7363E"/>
    <w:rsid w:val="00E80792"/>
    <w:rsid w:val="00E85BA1"/>
    <w:rsid w:val="00E868F2"/>
    <w:rsid w:val="00E911C3"/>
    <w:rsid w:val="00E94AFB"/>
    <w:rsid w:val="00E94C97"/>
    <w:rsid w:val="00E958DE"/>
    <w:rsid w:val="00E96B93"/>
    <w:rsid w:val="00E97690"/>
    <w:rsid w:val="00E97EF7"/>
    <w:rsid w:val="00EA0AF2"/>
    <w:rsid w:val="00EA12D2"/>
    <w:rsid w:val="00EA1A1E"/>
    <w:rsid w:val="00EA1A4B"/>
    <w:rsid w:val="00EA1C91"/>
    <w:rsid w:val="00EA26EE"/>
    <w:rsid w:val="00EA30BA"/>
    <w:rsid w:val="00EA54BD"/>
    <w:rsid w:val="00EA7D66"/>
    <w:rsid w:val="00EB0F0F"/>
    <w:rsid w:val="00EB1828"/>
    <w:rsid w:val="00EB2AC2"/>
    <w:rsid w:val="00EB3351"/>
    <w:rsid w:val="00EB35AB"/>
    <w:rsid w:val="00EB4BEB"/>
    <w:rsid w:val="00EB6DB7"/>
    <w:rsid w:val="00EC0B4B"/>
    <w:rsid w:val="00EC1832"/>
    <w:rsid w:val="00EC1F03"/>
    <w:rsid w:val="00EC407F"/>
    <w:rsid w:val="00EC52A0"/>
    <w:rsid w:val="00EC56A4"/>
    <w:rsid w:val="00EC6BBD"/>
    <w:rsid w:val="00ED0D84"/>
    <w:rsid w:val="00ED5699"/>
    <w:rsid w:val="00ED6402"/>
    <w:rsid w:val="00ED7193"/>
    <w:rsid w:val="00ED72FB"/>
    <w:rsid w:val="00ED7A45"/>
    <w:rsid w:val="00EE23CE"/>
    <w:rsid w:val="00EE258D"/>
    <w:rsid w:val="00EE3704"/>
    <w:rsid w:val="00EE3A61"/>
    <w:rsid w:val="00EE415E"/>
    <w:rsid w:val="00EE71B9"/>
    <w:rsid w:val="00EE7CA1"/>
    <w:rsid w:val="00EF042E"/>
    <w:rsid w:val="00EF0D4C"/>
    <w:rsid w:val="00EF1117"/>
    <w:rsid w:val="00EF2A48"/>
    <w:rsid w:val="00EF57B6"/>
    <w:rsid w:val="00EF5FCF"/>
    <w:rsid w:val="00EF6663"/>
    <w:rsid w:val="00EF6692"/>
    <w:rsid w:val="00EF76A7"/>
    <w:rsid w:val="00EF7A9E"/>
    <w:rsid w:val="00F0092F"/>
    <w:rsid w:val="00F04C65"/>
    <w:rsid w:val="00F0564C"/>
    <w:rsid w:val="00F0771E"/>
    <w:rsid w:val="00F1215F"/>
    <w:rsid w:val="00F145B5"/>
    <w:rsid w:val="00F14C08"/>
    <w:rsid w:val="00F16E45"/>
    <w:rsid w:val="00F1779D"/>
    <w:rsid w:val="00F22B5E"/>
    <w:rsid w:val="00F235EE"/>
    <w:rsid w:val="00F25A61"/>
    <w:rsid w:val="00F267A7"/>
    <w:rsid w:val="00F27F35"/>
    <w:rsid w:val="00F31645"/>
    <w:rsid w:val="00F36154"/>
    <w:rsid w:val="00F373BF"/>
    <w:rsid w:val="00F3758F"/>
    <w:rsid w:val="00F3775D"/>
    <w:rsid w:val="00F40459"/>
    <w:rsid w:val="00F40489"/>
    <w:rsid w:val="00F40704"/>
    <w:rsid w:val="00F42BE8"/>
    <w:rsid w:val="00F4317A"/>
    <w:rsid w:val="00F437FE"/>
    <w:rsid w:val="00F44F86"/>
    <w:rsid w:val="00F461DB"/>
    <w:rsid w:val="00F4711F"/>
    <w:rsid w:val="00F475AC"/>
    <w:rsid w:val="00F50318"/>
    <w:rsid w:val="00F50517"/>
    <w:rsid w:val="00F51632"/>
    <w:rsid w:val="00F532C3"/>
    <w:rsid w:val="00F539CA"/>
    <w:rsid w:val="00F548F4"/>
    <w:rsid w:val="00F563F4"/>
    <w:rsid w:val="00F57500"/>
    <w:rsid w:val="00F62175"/>
    <w:rsid w:val="00F63B68"/>
    <w:rsid w:val="00F63D8B"/>
    <w:rsid w:val="00F63FE7"/>
    <w:rsid w:val="00F64DC8"/>
    <w:rsid w:val="00F64F28"/>
    <w:rsid w:val="00F657BB"/>
    <w:rsid w:val="00F65AFA"/>
    <w:rsid w:val="00F6732E"/>
    <w:rsid w:val="00F675A1"/>
    <w:rsid w:val="00F67E7D"/>
    <w:rsid w:val="00F72831"/>
    <w:rsid w:val="00F72CFA"/>
    <w:rsid w:val="00F72F4C"/>
    <w:rsid w:val="00F744EB"/>
    <w:rsid w:val="00F74AC2"/>
    <w:rsid w:val="00F755BF"/>
    <w:rsid w:val="00F75952"/>
    <w:rsid w:val="00F81396"/>
    <w:rsid w:val="00F8279F"/>
    <w:rsid w:val="00F83558"/>
    <w:rsid w:val="00F83591"/>
    <w:rsid w:val="00F84324"/>
    <w:rsid w:val="00F8713A"/>
    <w:rsid w:val="00F87CF9"/>
    <w:rsid w:val="00F902B9"/>
    <w:rsid w:val="00F90B76"/>
    <w:rsid w:val="00F918C4"/>
    <w:rsid w:val="00F9197B"/>
    <w:rsid w:val="00F93218"/>
    <w:rsid w:val="00F967E8"/>
    <w:rsid w:val="00F96C2D"/>
    <w:rsid w:val="00FA1385"/>
    <w:rsid w:val="00FA1B73"/>
    <w:rsid w:val="00FA43B1"/>
    <w:rsid w:val="00FA4934"/>
    <w:rsid w:val="00FA558B"/>
    <w:rsid w:val="00FA653D"/>
    <w:rsid w:val="00FA7067"/>
    <w:rsid w:val="00FB1BAA"/>
    <w:rsid w:val="00FB2791"/>
    <w:rsid w:val="00FB3D5F"/>
    <w:rsid w:val="00FB443C"/>
    <w:rsid w:val="00FB747E"/>
    <w:rsid w:val="00FC1700"/>
    <w:rsid w:val="00FC174A"/>
    <w:rsid w:val="00FC26A7"/>
    <w:rsid w:val="00FC3382"/>
    <w:rsid w:val="00FC445A"/>
    <w:rsid w:val="00FC48AE"/>
    <w:rsid w:val="00FC5FB7"/>
    <w:rsid w:val="00FC60C8"/>
    <w:rsid w:val="00FD0E70"/>
    <w:rsid w:val="00FD2367"/>
    <w:rsid w:val="00FD2409"/>
    <w:rsid w:val="00FD3658"/>
    <w:rsid w:val="00FD42D0"/>
    <w:rsid w:val="00FD5303"/>
    <w:rsid w:val="00FE0767"/>
    <w:rsid w:val="00FE0D04"/>
    <w:rsid w:val="00FE29B3"/>
    <w:rsid w:val="00FE4720"/>
    <w:rsid w:val="00FE47A1"/>
    <w:rsid w:val="00FE4D86"/>
    <w:rsid w:val="00FE60F6"/>
    <w:rsid w:val="00FE657E"/>
    <w:rsid w:val="00FE75B2"/>
    <w:rsid w:val="00FF233E"/>
    <w:rsid w:val="00FF2B00"/>
    <w:rsid w:val="00FF3348"/>
    <w:rsid w:val="00FF3D37"/>
    <w:rsid w:val="00FF4E6B"/>
    <w:rsid w:val="00FF56D0"/>
    <w:rsid w:val="00FF575E"/>
    <w:rsid w:val="00FF7BC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FAB1DB"/>
  <w15:docId w15:val="{64122ED6-D016-440F-A9C1-FB5143708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BDE"/>
    <w:pPr>
      <w:spacing w:after="200" w:line="276" w:lineRule="auto"/>
    </w:pPr>
    <w:rPr>
      <w:sz w:val="22"/>
      <w:szCs w:val="22"/>
      <w:lang w:eastAsia="en-US"/>
    </w:rPr>
  </w:style>
  <w:style w:type="paragraph" w:styleId="Ttulo1">
    <w:name w:val="heading 1"/>
    <w:basedOn w:val="Normal"/>
    <w:next w:val="Normal"/>
    <w:link w:val="Ttulo1Car"/>
    <w:uiPriority w:val="9"/>
    <w:qFormat/>
    <w:rsid w:val="00045432"/>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qFormat/>
    <w:rsid w:val="00C32AAB"/>
    <w:pPr>
      <w:keepNext/>
      <w:suppressAutoHyphens/>
      <w:spacing w:before="240" w:after="60" w:line="240" w:lineRule="auto"/>
      <w:outlineLvl w:val="1"/>
    </w:pPr>
    <w:rPr>
      <w:rFonts w:ascii="Arial" w:eastAsia="Times New Roman" w:hAnsi="Arial" w:cs="Arial"/>
      <w:b/>
      <w:bCs/>
      <w:i/>
      <w:iCs/>
      <w:sz w:val="28"/>
      <w:szCs w:val="28"/>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8241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8241B"/>
  </w:style>
  <w:style w:type="paragraph" w:styleId="Piedepgina">
    <w:name w:val="footer"/>
    <w:basedOn w:val="Normal"/>
    <w:link w:val="PiedepginaCar"/>
    <w:uiPriority w:val="99"/>
    <w:unhideWhenUsed/>
    <w:rsid w:val="0078241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241B"/>
  </w:style>
  <w:style w:type="paragraph" w:styleId="Textodeglobo">
    <w:name w:val="Balloon Text"/>
    <w:basedOn w:val="Normal"/>
    <w:link w:val="TextodegloboCar"/>
    <w:uiPriority w:val="99"/>
    <w:semiHidden/>
    <w:unhideWhenUsed/>
    <w:rsid w:val="0078241B"/>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78241B"/>
    <w:rPr>
      <w:rFonts w:ascii="Tahoma" w:hAnsi="Tahoma" w:cs="Tahoma"/>
      <w:sz w:val="16"/>
      <w:szCs w:val="16"/>
    </w:rPr>
  </w:style>
  <w:style w:type="paragraph" w:styleId="NormalWeb">
    <w:name w:val="Normal (Web)"/>
    <w:basedOn w:val="Normal"/>
    <w:link w:val="NormalWebCar"/>
    <w:uiPriority w:val="99"/>
    <w:unhideWhenUsed/>
    <w:qFormat/>
    <w:rsid w:val="0078241B"/>
    <w:pPr>
      <w:spacing w:before="100" w:beforeAutospacing="1" w:after="119" w:line="240" w:lineRule="auto"/>
    </w:pPr>
    <w:rPr>
      <w:rFonts w:ascii="Times New Roman" w:eastAsia="Times New Roman" w:hAnsi="Times New Roman"/>
      <w:sz w:val="24"/>
      <w:szCs w:val="24"/>
      <w:lang w:eastAsia="es-CR"/>
    </w:rPr>
  </w:style>
  <w:style w:type="character" w:customStyle="1" w:styleId="Ttulo1Car">
    <w:name w:val="Título 1 Car"/>
    <w:link w:val="Ttulo1"/>
    <w:uiPriority w:val="9"/>
    <w:rsid w:val="00045432"/>
    <w:rPr>
      <w:rFonts w:ascii="Cambria" w:eastAsia="Times New Roman" w:hAnsi="Cambria" w:cs="Times New Roman"/>
      <w:b/>
      <w:bCs/>
      <w:kern w:val="32"/>
      <w:sz w:val="32"/>
      <w:szCs w:val="32"/>
    </w:rPr>
  </w:style>
  <w:style w:type="paragraph" w:styleId="Prrafodelista">
    <w:name w:val="List Paragraph"/>
    <w:basedOn w:val="Normal"/>
    <w:uiPriority w:val="34"/>
    <w:qFormat/>
    <w:rsid w:val="00045432"/>
    <w:pPr>
      <w:ind w:left="720"/>
      <w:contextualSpacing/>
    </w:pPr>
  </w:style>
  <w:style w:type="table" w:styleId="Tablaconcuadrcula">
    <w:name w:val="Table Grid"/>
    <w:basedOn w:val="Tablanormal"/>
    <w:uiPriority w:val="39"/>
    <w:rsid w:val="000454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link w:val="Ttulo2"/>
    <w:rsid w:val="00C32AAB"/>
    <w:rPr>
      <w:rFonts w:ascii="Arial" w:eastAsia="Times New Roman" w:hAnsi="Arial" w:cs="Arial"/>
      <w:b/>
      <w:bCs/>
      <w:i/>
      <w:iCs/>
      <w:sz w:val="28"/>
      <w:szCs w:val="28"/>
      <w:lang w:val="es-ES" w:eastAsia="ar-SA"/>
    </w:rPr>
  </w:style>
  <w:style w:type="character" w:customStyle="1" w:styleId="NormalWebCar">
    <w:name w:val="Normal (Web) Car"/>
    <w:link w:val="NormalWeb"/>
    <w:uiPriority w:val="99"/>
    <w:locked/>
    <w:rsid w:val="008C2533"/>
    <w:rPr>
      <w:rFonts w:ascii="Times New Roman" w:eastAsia="Times New Roman" w:hAnsi="Times New Roman" w:cs="Times New Roman"/>
      <w:sz w:val="24"/>
      <w:szCs w:val="24"/>
      <w:lang w:eastAsia="es-CR"/>
    </w:rPr>
  </w:style>
  <w:style w:type="paragraph" w:styleId="Textoindependiente">
    <w:name w:val="Body Text"/>
    <w:basedOn w:val="Normal"/>
    <w:link w:val="TextoindependienteCar"/>
    <w:uiPriority w:val="99"/>
    <w:semiHidden/>
    <w:unhideWhenUsed/>
    <w:rsid w:val="000C66EC"/>
    <w:pPr>
      <w:spacing w:after="120" w:line="240" w:lineRule="auto"/>
    </w:pPr>
    <w:rPr>
      <w:rFonts w:ascii="Times New Roman" w:hAnsi="Times New Roman"/>
      <w:sz w:val="24"/>
      <w:szCs w:val="24"/>
      <w:lang w:eastAsia="es-CR"/>
    </w:rPr>
  </w:style>
  <w:style w:type="character" w:customStyle="1" w:styleId="TextoindependienteCar">
    <w:name w:val="Texto independiente Car"/>
    <w:link w:val="Textoindependiente"/>
    <w:uiPriority w:val="99"/>
    <w:semiHidden/>
    <w:rsid w:val="000C66EC"/>
    <w:rPr>
      <w:rFonts w:ascii="Times New Roman" w:hAnsi="Times New Roman" w:cs="Times New Roman"/>
      <w:sz w:val="24"/>
      <w:szCs w:val="24"/>
      <w:lang w:eastAsia="es-CR"/>
    </w:rPr>
  </w:style>
  <w:style w:type="character" w:styleId="nfasis">
    <w:name w:val="Emphasis"/>
    <w:uiPriority w:val="20"/>
    <w:qFormat/>
    <w:rsid w:val="009E1CD7"/>
    <w:rPr>
      <w:i/>
      <w:iCs/>
    </w:rPr>
  </w:style>
  <w:style w:type="character" w:styleId="Textoennegrita">
    <w:name w:val="Strong"/>
    <w:uiPriority w:val="22"/>
    <w:qFormat/>
    <w:rsid w:val="009E1CD7"/>
    <w:rPr>
      <w:b/>
      <w:bCs/>
    </w:rPr>
  </w:style>
  <w:style w:type="character" w:styleId="Hipervnculo">
    <w:name w:val="Hyperlink"/>
    <w:uiPriority w:val="99"/>
    <w:semiHidden/>
    <w:unhideWhenUsed/>
    <w:rsid w:val="001159BE"/>
    <w:rPr>
      <w:color w:val="0563C1"/>
      <w:u w:val="single"/>
    </w:rPr>
  </w:style>
  <w:style w:type="paragraph" w:styleId="Textoindependiente3">
    <w:name w:val="Body Text 3"/>
    <w:basedOn w:val="Normal"/>
    <w:link w:val="Textoindependiente3Car"/>
    <w:uiPriority w:val="99"/>
    <w:semiHidden/>
    <w:unhideWhenUsed/>
    <w:rsid w:val="006C3592"/>
    <w:pPr>
      <w:spacing w:after="120"/>
    </w:pPr>
    <w:rPr>
      <w:sz w:val="16"/>
      <w:szCs w:val="16"/>
    </w:rPr>
  </w:style>
  <w:style w:type="character" w:customStyle="1" w:styleId="Textoindependiente3Car">
    <w:name w:val="Texto independiente 3 Car"/>
    <w:link w:val="Textoindependiente3"/>
    <w:uiPriority w:val="99"/>
    <w:semiHidden/>
    <w:rsid w:val="006C3592"/>
    <w:rPr>
      <w:sz w:val="16"/>
      <w:szCs w:val="16"/>
    </w:rPr>
  </w:style>
  <w:style w:type="paragraph" w:styleId="Textonotapie">
    <w:name w:val="footnote text"/>
    <w:basedOn w:val="Normal"/>
    <w:link w:val="TextonotapieCar1"/>
    <w:uiPriority w:val="99"/>
    <w:semiHidden/>
    <w:unhideWhenUsed/>
    <w:rsid w:val="006C3592"/>
    <w:pPr>
      <w:spacing w:after="0" w:line="240" w:lineRule="auto"/>
    </w:pPr>
    <w:rPr>
      <w:sz w:val="20"/>
      <w:szCs w:val="20"/>
    </w:rPr>
  </w:style>
  <w:style w:type="character" w:customStyle="1" w:styleId="TextonotapieCar">
    <w:name w:val="Texto nota pie Car"/>
    <w:uiPriority w:val="99"/>
    <w:semiHidden/>
    <w:rsid w:val="006C3592"/>
    <w:rPr>
      <w:sz w:val="20"/>
      <w:szCs w:val="20"/>
    </w:rPr>
  </w:style>
  <w:style w:type="character" w:customStyle="1" w:styleId="TextonotapieCar1">
    <w:name w:val="Texto nota pie Car1"/>
    <w:link w:val="Textonotapie"/>
    <w:uiPriority w:val="99"/>
    <w:semiHidden/>
    <w:rsid w:val="006C3592"/>
    <w:rPr>
      <w:sz w:val="20"/>
      <w:szCs w:val="20"/>
    </w:rPr>
  </w:style>
  <w:style w:type="character" w:styleId="Refdenotaalpie">
    <w:name w:val="footnote reference"/>
    <w:uiPriority w:val="99"/>
    <w:semiHidden/>
    <w:unhideWhenUsed/>
    <w:rsid w:val="006C3592"/>
    <w:rPr>
      <w:vertAlign w:val="superscript"/>
    </w:rPr>
  </w:style>
  <w:style w:type="table" w:customStyle="1" w:styleId="Tablaconcuadrcula1">
    <w:name w:val="Tabla con cuadrícula1"/>
    <w:basedOn w:val="Tablanormal"/>
    <w:next w:val="Tablaconcuadrcula"/>
    <w:uiPriority w:val="59"/>
    <w:rsid w:val="008E07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B970BF"/>
    <w:pPr>
      <w:spacing w:before="100" w:beforeAutospacing="1" w:after="100" w:afterAutospacing="1" w:line="240" w:lineRule="auto"/>
    </w:pPr>
    <w:rPr>
      <w:rFonts w:ascii="Times New Roman" w:eastAsia="Times New Roman" w:hAnsi="Times New Roman"/>
      <w:sz w:val="24"/>
      <w:szCs w:val="24"/>
      <w:lang w:eastAsia="es-CR"/>
    </w:rPr>
  </w:style>
  <w:style w:type="character" w:customStyle="1" w:styleId="apple-converted-space">
    <w:name w:val="apple-converted-space"/>
    <w:basedOn w:val="Fuentedeprrafopredeter"/>
    <w:rsid w:val="00B970BF"/>
  </w:style>
  <w:style w:type="paragraph" w:customStyle="1" w:styleId="Prrafodelista1">
    <w:name w:val="Párrafo de lista1"/>
    <w:basedOn w:val="Normal"/>
    <w:qFormat/>
    <w:rsid w:val="008052F9"/>
    <w:pPr>
      <w:ind w:left="720"/>
      <w:contextualSpacing/>
    </w:pPr>
    <w:rPr>
      <w:rFonts w:eastAsia="Times New Roman"/>
      <w:lang w:val="es-ES"/>
    </w:rPr>
  </w:style>
  <w:style w:type="table" w:customStyle="1" w:styleId="Tablaconcuadrcula2">
    <w:name w:val="Tabla con cuadrícula2"/>
    <w:basedOn w:val="Tablanormal"/>
    <w:next w:val="Tablaconcuadrcula"/>
    <w:uiPriority w:val="59"/>
    <w:rsid w:val="00F375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uiPriority w:val="99"/>
    <w:semiHidden/>
    <w:unhideWhenUsed/>
    <w:rsid w:val="00FE75B2"/>
    <w:pPr>
      <w:spacing w:after="120" w:line="480" w:lineRule="auto"/>
    </w:pPr>
  </w:style>
  <w:style w:type="character" w:customStyle="1" w:styleId="Textoindependiente2Car">
    <w:name w:val="Texto independiente 2 Car"/>
    <w:basedOn w:val="Fuentedeprrafopredeter"/>
    <w:link w:val="Textoindependiente2"/>
    <w:uiPriority w:val="99"/>
    <w:semiHidden/>
    <w:rsid w:val="00FE75B2"/>
  </w:style>
  <w:style w:type="table" w:customStyle="1" w:styleId="Tablaconcuadrcula3">
    <w:name w:val="Tabla con cuadrícula3"/>
    <w:basedOn w:val="Tablanormal"/>
    <w:next w:val="Tablaconcuadrcula"/>
    <w:uiPriority w:val="59"/>
    <w:rsid w:val="00FE29B3"/>
    <w:rPr>
      <w:rFonts w:eastAsia="Times New Roman"/>
      <w:lang w:val="es-PA" w:eastAsia="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msonormal">
    <w:name w:val="x_xxmsonormal"/>
    <w:basedOn w:val="Normal"/>
    <w:uiPriority w:val="99"/>
    <w:rsid w:val="008176E9"/>
    <w:pPr>
      <w:spacing w:after="0" w:line="240" w:lineRule="auto"/>
    </w:pPr>
    <w:rPr>
      <w:rFonts w:ascii="Times New Roman" w:hAnsi="Times New Roman"/>
      <w:sz w:val="24"/>
      <w:szCs w:val="24"/>
      <w:lang w:val="es-ES" w:eastAsia="es-ES"/>
    </w:rPr>
  </w:style>
  <w:style w:type="paragraph" w:customStyle="1" w:styleId="Textodecampo">
    <w:name w:val="Texto de campo"/>
    <w:basedOn w:val="Normal"/>
    <w:rsid w:val="00C049F7"/>
    <w:pPr>
      <w:spacing w:before="60" w:after="60" w:line="240" w:lineRule="auto"/>
    </w:pPr>
    <w:rPr>
      <w:rFonts w:ascii="Arial" w:eastAsia="Times New Roman" w:hAnsi="Arial" w:cs="Arial"/>
      <w:sz w:val="19"/>
      <w:szCs w:val="19"/>
      <w:lang w:val="en-US" w:bidi="en-US"/>
    </w:rPr>
  </w:style>
  <w:style w:type="paragraph" w:styleId="Sinespaciado">
    <w:name w:val="No Spacing"/>
    <w:uiPriority w:val="1"/>
    <w:qFormat/>
    <w:rsid w:val="00955EEE"/>
    <w:rPr>
      <w:sz w:val="22"/>
      <w:szCs w:val="22"/>
      <w:lang w:eastAsia="en-US"/>
    </w:rPr>
  </w:style>
  <w:style w:type="paragraph" w:customStyle="1" w:styleId="Default">
    <w:name w:val="Default"/>
    <w:rsid w:val="00551420"/>
    <w:pPr>
      <w:autoSpaceDE w:val="0"/>
      <w:autoSpaceDN w:val="0"/>
      <w:adjustRightInd w:val="0"/>
    </w:pPr>
    <w:rPr>
      <w:rFonts w:ascii="Book Antiqua" w:eastAsia="Times New Roman" w:hAnsi="Book Antiqua" w:cs="Book Antiqua"/>
      <w:color w:val="000000"/>
      <w:sz w:val="24"/>
      <w:szCs w:val="24"/>
    </w:rPr>
  </w:style>
  <w:style w:type="paragraph" w:customStyle="1" w:styleId="Car">
    <w:name w:val="Car"/>
    <w:basedOn w:val="Normal"/>
    <w:semiHidden/>
    <w:rsid w:val="00BA122B"/>
    <w:pPr>
      <w:spacing w:after="160" w:line="240" w:lineRule="exact"/>
    </w:pPr>
    <w:rPr>
      <w:rFonts w:ascii="Verdana" w:eastAsia="Times New Roman" w:hAnsi="Verdana"/>
      <w:sz w:val="20"/>
      <w:szCs w:val="21"/>
      <w:lang w:val="en-AU"/>
    </w:rPr>
  </w:style>
  <w:style w:type="paragraph" w:customStyle="1" w:styleId="Car0">
    <w:name w:val="Car"/>
    <w:basedOn w:val="Normal"/>
    <w:semiHidden/>
    <w:rsid w:val="00936AC4"/>
    <w:pPr>
      <w:spacing w:after="160" w:line="240" w:lineRule="exact"/>
    </w:pPr>
    <w:rPr>
      <w:rFonts w:ascii="Verdana" w:eastAsia="Times New Roman" w:hAnsi="Verdana"/>
      <w:sz w:val="20"/>
      <w:szCs w:val="21"/>
      <w:lang w:val="en-AU"/>
    </w:rPr>
  </w:style>
  <w:style w:type="paragraph" w:customStyle="1" w:styleId="xmsonormal0">
    <w:name w:val="xmsonormal"/>
    <w:basedOn w:val="Normal"/>
    <w:rsid w:val="000D7823"/>
    <w:pPr>
      <w:spacing w:before="100" w:beforeAutospacing="1" w:after="100" w:afterAutospacing="1" w:line="240" w:lineRule="auto"/>
    </w:pPr>
    <w:rPr>
      <w:rFonts w:cs="Calibri"/>
      <w:lang w:eastAsia="es-CR"/>
    </w:rPr>
  </w:style>
  <w:style w:type="character" w:styleId="Refdecomentario">
    <w:name w:val="annotation reference"/>
    <w:uiPriority w:val="99"/>
    <w:semiHidden/>
    <w:unhideWhenUsed/>
    <w:rsid w:val="00CA15D6"/>
    <w:rPr>
      <w:sz w:val="16"/>
      <w:szCs w:val="16"/>
    </w:rPr>
  </w:style>
  <w:style w:type="paragraph" w:styleId="Textocomentario">
    <w:name w:val="annotation text"/>
    <w:basedOn w:val="Normal"/>
    <w:link w:val="TextocomentarioCar"/>
    <w:uiPriority w:val="99"/>
    <w:semiHidden/>
    <w:unhideWhenUsed/>
    <w:rsid w:val="00CA15D6"/>
    <w:pPr>
      <w:spacing w:line="240" w:lineRule="auto"/>
    </w:pPr>
    <w:rPr>
      <w:sz w:val="20"/>
      <w:szCs w:val="20"/>
    </w:rPr>
  </w:style>
  <w:style w:type="character" w:customStyle="1" w:styleId="TextocomentarioCar">
    <w:name w:val="Texto comentario Car"/>
    <w:link w:val="Textocomentario"/>
    <w:uiPriority w:val="99"/>
    <w:semiHidden/>
    <w:rsid w:val="00CA15D6"/>
    <w:rPr>
      <w:sz w:val="20"/>
      <w:szCs w:val="20"/>
    </w:rPr>
  </w:style>
  <w:style w:type="paragraph" w:styleId="Asuntodelcomentario">
    <w:name w:val="annotation subject"/>
    <w:basedOn w:val="Textocomentario"/>
    <w:next w:val="Textocomentario"/>
    <w:link w:val="AsuntodelcomentarioCar"/>
    <w:uiPriority w:val="99"/>
    <w:semiHidden/>
    <w:unhideWhenUsed/>
    <w:rsid w:val="00CA15D6"/>
    <w:rPr>
      <w:b/>
      <w:bCs/>
    </w:rPr>
  </w:style>
  <w:style w:type="character" w:customStyle="1" w:styleId="AsuntodelcomentarioCar">
    <w:name w:val="Asunto del comentario Car"/>
    <w:link w:val="Asuntodelcomentario"/>
    <w:uiPriority w:val="99"/>
    <w:semiHidden/>
    <w:rsid w:val="00CA15D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92964">
      <w:bodyDiv w:val="1"/>
      <w:marLeft w:val="0"/>
      <w:marRight w:val="0"/>
      <w:marTop w:val="0"/>
      <w:marBottom w:val="0"/>
      <w:divBdr>
        <w:top w:val="none" w:sz="0" w:space="0" w:color="auto"/>
        <w:left w:val="none" w:sz="0" w:space="0" w:color="auto"/>
        <w:bottom w:val="none" w:sz="0" w:space="0" w:color="auto"/>
        <w:right w:val="none" w:sz="0" w:space="0" w:color="auto"/>
      </w:divBdr>
      <w:divsChild>
        <w:div w:id="171602726">
          <w:marLeft w:val="0"/>
          <w:marRight w:val="0"/>
          <w:marTop w:val="0"/>
          <w:marBottom w:val="0"/>
          <w:divBdr>
            <w:top w:val="none" w:sz="0" w:space="0" w:color="auto"/>
            <w:left w:val="none" w:sz="0" w:space="0" w:color="auto"/>
            <w:bottom w:val="none" w:sz="0" w:space="0" w:color="auto"/>
            <w:right w:val="none" w:sz="0" w:space="0" w:color="auto"/>
          </w:divBdr>
          <w:divsChild>
            <w:div w:id="78435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04285">
      <w:bodyDiv w:val="1"/>
      <w:marLeft w:val="0"/>
      <w:marRight w:val="0"/>
      <w:marTop w:val="0"/>
      <w:marBottom w:val="0"/>
      <w:divBdr>
        <w:top w:val="none" w:sz="0" w:space="0" w:color="auto"/>
        <w:left w:val="none" w:sz="0" w:space="0" w:color="auto"/>
        <w:bottom w:val="none" w:sz="0" w:space="0" w:color="auto"/>
        <w:right w:val="none" w:sz="0" w:space="0" w:color="auto"/>
      </w:divBdr>
    </w:div>
    <w:div w:id="53966799">
      <w:bodyDiv w:val="1"/>
      <w:marLeft w:val="0"/>
      <w:marRight w:val="0"/>
      <w:marTop w:val="0"/>
      <w:marBottom w:val="0"/>
      <w:divBdr>
        <w:top w:val="none" w:sz="0" w:space="0" w:color="auto"/>
        <w:left w:val="none" w:sz="0" w:space="0" w:color="auto"/>
        <w:bottom w:val="none" w:sz="0" w:space="0" w:color="auto"/>
        <w:right w:val="none" w:sz="0" w:space="0" w:color="auto"/>
      </w:divBdr>
    </w:div>
    <w:div w:id="92433382">
      <w:bodyDiv w:val="1"/>
      <w:marLeft w:val="0"/>
      <w:marRight w:val="0"/>
      <w:marTop w:val="0"/>
      <w:marBottom w:val="0"/>
      <w:divBdr>
        <w:top w:val="none" w:sz="0" w:space="0" w:color="auto"/>
        <w:left w:val="none" w:sz="0" w:space="0" w:color="auto"/>
        <w:bottom w:val="none" w:sz="0" w:space="0" w:color="auto"/>
        <w:right w:val="none" w:sz="0" w:space="0" w:color="auto"/>
      </w:divBdr>
    </w:div>
    <w:div w:id="142084999">
      <w:bodyDiv w:val="1"/>
      <w:marLeft w:val="0"/>
      <w:marRight w:val="0"/>
      <w:marTop w:val="0"/>
      <w:marBottom w:val="0"/>
      <w:divBdr>
        <w:top w:val="none" w:sz="0" w:space="0" w:color="auto"/>
        <w:left w:val="none" w:sz="0" w:space="0" w:color="auto"/>
        <w:bottom w:val="none" w:sz="0" w:space="0" w:color="auto"/>
        <w:right w:val="none" w:sz="0" w:space="0" w:color="auto"/>
      </w:divBdr>
    </w:div>
    <w:div w:id="208879565">
      <w:bodyDiv w:val="1"/>
      <w:marLeft w:val="0"/>
      <w:marRight w:val="0"/>
      <w:marTop w:val="0"/>
      <w:marBottom w:val="0"/>
      <w:divBdr>
        <w:top w:val="none" w:sz="0" w:space="0" w:color="auto"/>
        <w:left w:val="none" w:sz="0" w:space="0" w:color="auto"/>
        <w:bottom w:val="none" w:sz="0" w:space="0" w:color="auto"/>
        <w:right w:val="none" w:sz="0" w:space="0" w:color="auto"/>
      </w:divBdr>
    </w:div>
    <w:div w:id="218516160">
      <w:bodyDiv w:val="1"/>
      <w:marLeft w:val="0"/>
      <w:marRight w:val="0"/>
      <w:marTop w:val="0"/>
      <w:marBottom w:val="0"/>
      <w:divBdr>
        <w:top w:val="none" w:sz="0" w:space="0" w:color="auto"/>
        <w:left w:val="none" w:sz="0" w:space="0" w:color="auto"/>
        <w:bottom w:val="none" w:sz="0" w:space="0" w:color="auto"/>
        <w:right w:val="none" w:sz="0" w:space="0" w:color="auto"/>
      </w:divBdr>
    </w:div>
    <w:div w:id="241066197">
      <w:bodyDiv w:val="1"/>
      <w:marLeft w:val="0"/>
      <w:marRight w:val="0"/>
      <w:marTop w:val="0"/>
      <w:marBottom w:val="0"/>
      <w:divBdr>
        <w:top w:val="none" w:sz="0" w:space="0" w:color="auto"/>
        <w:left w:val="none" w:sz="0" w:space="0" w:color="auto"/>
        <w:bottom w:val="none" w:sz="0" w:space="0" w:color="auto"/>
        <w:right w:val="none" w:sz="0" w:space="0" w:color="auto"/>
      </w:divBdr>
    </w:div>
    <w:div w:id="321542220">
      <w:bodyDiv w:val="1"/>
      <w:marLeft w:val="0"/>
      <w:marRight w:val="0"/>
      <w:marTop w:val="0"/>
      <w:marBottom w:val="0"/>
      <w:divBdr>
        <w:top w:val="none" w:sz="0" w:space="0" w:color="auto"/>
        <w:left w:val="none" w:sz="0" w:space="0" w:color="auto"/>
        <w:bottom w:val="none" w:sz="0" w:space="0" w:color="auto"/>
        <w:right w:val="none" w:sz="0" w:space="0" w:color="auto"/>
      </w:divBdr>
    </w:div>
    <w:div w:id="327900482">
      <w:bodyDiv w:val="1"/>
      <w:marLeft w:val="0"/>
      <w:marRight w:val="0"/>
      <w:marTop w:val="0"/>
      <w:marBottom w:val="0"/>
      <w:divBdr>
        <w:top w:val="none" w:sz="0" w:space="0" w:color="auto"/>
        <w:left w:val="none" w:sz="0" w:space="0" w:color="auto"/>
        <w:bottom w:val="none" w:sz="0" w:space="0" w:color="auto"/>
        <w:right w:val="none" w:sz="0" w:space="0" w:color="auto"/>
      </w:divBdr>
    </w:div>
    <w:div w:id="366682500">
      <w:bodyDiv w:val="1"/>
      <w:marLeft w:val="0"/>
      <w:marRight w:val="0"/>
      <w:marTop w:val="0"/>
      <w:marBottom w:val="0"/>
      <w:divBdr>
        <w:top w:val="none" w:sz="0" w:space="0" w:color="auto"/>
        <w:left w:val="none" w:sz="0" w:space="0" w:color="auto"/>
        <w:bottom w:val="none" w:sz="0" w:space="0" w:color="auto"/>
        <w:right w:val="none" w:sz="0" w:space="0" w:color="auto"/>
      </w:divBdr>
    </w:div>
    <w:div w:id="457534227">
      <w:bodyDiv w:val="1"/>
      <w:marLeft w:val="0"/>
      <w:marRight w:val="0"/>
      <w:marTop w:val="0"/>
      <w:marBottom w:val="0"/>
      <w:divBdr>
        <w:top w:val="none" w:sz="0" w:space="0" w:color="auto"/>
        <w:left w:val="none" w:sz="0" w:space="0" w:color="auto"/>
        <w:bottom w:val="none" w:sz="0" w:space="0" w:color="auto"/>
        <w:right w:val="none" w:sz="0" w:space="0" w:color="auto"/>
      </w:divBdr>
    </w:div>
    <w:div w:id="483359047">
      <w:bodyDiv w:val="1"/>
      <w:marLeft w:val="0"/>
      <w:marRight w:val="0"/>
      <w:marTop w:val="0"/>
      <w:marBottom w:val="0"/>
      <w:divBdr>
        <w:top w:val="none" w:sz="0" w:space="0" w:color="auto"/>
        <w:left w:val="none" w:sz="0" w:space="0" w:color="auto"/>
        <w:bottom w:val="none" w:sz="0" w:space="0" w:color="auto"/>
        <w:right w:val="none" w:sz="0" w:space="0" w:color="auto"/>
      </w:divBdr>
    </w:div>
    <w:div w:id="492843074">
      <w:bodyDiv w:val="1"/>
      <w:marLeft w:val="0"/>
      <w:marRight w:val="0"/>
      <w:marTop w:val="0"/>
      <w:marBottom w:val="0"/>
      <w:divBdr>
        <w:top w:val="none" w:sz="0" w:space="0" w:color="auto"/>
        <w:left w:val="none" w:sz="0" w:space="0" w:color="auto"/>
        <w:bottom w:val="none" w:sz="0" w:space="0" w:color="auto"/>
        <w:right w:val="none" w:sz="0" w:space="0" w:color="auto"/>
      </w:divBdr>
    </w:div>
    <w:div w:id="508567042">
      <w:bodyDiv w:val="1"/>
      <w:marLeft w:val="0"/>
      <w:marRight w:val="0"/>
      <w:marTop w:val="0"/>
      <w:marBottom w:val="0"/>
      <w:divBdr>
        <w:top w:val="none" w:sz="0" w:space="0" w:color="auto"/>
        <w:left w:val="none" w:sz="0" w:space="0" w:color="auto"/>
        <w:bottom w:val="none" w:sz="0" w:space="0" w:color="auto"/>
        <w:right w:val="none" w:sz="0" w:space="0" w:color="auto"/>
      </w:divBdr>
    </w:div>
    <w:div w:id="515848829">
      <w:bodyDiv w:val="1"/>
      <w:marLeft w:val="0"/>
      <w:marRight w:val="0"/>
      <w:marTop w:val="0"/>
      <w:marBottom w:val="0"/>
      <w:divBdr>
        <w:top w:val="none" w:sz="0" w:space="0" w:color="auto"/>
        <w:left w:val="none" w:sz="0" w:space="0" w:color="auto"/>
        <w:bottom w:val="none" w:sz="0" w:space="0" w:color="auto"/>
        <w:right w:val="none" w:sz="0" w:space="0" w:color="auto"/>
      </w:divBdr>
    </w:div>
    <w:div w:id="591545402">
      <w:bodyDiv w:val="1"/>
      <w:marLeft w:val="0"/>
      <w:marRight w:val="0"/>
      <w:marTop w:val="0"/>
      <w:marBottom w:val="0"/>
      <w:divBdr>
        <w:top w:val="none" w:sz="0" w:space="0" w:color="auto"/>
        <w:left w:val="none" w:sz="0" w:space="0" w:color="auto"/>
        <w:bottom w:val="none" w:sz="0" w:space="0" w:color="auto"/>
        <w:right w:val="none" w:sz="0" w:space="0" w:color="auto"/>
      </w:divBdr>
    </w:div>
    <w:div w:id="648172719">
      <w:bodyDiv w:val="1"/>
      <w:marLeft w:val="0"/>
      <w:marRight w:val="0"/>
      <w:marTop w:val="0"/>
      <w:marBottom w:val="0"/>
      <w:divBdr>
        <w:top w:val="none" w:sz="0" w:space="0" w:color="auto"/>
        <w:left w:val="none" w:sz="0" w:space="0" w:color="auto"/>
        <w:bottom w:val="none" w:sz="0" w:space="0" w:color="auto"/>
        <w:right w:val="none" w:sz="0" w:space="0" w:color="auto"/>
      </w:divBdr>
    </w:div>
    <w:div w:id="654146349">
      <w:bodyDiv w:val="1"/>
      <w:marLeft w:val="0"/>
      <w:marRight w:val="0"/>
      <w:marTop w:val="0"/>
      <w:marBottom w:val="0"/>
      <w:divBdr>
        <w:top w:val="none" w:sz="0" w:space="0" w:color="auto"/>
        <w:left w:val="none" w:sz="0" w:space="0" w:color="auto"/>
        <w:bottom w:val="none" w:sz="0" w:space="0" w:color="auto"/>
        <w:right w:val="none" w:sz="0" w:space="0" w:color="auto"/>
      </w:divBdr>
    </w:div>
    <w:div w:id="664482215">
      <w:bodyDiv w:val="1"/>
      <w:marLeft w:val="0"/>
      <w:marRight w:val="0"/>
      <w:marTop w:val="0"/>
      <w:marBottom w:val="0"/>
      <w:divBdr>
        <w:top w:val="none" w:sz="0" w:space="0" w:color="auto"/>
        <w:left w:val="none" w:sz="0" w:space="0" w:color="auto"/>
        <w:bottom w:val="none" w:sz="0" w:space="0" w:color="auto"/>
        <w:right w:val="none" w:sz="0" w:space="0" w:color="auto"/>
      </w:divBdr>
    </w:div>
    <w:div w:id="706176375">
      <w:bodyDiv w:val="1"/>
      <w:marLeft w:val="0"/>
      <w:marRight w:val="0"/>
      <w:marTop w:val="0"/>
      <w:marBottom w:val="0"/>
      <w:divBdr>
        <w:top w:val="none" w:sz="0" w:space="0" w:color="auto"/>
        <w:left w:val="none" w:sz="0" w:space="0" w:color="auto"/>
        <w:bottom w:val="none" w:sz="0" w:space="0" w:color="auto"/>
        <w:right w:val="none" w:sz="0" w:space="0" w:color="auto"/>
      </w:divBdr>
    </w:div>
    <w:div w:id="707878006">
      <w:bodyDiv w:val="1"/>
      <w:marLeft w:val="0"/>
      <w:marRight w:val="0"/>
      <w:marTop w:val="0"/>
      <w:marBottom w:val="0"/>
      <w:divBdr>
        <w:top w:val="none" w:sz="0" w:space="0" w:color="auto"/>
        <w:left w:val="none" w:sz="0" w:space="0" w:color="auto"/>
        <w:bottom w:val="none" w:sz="0" w:space="0" w:color="auto"/>
        <w:right w:val="none" w:sz="0" w:space="0" w:color="auto"/>
      </w:divBdr>
    </w:div>
    <w:div w:id="723067824">
      <w:bodyDiv w:val="1"/>
      <w:marLeft w:val="0"/>
      <w:marRight w:val="0"/>
      <w:marTop w:val="0"/>
      <w:marBottom w:val="0"/>
      <w:divBdr>
        <w:top w:val="none" w:sz="0" w:space="0" w:color="auto"/>
        <w:left w:val="none" w:sz="0" w:space="0" w:color="auto"/>
        <w:bottom w:val="none" w:sz="0" w:space="0" w:color="auto"/>
        <w:right w:val="none" w:sz="0" w:space="0" w:color="auto"/>
      </w:divBdr>
    </w:div>
    <w:div w:id="742488539">
      <w:bodyDiv w:val="1"/>
      <w:marLeft w:val="0"/>
      <w:marRight w:val="0"/>
      <w:marTop w:val="0"/>
      <w:marBottom w:val="0"/>
      <w:divBdr>
        <w:top w:val="none" w:sz="0" w:space="0" w:color="auto"/>
        <w:left w:val="none" w:sz="0" w:space="0" w:color="auto"/>
        <w:bottom w:val="none" w:sz="0" w:space="0" w:color="auto"/>
        <w:right w:val="none" w:sz="0" w:space="0" w:color="auto"/>
      </w:divBdr>
    </w:div>
    <w:div w:id="791365627">
      <w:bodyDiv w:val="1"/>
      <w:marLeft w:val="0"/>
      <w:marRight w:val="0"/>
      <w:marTop w:val="0"/>
      <w:marBottom w:val="0"/>
      <w:divBdr>
        <w:top w:val="none" w:sz="0" w:space="0" w:color="auto"/>
        <w:left w:val="none" w:sz="0" w:space="0" w:color="auto"/>
        <w:bottom w:val="none" w:sz="0" w:space="0" w:color="auto"/>
        <w:right w:val="none" w:sz="0" w:space="0" w:color="auto"/>
      </w:divBdr>
    </w:div>
    <w:div w:id="831415425">
      <w:bodyDiv w:val="1"/>
      <w:marLeft w:val="0"/>
      <w:marRight w:val="0"/>
      <w:marTop w:val="0"/>
      <w:marBottom w:val="0"/>
      <w:divBdr>
        <w:top w:val="none" w:sz="0" w:space="0" w:color="auto"/>
        <w:left w:val="none" w:sz="0" w:space="0" w:color="auto"/>
        <w:bottom w:val="none" w:sz="0" w:space="0" w:color="auto"/>
        <w:right w:val="none" w:sz="0" w:space="0" w:color="auto"/>
      </w:divBdr>
    </w:div>
    <w:div w:id="952175298">
      <w:bodyDiv w:val="1"/>
      <w:marLeft w:val="0"/>
      <w:marRight w:val="0"/>
      <w:marTop w:val="0"/>
      <w:marBottom w:val="0"/>
      <w:divBdr>
        <w:top w:val="none" w:sz="0" w:space="0" w:color="auto"/>
        <w:left w:val="none" w:sz="0" w:space="0" w:color="auto"/>
        <w:bottom w:val="none" w:sz="0" w:space="0" w:color="auto"/>
        <w:right w:val="none" w:sz="0" w:space="0" w:color="auto"/>
      </w:divBdr>
    </w:div>
    <w:div w:id="981613631">
      <w:bodyDiv w:val="1"/>
      <w:marLeft w:val="0"/>
      <w:marRight w:val="0"/>
      <w:marTop w:val="0"/>
      <w:marBottom w:val="0"/>
      <w:divBdr>
        <w:top w:val="none" w:sz="0" w:space="0" w:color="auto"/>
        <w:left w:val="none" w:sz="0" w:space="0" w:color="auto"/>
        <w:bottom w:val="none" w:sz="0" w:space="0" w:color="auto"/>
        <w:right w:val="none" w:sz="0" w:space="0" w:color="auto"/>
      </w:divBdr>
    </w:div>
    <w:div w:id="1075125914">
      <w:bodyDiv w:val="1"/>
      <w:marLeft w:val="0"/>
      <w:marRight w:val="0"/>
      <w:marTop w:val="0"/>
      <w:marBottom w:val="0"/>
      <w:divBdr>
        <w:top w:val="none" w:sz="0" w:space="0" w:color="auto"/>
        <w:left w:val="none" w:sz="0" w:space="0" w:color="auto"/>
        <w:bottom w:val="none" w:sz="0" w:space="0" w:color="auto"/>
        <w:right w:val="none" w:sz="0" w:space="0" w:color="auto"/>
      </w:divBdr>
    </w:div>
    <w:div w:id="1150950363">
      <w:bodyDiv w:val="1"/>
      <w:marLeft w:val="0"/>
      <w:marRight w:val="0"/>
      <w:marTop w:val="0"/>
      <w:marBottom w:val="0"/>
      <w:divBdr>
        <w:top w:val="none" w:sz="0" w:space="0" w:color="auto"/>
        <w:left w:val="none" w:sz="0" w:space="0" w:color="auto"/>
        <w:bottom w:val="none" w:sz="0" w:space="0" w:color="auto"/>
        <w:right w:val="none" w:sz="0" w:space="0" w:color="auto"/>
      </w:divBdr>
    </w:div>
    <w:div w:id="1196699369">
      <w:bodyDiv w:val="1"/>
      <w:marLeft w:val="0"/>
      <w:marRight w:val="0"/>
      <w:marTop w:val="0"/>
      <w:marBottom w:val="0"/>
      <w:divBdr>
        <w:top w:val="none" w:sz="0" w:space="0" w:color="auto"/>
        <w:left w:val="none" w:sz="0" w:space="0" w:color="auto"/>
        <w:bottom w:val="none" w:sz="0" w:space="0" w:color="auto"/>
        <w:right w:val="none" w:sz="0" w:space="0" w:color="auto"/>
      </w:divBdr>
    </w:div>
    <w:div w:id="1222591472">
      <w:bodyDiv w:val="1"/>
      <w:marLeft w:val="0"/>
      <w:marRight w:val="0"/>
      <w:marTop w:val="0"/>
      <w:marBottom w:val="0"/>
      <w:divBdr>
        <w:top w:val="none" w:sz="0" w:space="0" w:color="auto"/>
        <w:left w:val="none" w:sz="0" w:space="0" w:color="auto"/>
        <w:bottom w:val="none" w:sz="0" w:space="0" w:color="auto"/>
        <w:right w:val="none" w:sz="0" w:space="0" w:color="auto"/>
      </w:divBdr>
    </w:div>
    <w:div w:id="1280143407">
      <w:bodyDiv w:val="1"/>
      <w:marLeft w:val="0"/>
      <w:marRight w:val="0"/>
      <w:marTop w:val="0"/>
      <w:marBottom w:val="0"/>
      <w:divBdr>
        <w:top w:val="none" w:sz="0" w:space="0" w:color="auto"/>
        <w:left w:val="none" w:sz="0" w:space="0" w:color="auto"/>
        <w:bottom w:val="none" w:sz="0" w:space="0" w:color="auto"/>
        <w:right w:val="none" w:sz="0" w:space="0" w:color="auto"/>
      </w:divBdr>
    </w:div>
    <w:div w:id="1333020699">
      <w:bodyDiv w:val="1"/>
      <w:marLeft w:val="0"/>
      <w:marRight w:val="0"/>
      <w:marTop w:val="0"/>
      <w:marBottom w:val="0"/>
      <w:divBdr>
        <w:top w:val="none" w:sz="0" w:space="0" w:color="auto"/>
        <w:left w:val="none" w:sz="0" w:space="0" w:color="auto"/>
        <w:bottom w:val="none" w:sz="0" w:space="0" w:color="auto"/>
        <w:right w:val="none" w:sz="0" w:space="0" w:color="auto"/>
      </w:divBdr>
    </w:div>
    <w:div w:id="1443845301">
      <w:bodyDiv w:val="1"/>
      <w:marLeft w:val="0"/>
      <w:marRight w:val="0"/>
      <w:marTop w:val="0"/>
      <w:marBottom w:val="0"/>
      <w:divBdr>
        <w:top w:val="none" w:sz="0" w:space="0" w:color="auto"/>
        <w:left w:val="none" w:sz="0" w:space="0" w:color="auto"/>
        <w:bottom w:val="none" w:sz="0" w:space="0" w:color="auto"/>
        <w:right w:val="none" w:sz="0" w:space="0" w:color="auto"/>
      </w:divBdr>
    </w:div>
    <w:div w:id="1443921621">
      <w:bodyDiv w:val="1"/>
      <w:marLeft w:val="0"/>
      <w:marRight w:val="0"/>
      <w:marTop w:val="0"/>
      <w:marBottom w:val="0"/>
      <w:divBdr>
        <w:top w:val="none" w:sz="0" w:space="0" w:color="auto"/>
        <w:left w:val="none" w:sz="0" w:space="0" w:color="auto"/>
        <w:bottom w:val="none" w:sz="0" w:space="0" w:color="auto"/>
        <w:right w:val="none" w:sz="0" w:space="0" w:color="auto"/>
      </w:divBdr>
    </w:div>
    <w:div w:id="1460488223">
      <w:bodyDiv w:val="1"/>
      <w:marLeft w:val="0"/>
      <w:marRight w:val="0"/>
      <w:marTop w:val="0"/>
      <w:marBottom w:val="0"/>
      <w:divBdr>
        <w:top w:val="none" w:sz="0" w:space="0" w:color="auto"/>
        <w:left w:val="none" w:sz="0" w:space="0" w:color="auto"/>
        <w:bottom w:val="none" w:sz="0" w:space="0" w:color="auto"/>
        <w:right w:val="none" w:sz="0" w:space="0" w:color="auto"/>
      </w:divBdr>
    </w:div>
    <w:div w:id="1474561344">
      <w:bodyDiv w:val="1"/>
      <w:marLeft w:val="0"/>
      <w:marRight w:val="0"/>
      <w:marTop w:val="0"/>
      <w:marBottom w:val="0"/>
      <w:divBdr>
        <w:top w:val="none" w:sz="0" w:space="0" w:color="auto"/>
        <w:left w:val="none" w:sz="0" w:space="0" w:color="auto"/>
        <w:bottom w:val="none" w:sz="0" w:space="0" w:color="auto"/>
        <w:right w:val="none" w:sz="0" w:space="0" w:color="auto"/>
      </w:divBdr>
    </w:div>
    <w:div w:id="1505514413">
      <w:bodyDiv w:val="1"/>
      <w:marLeft w:val="0"/>
      <w:marRight w:val="0"/>
      <w:marTop w:val="0"/>
      <w:marBottom w:val="0"/>
      <w:divBdr>
        <w:top w:val="none" w:sz="0" w:space="0" w:color="auto"/>
        <w:left w:val="none" w:sz="0" w:space="0" w:color="auto"/>
        <w:bottom w:val="none" w:sz="0" w:space="0" w:color="auto"/>
        <w:right w:val="none" w:sz="0" w:space="0" w:color="auto"/>
      </w:divBdr>
    </w:div>
    <w:div w:id="1544050437">
      <w:bodyDiv w:val="1"/>
      <w:marLeft w:val="0"/>
      <w:marRight w:val="0"/>
      <w:marTop w:val="0"/>
      <w:marBottom w:val="0"/>
      <w:divBdr>
        <w:top w:val="none" w:sz="0" w:space="0" w:color="auto"/>
        <w:left w:val="none" w:sz="0" w:space="0" w:color="auto"/>
        <w:bottom w:val="none" w:sz="0" w:space="0" w:color="auto"/>
        <w:right w:val="none" w:sz="0" w:space="0" w:color="auto"/>
      </w:divBdr>
    </w:div>
    <w:div w:id="1555117305">
      <w:bodyDiv w:val="1"/>
      <w:marLeft w:val="0"/>
      <w:marRight w:val="0"/>
      <w:marTop w:val="0"/>
      <w:marBottom w:val="0"/>
      <w:divBdr>
        <w:top w:val="none" w:sz="0" w:space="0" w:color="auto"/>
        <w:left w:val="none" w:sz="0" w:space="0" w:color="auto"/>
        <w:bottom w:val="none" w:sz="0" w:space="0" w:color="auto"/>
        <w:right w:val="none" w:sz="0" w:space="0" w:color="auto"/>
      </w:divBdr>
    </w:div>
    <w:div w:id="1621765345">
      <w:bodyDiv w:val="1"/>
      <w:marLeft w:val="0"/>
      <w:marRight w:val="0"/>
      <w:marTop w:val="0"/>
      <w:marBottom w:val="0"/>
      <w:divBdr>
        <w:top w:val="none" w:sz="0" w:space="0" w:color="auto"/>
        <w:left w:val="none" w:sz="0" w:space="0" w:color="auto"/>
        <w:bottom w:val="none" w:sz="0" w:space="0" w:color="auto"/>
        <w:right w:val="none" w:sz="0" w:space="0" w:color="auto"/>
      </w:divBdr>
    </w:div>
    <w:div w:id="1634481844">
      <w:bodyDiv w:val="1"/>
      <w:marLeft w:val="0"/>
      <w:marRight w:val="0"/>
      <w:marTop w:val="0"/>
      <w:marBottom w:val="0"/>
      <w:divBdr>
        <w:top w:val="none" w:sz="0" w:space="0" w:color="auto"/>
        <w:left w:val="none" w:sz="0" w:space="0" w:color="auto"/>
        <w:bottom w:val="none" w:sz="0" w:space="0" w:color="auto"/>
        <w:right w:val="none" w:sz="0" w:space="0" w:color="auto"/>
      </w:divBdr>
    </w:div>
    <w:div w:id="1744837730">
      <w:bodyDiv w:val="1"/>
      <w:marLeft w:val="0"/>
      <w:marRight w:val="0"/>
      <w:marTop w:val="0"/>
      <w:marBottom w:val="0"/>
      <w:divBdr>
        <w:top w:val="none" w:sz="0" w:space="0" w:color="auto"/>
        <w:left w:val="none" w:sz="0" w:space="0" w:color="auto"/>
        <w:bottom w:val="none" w:sz="0" w:space="0" w:color="auto"/>
        <w:right w:val="none" w:sz="0" w:space="0" w:color="auto"/>
      </w:divBdr>
    </w:div>
    <w:div w:id="1800536710">
      <w:bodyDiv w:val="1"/>
      <w:marLeft w:val="0"/>
      <w:marRight w:val="0"/>
      <w:marTop w:val="0"/>
      <w:marBottom w:val="0"/>
      <w:divBdr>
        <w:top w:val="none" w:sz="0" w:space="0" w:color="auto"/>
        <w:left w:val="none" w:sz="0" w:space="0" w:color="auto"/>
        <w:bottom w:val="none" w:sz="0" w:space="0" w:color="auto"/>
        <w:right w:val="none" w:sz="0" w:space="0" w:color="auto"/>
      </w:divBdr>
    </w:div>
    <w:div w:id="1868637818">
      <w:bodyDiv w:val="1"/>
      <w:marLeft w:val="0"/>
      <w:marRight w:val="0"/>
      <w:marTop w:val="0"/>
      <w:marBottom w:val="0"/>
      <w:divBdr>
        <w:top w:val="none" w:sz="0" w:space="0" w:color="auto"/>
        <w:left w:val="none" w:sz="0" w:space="0" w:color="auto"/>
        <w:bottom w:val="none" w:sz="0" w:space="0" w:color="auto"/>
        <w:right w:val="none" w:sz="0" w:space="0" w:color="auto"/>
      </w:divBdr>
    </w:div>
    <w:div w:id="1878350688">
      <w:bodyDiv w:val="1"/>
      <w:marLeft w:val="0"/>
      <w:marRight w:val="0"/>
      <w:marTop w:val="0"/>
      <w:marBottom w:val="0"/>
      <w:divBdr>
        <w:top w:val="none" w:sz="0" w:space="0" w:color="auto"/>
        <w:left w:val="none" w:sz="0" w:space="0" w:color="auto"/>
        <w:bottom w:val="none" w:sz="0" w:space="0" w:color="auto"/>
        <w:right w:val="none" w:sz="0" w:space="0" w:color="auto"/>
      </w:divBdr>
    </w:div>
    <w:div w:id="2020230416">
      <w:bodyDiv w:val="1"/>
      <w:marLeft w:val="0"/>
      <w:marRight w:val="0"/>
      <w:marTop w:val="0"/>
      <w:marBottom w:val="0"/>
      <w:divBdr>
        <w:top w:val="none" w:sz="0" w:space="0" w:color="auto"/>
        <w:left w:val="none" w:sz="0" w:space="0" w:color="auto"/>
        <w:bottom w:val="none" w:sz="0" w:space="0" w:color="auto"/>
        <w:right w:val="none" w:sz="0" w:space="0" w:color="auto"/>
      </w:divBdr>
    </w:div>
    <w:div w:id="2064402833">
      <w:bodyDiv w:val="1"/>
      <w:marLeft w:val="0"/>
      <w:marRight w:val="0"/>
      <w:marTop w:val="0"/>
      <w:marBottom w:val="0"/>
      <w:divBdr>
        <w:top w:val="none" w:sz="0" w:space="0" w:color="auto"/>
        <w:left w:val="none" w:sz="0" w:space="0" w:color="auto"/>
        <w:bottom w:val="none" w:sz="0" w:space="0" w:color="auto"/>
        <w:right w:val="none" w:sz="0" w:space="0" w:color="auto"/>
      </w:divBdr>
    </w:div>
    <w:div w:id="2129085252">
      <w:bodyDiv w:val="1"/>
      <w:marLeft w:val="0"/>
      <w:marRight w:val="0"/>
      <w:marTop w:val="0"/>
      <w:marBottom w:val="0"/>
      <w:divBdr>
        <w:top w:val="none" w:sz="0" w:space="0" w:color="auto"/>
        <w:left w:val="none" w:sz="0" w:space="0" w:color="auto"/>
        <w:bottom w:val="none" w:sz="0" w:space="0" w:color="auto"/>
        <w:right w:val="none" w:sz="0" w:space="0" w:color="auto"/>
      </w:divBdr>
    </w:div>
    <w:div w:id="2134667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emf"/><Relationship Id="rId21" Type="http://schemas.openxmlformats.org/officeDocument/2006/relationships/package" Target="embeddings/Microsoft_Word_Document.docx"/><Relationship Id="rId42" Type="http://schemas.openxmlformats.org/officeDocument/2006/relationships/image" Target="media/image9.emf"/><Relationship Id="rId47" Type="http://schemas.openxmlformats.org/officeDocument/2006/relationships/diagramQuickStyle" Target="diagrams/quickStyle4.xml"/><Relationship Id="rId63" Type="http://schemas.openxmlformats.org/officeDocument/2006/relationships/image" Target="media/image16.emf"/><Relationship Id="rId68" Type="http://schemas.openxmlformats.org/officeDocument/2006/relationships/diagramQuickStyle" Target="diagrams/quickStyle5.xml"/><Relationship Id="rId16" Type="http://schemas.openxmlformats.org/officeDocument/2006/relationships/diagramLayout" Target="diagrams/layout2.xml"/><Relationship Id="rId11" Type="http://schemas.openxmlformats.org/officeDocument/2006/relationships/diagramLayout" Target="diagrams/layout1.xml"/><Relationship Id="rId24" Type="http://schemas.openxmlformats.org/officeDocument/2006/relationships/image" Target="media/image3.emf"/><Relationship Id="rId32" Type="http://schemas.microsoft.com/office/2007/relationships/diagramDrawing" Target="diagrams/drawing3.xml"/><Relationship Id="rId37" Type="http://schemas.openxmlformats.org/officeDocument/2006/relationships/package" Target="embeddings/Microsoft_Word_Document5.docx"/><Relationship Id="rId40" Type="http://schemas.openxmlformats.org/officeDocument/2006/relationships/image" Target="media/image8.emf"/><Relationship Id="rId45" Type="http://schemas.openxmlformats.org/officeDocument/2006/relationships/diagramData" Target="diagrams/data4.xml"/><Relationship Id="rId53" Type="http://schemas.openxmlformats.org/officeDocument/2006/relationships/image" Target="media/image11.emf"/><Relationship Id="rId58" Type="http://schemas.openxmlformats.org/officeDocument/2006/relationships/package" Target="embeddings/Microsoft_Word_Document15.docx"/><Relationship Id="rId66" Type="http://schemas.openxmlformats.org/officeDocument/2006/relationships/diagramData" Target="diagrams/data5.xml"/><Relationship Id="rId74" Type="http://schemas.openxmlformats.org/officeDocument/2006/relationships/package" Target="embeddings/Microsoft_Word_Document22.docx"/><Relationship Id="rId5" Type="http://schemas.openxmlformats.org/officeDocument/2006/relationships/styles" Target="styles.xml"/><Relationship Id="rId61" Type="http://schemas.openxmlformats.org/officeDocument/2006/relationships/image" Target="media/image15.emf"/><Relationship Id="rId19" Type="http://schemas.microsoft.com/office/2007/relationships/diagramDrawing" Target="diagrams/drawing2.xml"/><Relationship Id="rId14" Type="http://schemas.microsoft.com/office/2007/relationships/diagramDrawing" Target="diagrams/drawing1.xml"/><Relationship Id="rId22" Type="http://schemas.openxmlformats.org/officeDocument/2006/relationships/image" Target="media/image2.emf"/><Relationship Id="rId27" Type="http://schemas.openxmlformats.org/officeDocument/2006/relationships/package" Target="embeddings/Microsoft_Word_Document3.docx"/><Relationship Id="rId30" Type="http://schemas.openxmlformats.org/officeDocument/2006/relationships/diagramQuickStyle" Target="diagrams/quickStyle3.xml"/><Relationship Id="rId35" Type="http://schemas.openxmlformats.org/officeDocument/2006/relationships/package" Target="embeddings/Microsoft_Word_Document4.docx"/><Relationship Id="rId43" Type="http://schemas.openxmlformats.org/officeDocument/2006/relationships/package" Target="embeddings/Microsoft_Word_Document9.docx"/><Relationship Id="rId48" Type="http://schemas.openxmlformats.org/officeDocument/2006/relationships/diagramColors" Target="diagrams/colors4.xml"/><Relationship Id="rId56" Type="http://schemas.openxmlformats.org/officeDocument/2006/relationships/package" Target="embeddings/Microsoft_Word_Document14.docx"/><Relationship Id="rId64" Type="http://schemas.openxmlformats.org/officeDocument/2006/relationships/package" Target="embeddings/Microsoft_Word_Document18.docx"/><Relationship Id="rId69" Type="http://schemas.openxmlformats.org/officeDocument/2006/relationships/diagramColors" Target="diagrams/colors5.xml"/><Relationship Id="rId77"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package" Target="embeddings/Microsoft_Word_Document11.docx"/><Relationship Id="rId72" Type="http://schemas.openxmlformats.org/officeDocument/2006/relationships/package" Target="embeddings/Microsoft_Word_Document21.docx"/><Relationship Id="rId3" Type="http://schemas.openxmlformats.org/officeDocument/2006/relationships/customXml" Target="../customXml/item3.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package" Target="embeddings/Microsoft_Word_Document2.docx"/><Relationship Id="rId33" Type="http://schemas.openxmlformats.org/officeDocument/2006/relationships/image" Target="media/image5.emf"/><Relationship Id="rId38" Type="http://schemas.openxmlformats.org/officeDocument/2006/relationships/package" Target="embeddings/Microsoft_Word_Document6.docx"/><Relationship Id="rId46" Type="http://schemas.openxmlformats.org/officeDocument/2006/relationships/diagramLayout" Target="diagrams/layout4.xml"/><Relationship Id="rId59" Type="http://schemas.openxmlformats.org/officeDocument/2006/relationships/image" Target="media/image14.emf"/><Relationship Id="rId67" Type="http://schemas.openxmlformats.org/officeDocument/2006/relationships/diagramLayout" Target="diagrams/layout5.xml"/><Relationship Id="rId20" Type="http://schemas.openxmlformats.org/officeDocument/2006/relationships/image" Target="media/image1.emf"/><Relationship Id="rId41" Type="http://schemas.openxmlformats.org/officeDocument/2006/relationships/package" Target="embeddings/Microsoft_Word_Document8.docx"/><Relationship Id="rId54" Type="http://schemas.openxmlformats.org/officeDocument/2006/relationships/package" Target="embeddings/Microsoft_Word_Document13.docx"/><Relationship Id="rId62" Type="http://schemas.openxmlformats.org/officeDocument/2006/relationships/package" Target="embeddings/Microsoft_Word_Document17.docx"/><Relationship Id="rId70" Type="http://schemas.microsoft.com/office/2007/relationships/diagramDrawing" Target="diagrams/drawing5.xm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diagramData" Target="diagrams/data2.xml"/><Relationship Id="rId23" Type="http://schemas.openxmlformats.org/officeDocument/2006/relationships/package" Target="embeddings/Microsoft_Word_Document1.docx"/><Relationship Id="rId28" Type="http://schemas.openxmlformats.org/officeDocument/2006/relationships/diagramData" Target="diagrams/data3.xml"/><Relationship Id="rId36" Type="http://schemas.openxmlformats.org/officeDocument/2006/relationships/image" Target="media/image7.emf"/><Relationship Id="rId49" Type="http://schemas.microsoft.com/office/2007/relationships/diagramDrawing" Target="diagrams/drawing4.xml"/><Relationship Id="rId57" Type="http://schemas.openxmlformats.org/officeDocument/2006/relationships/image" Target="media/image13.emf"/><Relationship Id="rId10" Type="http://schemas.openxmlformats.org/officeDocument/2006/relationships/diagramData" Target="diagrams/data1.xml"/><Relationship Id="rId31" Type="http://schemas.openxmlformats.org/officeDocument/2006/relationships/diagramColors" Target="diagrams/colors3.xml"/><Relationship Id="rId44" Type="http://schemas.openxmlformats.org/officeDocument/2006/relationships/package" Target="embeddings/Microsoft_Word_Document10.docx"/><Relationship Id="rId52" Type="http://schemas.openxmlformats.org/officeDocument/2006/relationships/package" Target="embeddings/Microsoft_Word_Document12.docx"/><Relationship Id="rId60" Type="http://schemas.openxmlformats.org/officeDocument/2006/relationships/package" Target="embeddings/Microsoft_Word_Document16.docx"/><Relationship Id="rId65" Type="http://schemas.openxmlformats.org/officeDocument/2006/relationships/package" Target="embeddings/Microsoft_Word_Document19.docx"/><Relationship Id="rId73" Type="http://schemas.openxmlformats.org/officeDocument/2006/relationships/image" Target="media/image17.emf"/><Relationship Id="rId78"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diagramColors" Target="diagrams/colors2.xml"/><Relationship Id="rId39" Type="http://schemas.openxmlformats.org/officeDocument/2006/relationships/package" Target="embeddings/Microsoft_Word_Document7.docx"/><Relationship Id="rId34" Type="http://schemas.openxmlformats.org/officeDocument/2006/relationships/image" Target="media/image6.emf"/><Relationship Id="rId50" Type="http://schemas.openxmlformats.org/officeDocument/2006/relationships/image" Target="media/image10.emf"/><Relationship Id="rId55" Type="http://schemas.openxmlformats.org/officeDocument/2006/relationships/image" Target="media/image12.emf"/><Relationship Id="rId76" Type="http://schemas.openxmlformats.org/officeDocument/2006/relationships/footer" Target="footer1.xml"/><Relationship Id="rId7" Type="http://schemas.openxmlformats.org/officeDocument/2006/relationships/webSettings" Target="webSettings.xml"/><Relationship Id="rId71" Type="http://schemas.openxmlformats.org/officeDocument/2006/relationships/package" Target="embeddings/Microsoft_Word_Document20.docx"/><Relationship Id="rId2" Type="http://schemas.openxmlformats.org/officeDocument/2006/relationships/customXml" Target="../customXml/item2.xml"/><Relationship Id="rId29" Type="http://schemas.openxmlformats.org/officeDocument/2006/relationships/diagramLayout" Target="diagrams/layout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9F49FF-C964-442D-B16E-9AFC596ADB97}" type="doc">
      <dgm:prSet loTypeId="urn:microsoft.com/office/officeart/2005/8/layout/matrix3" loCatId="matrix" qsTypeId="urn:microsoft.com/office/officeart/2005/8/quickstyle/simple1" qsCatId="simple" csTypeId="urn:microsoft.com/office/officeart/2005/8/colors/accent1_2" csCatId="accent1" phldr="1"/>
      <dgm:spPr/>
      <dgm:t>
        <a:bodyPr/>
        <a:lstStyle/>
        <a:p>
          <a:endParaRPr lang="es-CR"/>
        </a:p>
      </dgm:t>
    </dgm:pt>
    <dgm:pt modelId="{1C0298F7-D109-4EAF-933A-1C84C8CFB60D}">
      <dgm:prSet phldrT="[Texto]"/>
      <dgm:spPr>
        <a:xfrm>
          <a:off x="1709361" y="108389"/>
          <a:ext cx="463439" cy="457070"/>
        </a:xfrm>
        <a:prstGeom prst="roundRect">
          <a:avLst/>
        </a:prstGeom>
        <a:solidFill>
          <a:srgbClr val="FFFF00"/>
        </a:solidFill>
        <a:ln w="25400" cap="flat" cmpd="sng" algn="ctr">
          <a:solidFill>
            <a:sysClr val="window" lastClr="FFFFFF">
              <a:hueOff val="0"/>
              <a:satOff val="0"/>
              <a:lumOff val="0"/>
              <a:alphaOff val="0"/>
            </a:sysClr>
          </a:solidFill>
          <a:prstDash val="solid"/>
        </a:ln>
        <a:effectLst/>
      </dgm:spPr>
      <dgm:t>
        <a:bodyPr/>
        <a:lstStyle/>
        <a:p>
          <a:pPr>
            <a:buNone/>
          </a:pPr>
          <a:r>
            <a:rPr lang="es-CR">
              <a:solidFill>
                <a:sysClr val="windowText" lastClr="000000"/>
              </a:solidFill>
              <a:latin typeface="Calibri"/>
              <a:ea typeface="+mn-ea"/>
              <a:cs typeface="+mn-cs"/>
            </a:rPr>
            <a:t>Face 2 Alerta Amarilla</a:t>
          </a:r>
        </a:p>
      </dgm:t>
    </dgm:pt>
    <dgm:pt modelId="{57B3B9C3-40FD-43F1-9B62-DD367E3BB31B}" type="parTrans" cxnId="{54CE3D84-625F-46DC-AF7F-1188944B71AA}">
      <dgm:prSet/>
      <dgm:spPr/>
      <dgm:t>
        <a:bodyPr/>
        <a:lstStyle/>
        <a:p>
          <a:endParaRPr lang="es-CR"/>
        </a:p>
      </dgm:t>
    </dgm:pt>
    <dgm:pt modelId="{9DE503D3-2863-46A3-B817-28AB0837640D}" type="sibTrans" cxnId="{54CE3D84-625F-46DC-AF7F-1188944B71AA}">
      <dgm:prSet/>
      <dgm:spPr/>
      <dgm:t>
        <a:bodyPr/>
        <a:lstStyle/>
        <a:p>
          <a:endParaRPr lang="es-CR"/>
        </a:p>
      </dgm:t>
    </dgm:pt>
    <dgm:pt modelId="{F79214B8-1CC7-4058-B330-E4D6D7AC8D6E}">
      <dgm:prSet phldrT="[Texto]"/>
      <dgm:spPr>
        <a:xfrm>
          <a:off x="1169731" y="629481"/>
          <a:ext cx="464582" cy="464582"/>
        </a:xfrm>
        <a:prstGeom prst="roundRect">
          <a:avLst/>
        </a:prstGeom>
        <a:solidFill>
          <a:srgbClr val="EF9721"/>
        </a:solidFill>
        <a:ln w="25400" cap="flat" cmpd="sng" algn="ctr">
          <a:solidFill>
            <a:sysClr val="window" lastClr="FFFFFF">
              <a:hueOff val="0"/>
              <a:satOff val="0"/>
              <a:lumOff val="0"/>
              <a:alphaOff val="0"/>
            </a:sysClr>
          </a:solidFill>
          <a:prstDash val="solid"/>
        </a:ln>
        <a:effectLst/>
      </dgm:spPr>
      <dgm:t>
        <a:bodyPr/>
        <a:lstStyle/>
        <a:p>
          <a:pPr>
            <a:buNone/>
          </a:pPr>
          <a:r>
            <a:rPr lang="es-CR">
              <a:solidFill>
                <a:sysClr val="window" lastClr="FFFFFF"/>
              </a:solidFill>
              <a:latin typeface="Calibri"/>
              <a:ea typeface="+mn-ea"/>
              <a:cs typeface="+mn-cs"/>
            </a:rPr>
            <a:t>Face 3 Alerta Naranja</a:t>
          </a:r>
        </a:p>
      </dgm:t>
    </dgm:pt>
    <dgm:pt modelId="{F574C5D4-EF3F-41C8-94B8-4E0671BA5B13}" type="parTrans" cxnId="{07D6614E-AA82-4177-8EC1-2E176F5A4A8A}">
      <dgm:prSet/>
      <dgm:spPr/>
      <dgm:t>
        <a:bodyPr/>
        <a:lstStyle/>
        <a:p>
          <a:endParaRPr lang="es-CR"/>
        </a:p>
      </dgm:t>
    </dgm:pt>
    <dgm:pt modelId="{1E0C15EE-38D5-4EDC-BEC8-55DF2FA09ACF}" type="sibTrans" cxnId="{07D6614E-AA82-4177-8EC1-2E176F5A4A8A}">
      <dgm:prSet/>
      <dgm:spPr/>
      <dgm:t>
        <a:bodyPr/>
        <a:lstStyle/>
        <a:p>
          <a:endParaRPr lang="es-CR"/>
        </a:p>
      </dgm:t>
    </dgm:pt>
    <dgm:pt modelId="{D531A1ED-BE4D-4DC6-BAAF-121C4CCCFEE0}">
      <dgm:prSet phldrT="[Texto]"/>
      <dgm:spPr>
        <a:xfrm>
          <a:off x="1692413" y="630723"/>
          <a:ext cx="464582" cy="464582"/>
        </a:xfrm>
        <a:prstGeom prst="roundRect">
          <a:avLst/>
        </a:prstGeom>
        <a:solidFill>
          <a:srgbClr val="FF0000"/>
        </a:solidFill>
        <a:ln w="25400" cap="flat" cmpd="sng" algn="ctr">
          <a:solidFill>
            <a:sysClr val="window" lastClr="FFFFFF">
              <a:hueOff val="0"/>
              <a:satOff val="0"/>
              <a:lumOff val="0"/>
              <a:alphaOff val="0"/>
            </a:sysClr>
          </a:solidFill>
          <a:prstDash val="solid"/>
        </a:ln>
        <a:effectLst/>
      </dgm:spPr>
      <dgm:t>
        <a:bodyPr/>
        <a:lstStyle/>
        <a:p>
          <a:pPr>
            <a:buNone/>
          </a:pPr>
          <a:r>
            <a:rPr lang="es-CR">
              <a:solidFill>
                <a:sysClr val="window" lastClr="FFFFFF"/>
              </a:solidFill>
              <a:latin typeface="Calibri"/>
              <a:ea typeface="+mn-ea"/>
              <a:cs typeface="+mn-cs"/>
            </a:rPr>
            <a:t>Face 4</a:t>
          </a:r>
        </a:p>
        <a:p>
          <a:pPr>
            <a:buNone/>
          </a:pPr>
          <a:r>
            <a:rPr lang="es-CR">
              <a:solidFill>
                <a:sysClr val="window" lastClr="FFFFFF"/>
              </a:solidFill>
              <a:latin typeface="Calibri"/>
              <a:ea typeface="+mn-ea"/>
              <a:cs typeface="+mn-cs"/>
            </a:rPr>
            <a:t>Alerta Roja</a:t>
          </a:r>
        </a:p>
      </dgm:t>
    </dgm:pt>
    <dgm:pt modelId="{48E3A5D2-33F9-4521-9C3F-D3E8E8EFE478}" type="parTrans" cxnId="{D8507D8F-A4B7-44F9-A398-4D52577B7100}">
      <dgm:prSet/>
      <dgm:spPr/>
      <dgm:t>
        <a:bodyPr/>
        <a:lstStyle/>
        <a:p>
          <a:endParaRPr lang="es-CR"/>
        </a:p>
      </dgm:t>
    </dgm:pt>
    <dgm:pt modelId="{EFF051A2-CD14-4B2A-A050-92FC959E2283}" type="sibTrans" cxnId="{D8507D8F-A4B7-44F9-A398-4D52577B7100}">
      <dgm:prSet/>
      <dgm:spPr/>
      <dgm:t>
        <a:bodyPr/>
        <a:lstStyle/>
        <a:p>
          <a:endParaRPr lang="es-CR"/>
        </a:p>
      </dgm:t>
    </dgm:pt>
    <dgm:pt modelId="{26108B60-C995-4133-9AD0-403FB36EED75}">
      <dgm:prSet phldrT="[Texto]"/>
      <dgm:spPr>
        <a:xfrm>
          <a:off x="1161025" y="103979"/>
          <a:ext cx="464582" cy="464582"/>
        </a:xfrm>
        <a:prstGeom prst="roundRect">
          <a:avLst/>
        </a:prstGeom>
        <a:solidFill>
          <a:srgbClr val="00B050"/>
        </a:solidFill>
        <a:ln w="25400" cap="flat" cmpd="sng" algn="ctr">
          <a:solidFill>
            <a:sysClr val="window" lastClr="FFFFFF">
              <a:hueOff val="0"/>
              <a:satOff val="0"/>
              <a:lumOff val="0"/>
              <a:alphaOff val="0"/>
            </a:sysClr>
          </a:solidFill>
          <a:prstDash val="solid"/>
        </a:ln>
        <a:effectLst/>
      </dgm:spPr>
      <dgm:t>
        <a:bodyPr/>
        <a:lstStyle/>
        <a:p>
          <a:pPr>
            <a:buNone/>
          </a:pPr>
          <a:r>
            <a:rPr lang="es-CR">
              <a:solidFill>
                <a:sysClr val="window" lastClr="FFFFFF"/>
              </a:solidFill>
              <a:latin typeface="Calibri"/>
              <a:ea typeface="+mn-ea"/>
              <a:cs typeface="+mn-cs"/>
            </a:rPr>
            <a:t>Fase 1 Alerta Verde</a:t>
          </a:r>
        </a:p>
      </dgm:t>
    </dgm:pt>
    <dgm:pt modelId="{9C6C2937-43A8-4DC8-99AA-8E1637BB7B3F}" type="parTrans" cxnId="{7EF02828-8F8B-45A2-9914-E417D5713AB5}">
      <dgm:prSet/>
      <dgm:spPr/>
      <dgm:t>
        <a:bodyPr/>
        <a:lstStyle/>
        <a:p>
          <a:endParaRPr lang="es-CR"/>
        </a:p>
      </dgm:t>
    </dgm:pt>
    <dgm:pt modelId="{C8CFE4F3-3082-44F5-90B1-882D3B054AE9}" type="sibTrans" cxnId="{7EF02828-8F8B-45A2-9914-E417D5713AB5}">
      <dgm:prSet/>
      <dgm:spPr/>
      <dgm:t>
        <a:bodyPr/>
        <a:lstStyle/>
        <a:p>
          <a:endParaRPr lang="es-CR"/>
        </a:p>
      </dgm:t>
    </dgm:pt>
    <dgm:pt modelId="{E207D763-F3BA-4B64-B429-8BBD46C1D97F}" type="pres">
      <dgm:prSet presAssocID="{3A9F49FF-C964-442D-B16E-9AFC596ADB97}" presName="matrix" presStyleCnt="0">
        <dgm:presLayoutVars>
          <dgm:chMax val="1"/>
          <dgm:dir/>
          <dgm:resizeHandles val="exact"/>
        </dgm:presLayoutVars>
      </dgm:prSet>
      <dgm:spPr/>
    </dgm:pt>
    <dgm:pt modelId="{C47D2921-4383-4A60-A07A-2F0E84B77D11}" type="pres">
      <dgm:prSet presAssocID="{3A9F49FF-C964-442D-B16E-9AFC596ADB97}" presName="diamond" presStyleLbl="bgShp" presStyleIdx="0" presStyleCnt="1" custLinFactNeighborX="1599" custLinFactNeighborY="-1066"/>
      <dgm:spPr>
        <a:xfrm>
          <a:off x="1071866" y="0"/>
          <a:ext cx="1191237" cy="1191237"/>
        </a:xfrm>
        <a:prstGeom prst="diamond">
          <a:avLst/>
        </a:prstGeom>
        <a:solidFill>
          <a:srgbClr val="4F81BD">
            <a:tint val="40000"/>
            <a:hueOff val="0"/>
            <a:satOff val="0"/>
            <a:lumOff val="0"/>
            <a:alphaOff val="0"/>
          </a:srgbClr>
        </a:solidFill>
        <a:ln>
          <a:noFill/>
        </a:ln>
        <a:effectLst/>
      </dgm:spPr>
    </dgm:pt>
    <dgm:pt modelId="{E560C209-537B-4D77-96D7-38A7F3883B23}" type="pres">
      <dgm:prSet presAssocID="{3A9F49FF-C964-442D-B16E-9AFC596ADB97}" presName="quad1" presStyleLbl="node1" presStyleIdx="0" presStyleCnt="4" custScaleX="99754" custScaleY="98383" custLinFactX="16837" custLinFactNeighborX="100000" custLinFactNeighborY="-1837">
        <dgm:presLayoutVars>
          <dgm:chMax val="0"/>
          <dgm:chPref val="0"/>
          <dgm:bulletEnabled val="1"/>
        </dgm:presLayoutVars>
      </dgm:prSet>
      <dgm:spPr/>
    </dgm:pt>
    <dgm:pt modelId="{17A15B2C-CE3B-4AC8-922A-C12F4DE23EAC}" type="pres">
      <dgm:prSet presAssocID="{3A9F49FF-C964-442D-B16E-9AFC596ADB97}" presName="quad2" presStyleLbl="node1" presStyleIdx="1" presStyleCnt="4" custLinFactX="-6886" custLinFactY="11135" custLinFactNeighborX="-100000" custLinFactNeighborY="100000">
        <dgm:presLayoutVars>
          <dgm:chMax val="0"/>
          <dgm:chPref val="0"/>
          <dgm:bulletEnabled val="1"/>
        </dgm:presLayoutVars>
      </dgm:prSet>
      <dgm:spPr/>
    </dgm:pt>
    <dgm:pt modelId="{C8F90DD5-F11D-4E9B-BCD2-FC901DC21A83}" type="pres">
      <dgm:prSet presAssocID="{3A9F49FF-C964-442D-B16E-9AFC596ADB97}" presName="quad3" presStyleLbl="node1" presStyleIdx="2" presStyleCnt="4" custLinFactX="13312" custLinFactNeighborX="100000" custLinFactNeighborY="3710">
        <dgm:presLayoutVars>
          <dgm:chMax val="0"/>
          <dgm:chPref val="0"/>
          <dgm:bulletEnabled val="1"/>
        </dgm:presLayoutVars>
      </dgm:prSet>
      <dgm:spPr/>
    </dgm:pt>
    <dgm:pt modelId="{5398FB92-473B-4D22-A81E-AC1E3A6983EA}" type="pres">
      <dgm:prSet presAssocID="{3A9F49FF-C964-442D-B16E-9AFC596ADB97}" presName="quad4" presStyleLbl="node1" presStyleIdx="3" presStyleCnt="4" custLinFactX="-8760" custLinFactY="-9670" custLinFactNeighborX="-100000" custLinFactNeighborY="-100000">
        <dgm:presLayoutVars>
          <dgm:chMax val="0"/>
          <dgm:chPref val="0"/>
          <dgm:bulletEnabled val="1"/>
        </dgm:presLayoutVars>
      </dgm:prSet>
      <dgm:spPr/>
    </dgm:pt>
  </dgm:ptLst>
  <dgm:cxnLst>
    <dgm:cxn modelId="{6E2A2801-73EF-4B9B-8502-4CD06D43B23D}" type="presOf" srcId="{F79214B8-1CC7-4058-B330-E4D6D7AC8D6E}" destId="{17A15B2C-CE3B-4AC8-922A-C12F4DE23EAC}" srcOrd="0" destOrd="0" presId="urn:microsoft.com/office/officeart/2005/8/layout/matrix3"/>
    <dgm:cxn modelId="{7EF02828-8F8B-45A2-9914-E417D5713AB5}" srcId="{3A9F49FF-C964-442D-B16E-9AFC596ADB97}" destId="{26108B60-C995-4133-9AD0-403FB36EED75}" srcOrd="3" destOrd="0" parTransId="{9C6C2937-43A8-4DC8-99AA-8E1637BB7B3F}" sibTransId="{C8CFE4F3-3082-44F5-90B1-882D3B054AE9}"/>
    <dgm:cxn modelId="{6EAECE34-7969-48B6-A145-65648E4E13CE}" type="presOf" srcId="{1C0298F7-D109-4EAF-933A-1C84C8CFB60D}" destId="{E560C209-537B-4D77-96D7-38A7F3883B23}" srcOrd="0" destOrd="0" presId="urn:microsoft.com/office/officeart/2005/8/layout/matrix3"/>
    <dgm:cxn modelId="{07D6614E-AA82-4177-8EC1-2E176F5A4A8A}" srcId="{3A9F49FF-C964-442D-B16E-9AFC596ADB97}" destId="{F79214B8-1CC7-4058-B330-E4D6D7AC8D6E}" srcOrd="1" destOrd="0" parTransId="{F574C5D4-EF3F-41C8-94B8-4E0671BA5B13}" sibTransId="{1E0C15EE-38D5-4EDC-BEC8-55DF2FA09ACF}"/>
    <dgm:cxn modelId="{54CE3D84-625F-46DC-AF7F-1188944B71AA}" srcId="{3A9F49FF-C964-442D-B16E-9AFC596ADB97}" destId="{1C0298F7-D109-4EAF-933A-1C84C8CFB60D}" srcOrd="0" destOrd="0" parTransId="{57B3B9C3-40FD-43F1-9B62-DD367E3BB31B}" sibTransId="{9DE503D3-2863-46A3-B817-28AB0837640D}"/>
    <dgm:cxn modelId="{D8507D8F-A4B7-44F9-A398-4D52577B7100}" srcId="{3A9F49FF-C964-442D-B16E-9AFC596ADB97}" destId="{D531A1ED-BE4D-4DC6-BAAF-121C4CCCFEE0}" srcOrd="2" destOrd="0" parTransId="{48E3A5D2-33F9-4521-9C3F-D3E8E8EFE478}" sibTransId="{EFF051A2-CD14-4B2A-A050-92FC959E2283}"/>
    <dgm:cxn modelId="{355E57D1-44F4-4E68-A7E9-F47CBCBA61FE}" type="presOf" srcId="{3A9F49FF-C964-442D-B16E-9AFC596ADB97}" destId="{E207D763-F3BA-4B64-B429-8BBD46C1D97F}" srcOrd="0" destOrd="0" presId="urn:microsoft.com/office/officeart/2005/8/layout/matrix3"/>
    <dgm:cxn modelId="{988A9ED4-D229-4043-8CB7-CB59A6851216}" type="presOf" srcId="{D531A1ED-BE4D-4DC6-BAAF-121C4CCCFEE0}" destId="{C8F90DD5-F11D-4E9B-BCD2-FC901DC21A83}" srcOrd="0" destOrd="0" presId="urn:microsoft.com/office/officeart/2005/8/layout/matrix3"/>
    <dgm:cxn modelId="{019C9FE0-D6E6-4547-9102-8AA6E4355DB8}" type="presOf" srcId="{26108B60-C995-4133-9AD0-403FB36EED75}" destId="{5398FB92-473B-4D22-A81E-AC1E3A6983EA}" srcOrd="0" destOrd="0" presId="urn:microsoft.com/office/officeart/2005/8/layout/matrix3"/>
    <dgm:cxn modelId="{39A12E11-48D6-40C2-969F-240E0AB94109}" type="presParOf" srcId="{E207D763-F3BA-4B64-B429-8BBD46C1D97F}" destId="{C47D2921-4383-4A60-A07A-2F0E84B77D11}" srcOrd="0" destOrd="0" presId="urn:microsoft.com/office/officeart/2005/8/layout/matrix3"/>
    <dgm:cxn modelId="{A478E284-3584-40E3-9292-4A5479858235}" type="presParOf" srcId="{E207D763-F3BA-4B64-B429-8BBD46C1D97F}" destId="{E560C209-537B-4D77-96D7-38A7F3883B23}" srcOrd="1" destOrd="0" presId="urn:microsoft.com/office/officeart/2005/8/layout/matrix3"/>
    <dgm:cxn modelId="{A4C459DC-925B-4C78-BA9E-CCD0F0523E4B}" type="presParOf" srcId="{E207D763-F3BA-4B64-B429-8BBD46C1D97F}" destId="{17A15B2C-CE3B-4AC8-922A-C12F4DE23EAC}" srcOrd="2" destOrd="0" presId="urn:microsoft.com/office/officeart/2005/8/layout/matrix3"/>
    <dgm:cxn modelId="{3A3394DB-9513-4B26-92D9-2AA332FD26BA}" type="presParOf" srcId="{E207D763-F3BA-4B64-B429-8BBD46C1D97F}" destId="{C8F90DD5-F11D-4E9B-BCD2-FC901DC21A83}" srcOrd="3" destOrd="0" presId="urn:microsoft.com/office/officeart/2005/8/layout/matrix3"/>
    <dgm:cxn modelId="{224AE0C7-E826-4303-8E9A-AB95FD841D7D}" type="presParOf" srcId="{E207D763-F3BA-4B64-B429-8BBD46C1D97F}" destId="{5398FB92-473B-4D22-A81E-AC1E3A6983EA}" srcOrd="4" destOrd="0" presId="urn:microsoft.com/office/officeart/2005/8/layout/matrix3"/>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036791C-61DC-49F0-988E-8F99A95E3A16}" type="doc">
      <dgm:prSet loTypeId="urn:microsoft.com/office/officeart/2005/8/layout/matrix3" loCatId="matrix" qsTypeId="urn:microsoft.com/office/officeart/2005/8/quickstyle/simple1" qsCatId="simple" csTypeId="urn:microsoft.com/office/officeart/2005/8/colors/accent1_2" csCatId="accent1" phldr="1"/>
      <dgm:spPr/>
      <dgm:t>
        <a:bodyPr/>
        <a:lstStyle/>
        <a:p>
          <a:endParaRPr lang="es-CR"/>
        </a:p>
      </dgm:t>
    </dgm:pt>
    <dgm:pt modelId="{659DB6B6-2D3A-4C2A-A8EC-7149128490DC}">
      <dgm:prSet phldrT="[Texto]"/>
      <dgm:spPr>
        <a:xfrm>
          <a:off x="224699" y="82086"/>
          <a:ext cx="336985" cy="336985"/>
        </a:xfrm>
        <a:prstGeom prst="roundRect">
          <a:avLst/>
        </a:prstGeom>
        <a:solidFill>
          <a:sysClr val="window" lastClr="FFFFFF"/>
        </a:solidFill>
        <a:ln w="25400" cap="flat" cmpd="sng" algn="ctr">
          <a:solidFill>
            <a:srgbClr val="4F81BD">
              <a:lumMod val="40000"/>
              <a:lumOff val="60000"/>
            </a:srgbClr>
          </a:solidFill>
          <a:prstDash val="solid"/>
        </a:ln>
        <a:effectLst/>
      </dgm:spPr>
      <dgm:t>
        <a:bodyPr/>
        <a:lstStyle/>
        <a:p>
          <a:pPr>
            <a:buNone/>
          </a:pPr>
          <a:endParaRPr lang="es-CR">
            <a:solidFill>
              <a:sysClr val="window" lastClr="FFFFFF"/>
            </a:solidFill>
            <a:latin typeface="Calibri"/>
            <a:ea typeface="+mn-ea"/>
            <a:cs typeface="+mn-cs"/>
          </a:endParaRPr>
        </a:p>
      </dgm:t>
    </dgm:pt>
    <dgm:pt modelId="{23962C27-9670-48DA-BF35-0919BAFEC344}" type="parTrans" cxnId="{1AB74DEE-263E-4584-968A-9A415FF06EB7}">
      <dgm:prSet/>
      <dgm:spPr/>
      <dgm:t>
        <a:bodyPr/>
        <a:lstStyle/>
        <a:p>
          <a:endParaRPr lang="es-CR"/>
        </a:p>
      </dgm:t>
    </dgm:pt>
    <dgm:pt modelId="{3F500E43-9532-4DE2-B027-33932235B794}" type="sibTrans" cxnId="{1AB74DEE-263E-4584-968A-9A415FF06EB7}">
      <dgm:prSet/>
      <dgm:spPr/>
      <dgm:t>
        <a:bodyPr/>
        <a:lstStyle/>
        <a:p>
          <a:endParaRPr lang="es-CR"/>
        </a:p>
      </dgm:t>
    </dgm:pt>
    <dgm:pt modelId="{0E07891C-E990-4940-A74F-3C6E787307F5}">
      <dgm:prSet phldrT="[Texto]"/>
      <dgm:spPr>
        <a:xfrm>
          <a:off x="587606" y="82086"/>
          <a:ext cx="336985" cy="336985"/>
        </a:xfrm>
        <a:prstGeom prst="roundRect">
          <a:avLst/>
        </a:prstGeom>
        <a:solidFill>
          <a:sysClr val="window" lastClr="FFFFFF"/>
        </a:solidFill>
        <a:ln w="25400" cap="flat" cmpd="sng" algn="ctr">
          <a:solidFill>
            <a:srgbClr val="4F81BD">
              <a:lumMod val="40000"/>
              <a:lumOff val="60000"/>
            </a:srgbClr>
          </a:solidFill>
          <a:prstDash val="solid"/>
        </a:ln>
        <a:effectLst/>
      </dgm:spPr>
      <dgm:t>
        <a:bodyPr/>
        <a:lstStyle/>
        <a:p>
          <a:pPr>
            <a:buNone/>
          </a:pPr>
          <a:endParaRPr lang="es-CR">
            <a:solidFill>
              <a:sysClr val="window" lastClr="FFFFFF"/>
            </a:solidFill>
            <a:latin typeface="Calibri"/>
            <a:ea typeface="+mn-ea"/>
            <a:cs typeface="+mn-cs"/>
          </a:endParaRPr>
        </a:p>
      </dgm:t>
    </dgm:pt>
    <dgm:pt modelId="{D356F2C7-DD74-4104-A563-25D5975FDB17}" type="parTrans" cxnId="{48DA5B39-7E24-4249-8D2A-B8F9351E69C0}">
      <dgm:prSet/>
      <dgm:spPr/>
      <dgm:t>
        <a:bodyPr/>
        <a:lstStyle/>
        <a:p>
          <a:endParaRPr lang="es-CR"/>
        </a:p>
      </dgm:t>
    </dgm:pt>
    <dgm:pt modelId="{F1E82F12-7313-43E1-A890-C7219C8523B2}" type="sibTrans" cxnId="{48DA5B39-7E24-4249-8D2A-B8F9351E69C0}">
      <dgm:prSet/>
      <dgm:spPr/>
      <dgm:t>
        <a:bodyPr/>
        <a:lstStyle/>
        <a:p>
          <a:endParaRPr lang="es-CR"/>
        </a:p>
      </dgm:t>
    </dgm:pt>
    <dgm:pt modelId="{93ECF00D-F881-482D-8459-B1CF3BDDDC53}">
      <dgm:prSet phldrT="[Texto]"/>
      <dgm:spPr>
        <a:xfrm>
          <a:off x="224699" y="444993"/>
          <a:ext cx="336985" cy="336985"/>
        </a:xfrm>
        <a:prstGeom prst="roundRect">
          <a:avLst/>
        </a:prstGeom>
        <a:solidFill>
          <a:sysClr val="window" lastClr="FFFFFF"/>
        </a:solidFill>
        <a:ln w="25400" cap="flat" cmpd="sng" algn="ctr">
          <a:solidFill>
            <a:srgbClr val="4F81BD">
              <a:lumMod val="40000"/>
              <a:lumOff val="60000"/>
            </a:srgbClr>
          </a:solidFill>
          <a:prstDash val="solid"/>
        </a:ln>
        <a:effectLst/>
      </dgm:spPr>
      <dgm:t>
        <a:bodyPr/>
        <a:lstStyle/>
        <a:p>
          <a:pPr>
            <a:buNone/>
          </a:pPr>
          <a:endParaRPr lang="es-CR">
            <a:solidFill>
              <a:sysClr val="window" lastClr="FFFFFF"/>
            </a:solidFill>
            <a:latin typeface="Calibri"/>
            <a:ea typeface="+mn-ea"/>
            <a:cs typeface="+mn-cs"/>
          </a:endParaRPr>
        </a:p>
      </dgm:t>
    </dgm:pt>
    <dgm:pt modelId="{4409925F-93CC-4095-BFBC-5FBDA73C949F}" type="parTrans" cxnId="{76F8394E-B3DB-47A4-A5DD-E7C0CEF86515}">
      <dgm:prSet/>
      <dgm:spPr/>
      <dgm:t>
        <a:bodyPr/>
        <a:lstStyle/>
        <a:p>
          <a:endParaRPr lang="es-CR"/>
        </a:p>
      </dgm:t>
    </dgm:pt>
    <dgm:pt modelId="{94CDAB61-2EC2-4754-AAC9-C30F2D0C33A2}" type="sibTrans" cxnId="{76F8394E-B3DB-47A4-A5DD-E7C0CEF86515}">
      <dgm:prSet/>
      <dgm:spPr/>
      <dgm:t>
        <a:bodyPr/>
        <a:lstStyle/>
        <a:p>
          <a:endParaRPr lang="es-CR"/>
        </a:p>
      </dgm:t>
    </dgm:pt>
    <dgm:pt modelId="{6007022B-FCBB-4F89-AC13-A4A307E8F678}">
      <dgm:prSet phldrT="[Texto]"/>
      <dgm:spPr>
        <a:xfrm>
          <a:off x="584590" y="439142"/>
          <a:ext cx="368419" cy="399506"/>
        </a:xfrm>
        <a:prstGeom prst="roundRect">
          <a:avLst/>
        </a:prstGeom>
        <a:solidFill>
          <a:srgbClr val="00B050"/>
        </a:solidFill>
        <a:ln w="25400" cap="flat" cmpd="sng" algn="ctr">
          <a:solidFill>
            <a:sysClr val="window" lastClr="FFFFFF">
              <a:hueOff val="0"/>
              <a:satOff val="0"/>
              <a:lumOff val="0"/>
              <a:alphaOff val="0"/>
            </a:sysClr>
          </a:solidFill>
          <a:prstDash val="solid"/>
        </a:ln>
        <a:effectLst/>
      </dgm:spPr>
      <dgm:t>
        <a:bodyPr/>
        <a:lstStyle/>
        <a:p>
          <a:pPr>
            <a:buNone/>
          </a:pPr>
          <a:r>
            <a:rPr lang="es-CR">
              <a:solidFill>
                <a:sysClr val="window" lastClr="FFFFFF"/>
              </a:solidFill>
              <a:latin typeface="Calibri"/>
              <a:ea typeface="+mn-ea"/>
              <a:cs typeface="+mn-cs"/>
            </a:rPr>
            <a:t>Fase 1 Alerta Verde</a:t>
          </a:r>
        </a:p>
      </dgm:t>
    </dgm:pt>
    <dgm:pt modelId="{18AF5093-7DCD-4B42-A603-B1DB3C94F70A}" type="parTrans" cxnId="{15A3ADB2-5484-48D3-A0CC-835284A75CC5}">
      <dgm:prSet/>
      <dgm:spPr/>
      <dgm:t>
        <a:bodyPr/>
        <a:lstStyle/>
        <a:p>
          <a:endParaRPr lang="es-CR"/>
        </a:p>
      </dgm:t>
    </dgm:pt>
    <dgm:pt modelId="{12A59CAB-AC1C-4714-823D-135D183878EA}" type="sibTrans" cxnId="{15A3ADB2-5484-48D3-A0CC-835284A75CC5}">
      <dgm:prSet/>
      <dgm:spPr/>
      <dgm:t>
        <a:bodyPr/>
        <a:lstStyle/>
        <a:p>
          <a:endParaRPr lang="es-CR"/>
        </a:p>
      </dgm:t>
    </dgm:pt>
    <dgm:pt modelId="{930A92BE-BA59-46F4-804A-C8EF8BB094B2}" type="pres">
      <dgm:prSet presAssocID="{5036791C-61DC-49F0-988E-8F99A95E3A16}" presName="matrix" presStyleCnt="0">
        <dgm:presLayoutVars>
          <dgm:chMax val="1"/>
          <dgm:dir/>
          <dgm:resizeHandles val="exact"/>
        </dgm:presLayoutVars>
      </dgm:prSet>
      <dgm:spPr/>
    </dgm:pt>
    <dgm:pt modelId="{0B7E4DF4-7C84-42FD-818D-C2C313CEC559}" type="pres">
      <dgm:prSet presAssocID="{5036791C-61DC-49F0-988E-8F99A95E3A16}" presName="diamond" presStyleLbl="bgShp" presStyleIdx="0" presStyleCnt="1"/>
      <dgm:spPr>
        <a:xfrm>
          <a:off x="142612" y="0"/>
          <a:ext cx="864066" cy="864066"/>
        </a:xfrm>
        <a:prstGeom prst="diamond">
          <a:avLst/>
        </a:prstGeom>
        <a:solidFill>
          <a:srgbClr val="4F81BD">
            <a:tint val="40000"/>
            <a:hueOff val="0"/>
            <a:satOff val="0"/>
            <a:lumOff val="0"/>
            <a:alphaOff val="0"/>
          </a:srgbClr>
        </a:solidFill>
        <a:ln>
          <a:noFill/>
        </a:ln>
        <a:effectLst/>
      </dgm:spPr>
    </dgm:pt>
    <dgm:pt modelId="{70B57F67-7A19-4E30-9DF2-770E5C2D2770}" type="pres">
      <dgm:prSet presAssocID="{5036791C-61DC-49F0-988E-8F99A95E3A16}" presName="quad1" presStyleLbl="node1" presStyleIdx="0" presStyleCnt="4">
        <dgm:presLayoutVars>
          <dgm:chMax val="0"/>
          <dgm:chPref val="0"/>
          <dgm:bulletEnabled val="1"/>
        </dgm:presLayoutVars>
      </dgm:prSet>
      <dgm:spPr/>
    </dgm:pt>
    <dgm:pt modelId="{BFE6A6F9-BB15-484A-B22D-123B2FB4FE54}" type="pres">
      <dgm:prSet presAssocID="{5036791C-61DC-49F0-988E-8F99A95E3A16}" presName="quad2" presStyleLbl="node1" presStyleIdx="1" presStyleCnt="4">
        <dgm:presLayoutVars>
          <dgm:chMax val="0"/>
          <dgm:chPref val="0"/>
          <dgm:bulletEnabled val="1"/>
        </dgm:presLayoutVars>
      </dgm:prSet>
      <dgm:spPr/>
    </dgm:pt>
    <dgm:pt modelId="{000CEC01-D480-45CB-8EA7-D865E1D3FFAA}" type="pres">
      <dgm:prSet presAssocID="{5036791C-61DC-49F0-988E-8F99A95E3A16}" presName="quad3" presStyleLbl="node1" presStyleIdx="2" presStyleCnt="4">
        <dgm:presLayoutVars>
          <dgm:chMax val="0"/>
          <dgm:chPref val="0"/>
          <dgm:bulletEnabled val="1"/>
        </dgm:presLayoutVars>
      </dgm:prSet>
      <dgm:spPr/>
    </dgm:pt>
    <dgm:pt modelId="{E534F928-6E77-4FB3-B7DD-908C67840957}" type="pres">
      <dgm:prSet presAssocID="{5036791C-61DC-49F0-988E-8F99A95E3A16}" presName="quad4" presStyleLbl="node1" presStyleIdx="3" presStyleCnt="4" custScaleX="109328" custScaleY="118553" custLinFactNeighborX="3769" custLinFactNeighborY="7540">
        <dgm:presLayoutVars>
          <dgm:chMax val="0"/>
          <dgm:chPref val="0"/>
          <dgm:bulletEnabled val="1"/>
        </dgm:presLayoutVars>
      </dgm:prSet>
      <dgm:spPr/>
    </dgm:pt>
  </dgm:ptLst>
  <dgm:cxnLst>
    <dgm:cxn modelId="{48DA5B39-7E24-4249-8D2A-B8F9351E69C0}" srcId="{5036791C-61DC-49F0-988E-8F99A95E3A16}" destId="{0E07891C-E990-4940-A74F-3C6E787307F5}" srcOrd="1" destOrd="0" parTransId="{D356F2C7-DD74-4104-A563-25D5975FDB17}" sibTransId="{F1E82F12-7313-43E1-A890-C7219C8523B2}"/>
    <dgm:cxn modelId="{76F8394E-B3DB-47A4-A5DD-E7C0CEF86515}" srcId="{5036791C-61DC-49F0-988E-8F99A95E3A16}" destId="{93ECF00D-F881-482D-8459-B1CF3BDDDC53}" srcOrd="2" destOrd="0" parTransId="{4409925F-93CC-4095-BFBC-5FBDA73C949F}" sibTransId="{94CDAB61-2EC2-4754-AAC9-C30F2D0C33A2}"/>
    <dgm:cxn modelId="{EEF76458-08D6-463C-BACC-2A020204DD3B}" type="presOf" srcId="{659DB6B6-2D3A-4C2A-A8EC-7149128490DC}" destId="{70B57F67-7A19-4E30-9DF2-770E5C2D2770}" srcOrd="0" destOrd="0" presId="urn:microsoft.com/office/officeart/2005/8/layout/matrix3"/>
    <dgm:cxn modelId="{025B16A6-F782-493C-9AB7-F49FBE96C784}" type="presOf" srcId="{0E07891C-E990-4940-A74F-3C6E787307F5}" destId="{BFE6A6F9-BB15-484A-B22D-123B2FB4FE54}" srcOrd="0" destOrd="0" presId="urn:microsoft.com/office/officeart/2005/8/layout/matrix3"/>
    <dgm:cxn modelId="{10A3DDAB-A9C6-49C1-B7F2-318FE5670D7E}" type="presOf" srcId="{5036791C-61DC-49F0-988E-8F99A95E3A16}" destId="{930A92BE-BA59-46F4-804A-C8EF8BB094B2}" srcOrd="0" destOrd="0" presId="urn:microsoft.com/office/officeart/2005/8/layout/matrix3"/>
    <dgm:cxn modelId="{A5790AAC-7250-4F5E-A05E-02D4EF4A77A6}" type="presOf" srcId="{93ECF00D-F881-482D-8459-B1CF3BDDDC53}" destId="{000CEC01-D480-45CB-8EA7-D865E1D3FFAA}" srcOrd="0" destOrd="0" presId="urn:microsoft.com/office/officeart/2005/8/layout/matrix3"/>
    <dgm:cxn modelId="{E1F1E0B0-35BB-4552-93D0-D82076FCFADF}" type="presOf" srcId="{6007022B-FCBB-4F89-AC13-A4A307E8F678}" destId="{E534F928-6E77-4FB3-B7DD-908C67840957}" srcOrd="0" destOrd="0" presId="urn:microsoft.com/office/officeart/2005/8/layout/matrix3"/>
    <dgm:cxn modelId="{15A3ADB2-5484-48D3-A0CC-835284A75CC5}" srcId="{5036791C-61DC-49F0-988E-8F99A95E3A16}" destId="{6007022B-FCBB-4F89-AC13-A4A307E8F678}" srcOrd="3" destOrd="0" parTransId="{18AF5093-7DCD-4B42-A603-B1DB3C94F70A}" sibTransId="{12A59CAB-AC1C-4714-823D-135D183878EA}"/>
    <dgm:cxn modelId="{1AB74DEE-263E-4584-968A-9A415FF06EB7}" srcId="{5036791C-61DC-49F0-988E-8F99A95E3A16}" destId="{659DB6B6-2D3A-4C2A-A8EC-7149128490DC}" srcOrd="0" destOrd="0" parTransId="{23962C27-9670-48DA-BF35-0919BAFEC344}" sibTransId="{3F500E43-9532-4DE2-B027-33932235B794}"/>
    <dgm:cxn modelId="{D1FA9749-405B-42E9-9BC2-2BA5C04DC0B3}" type="presParOf" srcId="{930A92BE-BA59-46F4-804A-C8EF8BB094B2}" destId="{0B7E4DF4-7C84-42FD-818D-C2C313CEC559}" srcOrd="0" destOrd="0" presId="urn:microsoft.com/office/officeart/2005/8/layout/matrix3"/>
    <dgm:cxn modelId="{0CFF8340-932C-42B9-8E90-AB59C921558B}" type="presParOf" srcId="{930A92BE-BA59-46F4-804A-C8EF8BB094B2}" destId="{70B57F67-7A19-4E30-9DF2-770E5C2D2770}" srcOrd="1" destOrd="0" presId="urn:microsoft.com/office/officeart/2005/8/layout/matrix3"/>
    <dgm:cxn modelId="{DE12AA24-9008-4E6F-99B1-52AE2EDD795F}" type="presParOf" srcId="{930A92BE-BA59-46F4-804A-C8EF8BB094B2}" destId="{BFE6A6F9-BB15-484A-B22D-123B2FB4FE54}" srcOrd="2" destOrd="0" presId="urn:microsoft.com/office/officeart/2005/8/layout/matrix3"/>
    <dgm:cxn modelId="{2C0777E6-15D6-42A9-95E0-5264D6D6DBC0}" type="presParOf" srcId="{930A92BE-BA59-46F4-804A-C8EF8BB094B2}" destId="{000CEC01-D480-45CB-8EA7-D865E1D3FFAA}" srcOrd="3" destOrd="0" presId="urn:microsoft.com/office/officeart/2005/8/layout/matrix3"/>
    <dgm:cxn modelId="{D359B9F1-87A6-4BD0-BFC4-A1CEC23460F6}" type="presParOf" srcId="{930A92BE-BA59-46F4-804A-C8EF8BB094B2}" destId="{E534F928-6E77-4FB3-B7DD-908C67840957}" srcOrd="4" destOrd="0" presId="urn:microsoft.com/office/officeart/2005/8/layout/matrix3"/>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E770F04-EEA9-4A4F-9D37-8471E59B4E40}" type="doc">
      <dgm:prSet loTypeId="urn:microsoft.com/office/officeart/2005/8/layout/matrix3" loCatId="matrix" qsTypeId="urn:microsoft.com/office/officeart/2005/8/quickstyle/simple1" qsCatId="simple" csTypeId="urn:microsoft.com/office/officeart/2005/8/colors/accent1_2" csCatId="accent1" phldr="1"/>
      <dgm:spPr/>
      <dgm:t>
        <a:bodyPr/>
        <a:lstStyle/>
        <a:p>
          <a:endParaRPr lang="es-CR"/>
        </a:p>
      </dgm:t>
    </dgm:pt>
    <dgm:pt modelId="{C0CC81C3-53EB-4753-944A-946310CD1BDD}">
      <dgm:prSet phldrT="[Texto]"/>
      <dgm:spPr>
        <a:xfrm>
          <a:off x="85583" y="571756"/>
          <a:ext cx="395744" cy="395744"/>
        </a:xfrm>
        <a:prstGeom prst="roundRect">
          <a:avLst/>
        </a:prstGeom>
        <a:solidFill>
          <a:srgbClr val="FFFF00"/>
        </a:solidFill>
        <a:ln w="25400" cap="flat" cmpd="sng" algn="ctr">
          <a:solidFill>
            <a:sysClr val="window" lastClr="FFFFFF">
              <a:hueOff val="0"/>
              <a:satOff val="0"/>
              <a:lumOff val="0"/>
              <a:alphaOff val="0"/>
            </a:sysClr>
          </a:solidFill>
          <a:prstDash val="solid"/>
        </a:ln>
        <a:effectLst/>
      </dgm:spPr>
      <dgm:t>
        <a:bodyPr/>
        <a:lstStyle/>
        <a:p>
          <a:pPr>
            <a:buNone/>
          </a:pPr>
          <a:r>
            <a:rPr lang="es-CR">
              <a:solidFill>
                <a:sysClr val="windowText" lastClr="000000"/>
              </a:solidFill>
              <a:latin typeface="Calibri"/>
              <a:ea typeface="+mn-ea"/>
              <a:cs typeface="+mn-cs"/>
            </a:rPr>
            <a:t>Face 2</a:t>
          </a:r>
        </a:p>
        <a:p>
          <a:pPr>
            <a:buNone/>
          </a:pPr>
          <a:r>
            <a:rPr lang="es-CR">
              <a:solidFill>
                <a:sysClr val="windowText" lastClr="000000"/>
              </a:solidFill>
              <a:latin typeface="Calibri"/>
              <a:ea typeface="+mn-ea"/>
              <a:cs typeface="+mn-cs"/>
            </a:rPr>
            <a:t>Alerta Amarilla </a:t>
          </a:r>
        </a:p>
      </dgm:t>
    </dgm:pt>
    <dgm:pt modelId="{08CE9948-69DB-432A-8550-1B7DF8C5C118}" type="parTrans" cxnId="{E87FB28B-A911-4741-BB8A-DF617C755B69}">
      <dgm:prSet/>
      <dgm:spPr/>
      <dgm:t>
        <a:bodyPr/>
        <a:lstStyle/>
        <a:p>
          <a:endParaRPr lang="es-CR"/>
        </a:p>
      </dgm:t>
    </dgm:pt>
    <dgm:pt modelId="{42A5474C-EAC1-4588-A901-18A3B7429C6D}" type="sibTrans" cxnId="{E87FB28B-A911-4741-BB8A-DF617C755B69}">
      <dgm:prSet/>
      <dgm:spPr/>
      <dgm:t>
        <a:bodyPr/>
        <a:lstStyle/>
        <a:p>
          <a:endParaRPr lang="es-CR"/>
        </a:p>
      </dgm:t>
    </dgm:pt>
    <dgm:pt modelId="{374CB9BE-E157-497D-8FA6-B5D2955D68B4}">
      <dgm:prSet phldrT="[Texto]"/>
      <dgm:spPr>
        <a:xfrm>
          <a:off x="522585" y="121481"/>
          <a:ext cx="395744" cy="395744"/>
        </a:xfrm>
        <a:prstGeom prst="roundRect">
          <a:avLst/>
        </a:prstGeom>
        <a:solidFill>
          <a:sysClr val="window" lastClr="FFFFFF"/>
        </a:solidFill>
        <a:ln w="25400" cap="flat" cmpd="sng" algn="ctr">
          <a:solidFill>
            <a:srgbClr val="4F81BD">
              <a:lumMod val="40000"/>
              <a:lumOff val="60000"/>
            </a:srgbClr>
          </a:solidFill>
          <a:prstDash val="solid"/>
        </a:ln>
        <a:effectLst/>
      </dgm:spPr>
      <dgm:t>
        <a:bodyPr/>
        <a:lstStyle/>
        <a:p>
          <a:pPr>
            <a:buNone/>
          </a:pPr>
          <a:endParaRPr lang="es-CR">
            <a:solidFill>
              <a:sysClr val="window" lastClr="FFFFFF"/>
            </a:solidFill>
            <a:latin typeface="Calibri"/>
            <a:ea typeface="+mn-ea"/>
            <a:cs typeface="+mn-cs"/>
          </a:endParaRPr>
        </a:p>
      </dgm:t>
    </dgm:pt>
    <dgm:pt modelId="{5B772A04-86E6-4A2D-BDEC-E0B83A8F7670}" type="parTrans" cxnId="{AED70E49-7A19-4AC7-A1D7-64BFEDB3681D}">
      <dgm:prSet/>
      <dgm:spPr/>
      <dgm:t>
        <a:bodyPr/>
        <a:lstStyle/>
        <a:p>
          <a:endParaRPr lang="es-CR"/>
        </a:p>
      </dgm:t>
    </dgm:pt>
    <dgm:pt modelId="{58BD78A8-9B27-49B6-A9B2-495EDBEB53D2}" type="sibTrans" cxnId="{AED70E49-7A19-4AC7-A1D7-64BFEDB3681D}">
      <dgm:prSet/>
      <dgm:spPr/>
      <dgm:t>
        <a:bodyPr/>
        <a:lstStyle/>
        <a:p>
          <a:endParaRPr lang="es-CR"/>
        </a:p>
      </dgm:t>
    </dgm:pt>
    <dgm:pt modelId="{2B6E7F07-A15A-4D7E-B010-4F6C72E05C4C}">
      <dgm:prSet phldrT="[Texto]"/>
      <dgm:spPr>
        <a:xfrm>
          <a:off x="82544" y="132033"/>
          <a:ext cx="395744" cy="395744"/>
        </a:xfrm>
        <a:prstGeom prst="roundRect">
          <a:avLst/>
        </a:prstGeom>
        <a:solidFill>
          <a:sysClr val="window" lastClr="FFFFFF"/>
        </a:solidFill>
        <a:ln w="25400" cap="flat" cmpd="sng" algn="ctr">
          <a:solidFill>
            <a:srgbClr val="4F81BD">
              <a:lumMod val="40000"/>
              <a:lumOff val="60000"/>
            </a:srgbClr>
          </a:solidFill>
          <a:prstDash val="solid"/>
        </a:ln>
        <a:effectLst/>
      </dgm:spPr>
      <dgm:t>
        <a:bodyPr/>
        <a:lstStyle/>
        <a:p>
          <a:pPr>
            <a:buNone/>
          </a:pPr>
          <a:endParaRPr lang="es-CR">
            <a:solidFill>
              <a:sysClr val="window" lastClr="FFFFFF"/>
            </a:solidFill>
            <a:latin typeface="Calibri"/>
            <a:ea typeface="+mn-ea"/>
            <a:cs typeface="+mn-cs"/>
          </a:endParaRPr>
        </a:p>
      </dgm:t>
    </dgm:pt>
    <dgm:pt modelId="{61884B65-7376-4428-8DD2-0352376B8C28}" type="parTrans" cxnId="{F9519C62-6146-4D48-90E6-9CC666E650E4}">
      <dgm:prSet/>
      <dgm:spPr/>
      <dgm:t>
        <a:bodyPr/>
        <a:lstStyle/>
        <a:p>
          <a:endParaRPr lang="es-CR"/>
        </a:p>
      </dgm:t>
    </dgm:pt>
    <dgm:pt modelId="{20887A0F-4EEA-499D-BD74-98CBE1E58F31}" type="sibTrans" cxnId="{F9519C62-6146-4D48-90E6-9CC666E650E4}">
      <dgm:prSet/>
      <dgm:spPr/>
      <dgm:t>
        <a:bodyPr/>
        <a:lstStyle/>
        <a:p>
          <a:endParaRPr lang="es-CR"/>
        </a:p>
      </dgm:t>
    </dgm:pt>
    <dgm:pt modelId="{547E3D82-0E76-4449-B5F8-33F849E23A8F}">
      <dgm:prSet phldrT="[Texto]"/>
      <dgm:spPr>
        <a:xfrm>
          <a:off x="522585" y="547668"/>
          <a:ext cx="395744" cy="395744"/>
        </a:xfrm>
        <a:prstGeom prst="roundRect">
          <a:avLst/>
        </a:prstGeom>
        <a:solidFill>
          <a:sysClr val="window" lastClr="FFFFFF"/>
        </a:solidFill>
        <a:ln w="25400" cap="flat" cmpd="sng" algn="ctr">
          <a:solidFill>
            <a:srgbClr val="4F81BD">
              <a:lumMod val="40000"/>
              <a:lumOff val="60000"/>
            </a:srgbClr>
          </a:solidFill>
          <a:prstDash val="solid"/>
        </a:ln>
        <a:effectLst/>
      </dgm:spPr>
      <dgm:t>
        <a:bodyPr/>
        <a:lstStyle/>
        <a:p>
          <a:pPr>
            <a:buNone/>
          </a:pPr>
          <a:endParaRPr lang="es-CR">
            <a:solidFill>
              <a:sysClr val="window" lastClr="FFFFFF"/>
            </a:solidFill>
            <a:latin typeface="Calibri"/>
            <a:ea typeface="+mn-ea"/>
            <a:cs typeface="+mn-cs"/>
          </a:endParaRPr>
        </a:p>
      </dgm:t>
    </dgm:pt>
    <dgm:pt modelId="{A9437339-B1C5-4069-AB0E-635A3577B81F}" type="parTrans" cxnId="{EA8C8E6E-4FE9-4875-B867-58919713C994}">
      <dgm:prSet/>
      <dgm:spPr/>
      <dgm:t>
        <a:bodyPr/>
        <a:lstStyle/>
        <a:p>
          <a:endParaRPr lang="es-CR"/>
        </a:p>
      </dgm:t>
    </dgm:pt>
    <dgm:pt modelId="{49654B64-C42B-4996-8BB4-4B80C7781D4D}" type="sibTrans" cxnId="{EA8C8E6E-4FE9-4875-B867-58919713C994}">
      <dgm:prSet/>
      <dgm:spPr/>
      <dgm:t>
        <a:bodyPr/>
        <a:lstStyle/>
        <a:p>
          <a:endParaRPr lang="es-CR"/>
        </a:p>
      </dgm:t>
    </dgm:pt>
    <dgm:pt modelId="{F7F3CC9A-58AF-4906-8A5B-0CC9F13A107D}" type="pres">
      <dgm:prSet presAssocID="{CE770F04-EEA9-4A4F-9D37-8471E59B4E40}" presName="matrix" presStyleCnt="0">
        <dgm:presLayoutVars>
          <dgm:chMax val="1"/>
          <dgm:dir/>
          <dgm:resizeHandles val="exact"/>
        </dgm:presLayoutVars>
      </dgm:prSet>
      <dgm:spPr/>
    </dgm:pt>
    <dgm:pt modelId="{611EC791-DBA0-4212-9640-E8E6A6D06943}" type="pres">
      <dgm:prSet presAssocID="{CE770F04-EEA9-4A4F-9D37-8471E59B4E40}" presName="diamond" presStyleLbl="bgShp" presStyleIdx="0" presStyleCnt="1"/>
      <dgm:spPr>
        <a:xfrm>
          <a:off x="0" y="25082"/>
          <a:ext cx="1014730" cy="1014730"/>
        </a:xfrm>
        <a:prstGeom prst="diamond">
          <a:avLst/>
        </a:prstGeom>
        <a:solidFill>
          <a:srgbClr val="4F81BD">
            <a:tint val="40000"/>
            <a:hueOff val="0"/>
            <a:satOff val="0"/>
            <a:lumOff val="0"/>
            <a:alphaOff val="0"/>
          </a:srgbClr>
        </a:solidFill>
        <a:ln>
          <a:noFill/>
        </a:ln>
        <a:effectLst/>
      </dgm:spPr>
    </dgm:pt>
    <dgm:pt modelId="{F26BD06A-80CE-456D-B6C0-FE9DEE6A314F}" type="pres">
      <dgm:prSet presAssocID="{CE770F04-EEA9-4A4F-9D37-8471E59B4E40}" presName="quad1" presStyleLbl="node1" presStyleIdx="0" presStyleCnt="4" custLinFactY="13779" custLinFactNeighborX="-2733" custLinFactNeighborY="100000">
        <dgm:presLayoutVars>
          <dgm:chMax val="0"/>
          <dgm:chPref val="0"/>
          <dgm:bulletEnabled val="1"/>
        </dgm:presLayoutVars>
      </dgm:prSet>
      <dgm:spPr/>
    </dgm:pt>
    <dgm:pt modelId="{045A18E7-4DE8-459E-93CF-EACED27DA93D}" type="pres">
      <dgm:prSet presAssocID="{CE770F04-EEA9-4A4F-9D37-8471E59B4E40}" presName="quad2" presStyleLbl="node1" presStyleIdx="1" presStyleCnt="4">
        <dgm:presLayoutVars>
          <dgm:chMax val="0"/>
          <dgm:chPref val="0"/>
          <dgm:bulletEnabled val="1"/>
        </dgm:presLayoutVars>
      </dgm:prSet>
      <dgm:spPr/>
    </dgm:pt>
    <dgm:pt modelId="{2A6F4F2A-D3B7-41DF-8761-C01F44E2ABA1}" type="pres">
      <dgm:prSet presAssocID="{CE770F04-EEA9-4A4F-9D37-8471E59B4E40}" presName="quad3" presStyleLbl="node1" presStyleIdx="2" presStyleCnt="4" custLinFactY="-5026" custLinFactNeighborX="-3501" custLinFactNeighborY="-100000">
        <dgm:presLayoutVars>
          <dgm:chMax val="0"/>
          <dgm:chPref val="0"/>
          <dgm:bulletEnabled val="1"/>
        </dgm:presLayoutVars>
      </dgm:prSet>
      <dgm:spPr/>
    </dgm:pt>
    <dgm:pt modelId="{603C8C77-9E0B-4882-9756-7D7DC8D9F222}" type="pres">
      <dgm:prSet presAssocID="{CE770F04-EEA9-4A4F-9D37-8471E59B4E40}" presName="quad4" presStyleLbl="node1" presStyleIdx="3" presStyleCnt="4">
        <dgm:presLayoutVars>
          <dgm:chMax val="0"/>
          <dgm:chPref val="0"/>
          <dgm:bulletEnabled val="1"/>
        </dgm:presLayoutVars>
      </dgm:prSet>
      <dgm:spPr/>
    </dgm:pt>
  </dgm:ptLst>
  <dgm:cxnLst>
    <dgm:cxn modelId="{99911C00-7DBD-4D6E-8E50-71D50AAD454A}" type="presOf" srcId="{374CB9BE-E157-497D-8FA6-B5D2955D68B4}" destId="{045A18E7-4DE8-459E-93CF-EACED27DA93D}" srcOrd="0" destOrd="0" presId="urn:microsoft.com/office/officeart/2005/8/layout/matrix3"/>
    <dgm:cxn modelId="{BDFDA30A-1F8B-4F86-B235-DE7B7E553349}" type="presOf" srcId="{CE770F04-EEA9-4A4F-9D37-8471E59B4E40}" destId="{F7F3CC9A-58AF-4906-8A5B-0CC9F13A107D}" srcOrd="0" destOrd="0" presId="urn:microsoft.com/office/officeart/2005/8/layout/matrix3"/>
    <dgm:cxn modelId="{AB28EF2A-56A7-46BD-A606-685E375B1F76}" type="presOf" srcId="{547E3D82-0E76-4449-B5F8-33F849E23A8F}" destId="{603C8C77-9E0B-4882-9756-7D7DC8D9F222}" srcOrd="0" destOrd="0" presId="urn:microsoft.com/office/officeart/2005/8/layout/matrix3"/>
    <dgm:cxn modelId="{F9519C62-6146-4D48-90E6-9CC666E650E4}" srcId="{CE770F04-EEA9-4A4F-9D37-8471E59B4E40}" destId="{2B6E7F07-A15A-4D7E-B010-4F6C72E05C4C}" srcOrd="2" destOrd="0" parTransId="{61884B65-7376-4428-8DD2-0352376B8C28}" sibTransId="{20887A0F-4EEA-499D-BD74-98CBE1E58F31}"/>
    <dgm:cxn modelId="{AED70E49-7A19-4AC7-A1D7-64BFEDB3681D}" srcId="{CE770F04-EEA9-4A4F-9D37-8471E59B4E40}" destId="{374CB9BE-E157-497D-8FA6-B5D2955D68B4}" srcOrd="1" destOrd="0" parTransId="{5B772A04-86E6-4A2D-BDEC-E0B83A8F7670}" sibTransId="{58BD78A8-9B27-49B6-A9B2-495EDBEB53D2}"/>
    <dgm:cxn modelId="{EA8C8E6E-4FE9-4875-B867-58919713C994}" srcId="{CE770F04-EEA9-4A4F-9D37-8471E59B4E40}" destId="{547E3D82-0E76-4449-B5F8-33F849E23A8F}" srcOrd="3" destOrd="0" parTransId="{A9437339-B1C5-4069-AB0E-635A3577B81F}" sibTransId="{49654B64-C42B-4996-8BB4-4B80C7781D4D}"/>
    <dgm:cxn modelId="{EF696B57-1168-41EF-A941-B78FFD0ADAA2}" type="presOf" srcId="{2B6E7F07-A15A-4D7E-B010-4F6C72E05C4C}" destId="{2A6F4F2A-D3B7-41DF-8761-C01F44E2ABA1}" srcOrd="0" destOrd="0" presId="urn:microsoft.com/office/officeart/2005/8/layout/matrix3"/>
    <dgm:cxn modelId="{E87FB28B-A911-4741-BB8A-DF617C755B69}" srcId="{CE770F04-EEA9-4A4F-9D37-8471E59B4E40}" destId="{C0CC81C3-53EB-4753-944A-946310CD1BDD}" srcOrd="0" destOrd="0" parTransId="{08CE9948-69DB-432A-8550-1B7DF8C5C118}" sibTransId="{42A5474C-EAC1-4588-A901-18A3B7429C6D}"/>
    <dgm:cxn modelId="{241BA3CA-AE75-40DC-91D2-026B58351192}" type="presOf" srcId="{C0CC81C3-53EB-4753-944A-946310CD1BDD}" destId="{F26BD06A-80CE-456D-B6C0-FE9DEE6A314F}" srcOrd="0" destOrd="0" presId="urn:microsoft.com/office/officeart/2005/8/layout/matrix3"/>
    <dgm:cxn modelId="{5D16DD3D-C546-4511-BC1B-2E234D055DA0}" type="presParOf" srcId="{F7F3CC9A-58AF-4906-8A5B-0CC9F13A107D}" destId="{611EC791-DBA0-4212-9640-E8E6A6D06943}" srcOrd="0" destOrd="0" presId="urn:microsoft.com/office/officeart/2005/8/layout/matrix3"/>
    <dgm:cxn modelId="{38661573-43BC-4AAB-8045-86836BEFF49B}" type="presParOf" srcId="{F7F3CC9A-58AF-4906-8A5B-0CC9F13A107D}" destId="{F26BD06A-80CE-456D-B6C0-FE9DEE6A314F}" srcOrd="1" destOrd="0" presId="urn:microsoft.com/office/officeart/2005/8/layout/matrix3"/>
    <dgm:cxn modelId="{8E509963-14E8-48A0-99C5-68E327BCA25E}" type="presParOf" srcId="{F7F3CC9A-58AF-4906-8A5B-0CC9F13A107D}" destId="{045A18E7-4DE8-459E-93CF-EACED27DA93D}" srcOrd="2" destOrd="0" presId="urn:microsoft.com/office/officeart/2005/8/layout/matrix3"/>
    <dgm:cxn modelId="{B9046D3C-C462-4FE1-9482-7B63EDB3BCD1}" type="presParOf" srcId="{F7F3CC9A-58AF-4906-8A5B-0CC9F13A107D}" destId="{2A6F4F2A-D3B7-41DF-8761-C01F44E2ABA1}" srcOrd="3" destOrd="0" presId="urn:microsoft.com/office/officeart/2005/8/layout/matrix3"/>
    <dgm:cxn modelId="{0E158C1B-A780-415E-838E-7E7D95459447}" type="presParOf" srcId="{F7F3CC9A-58AF-4906-8A5B-0CC9F13A107D}" destId="{603C8C77-9E0B-4882-9756-7D7DC8D9F222}" srcOrd="4" destOrd="0" presId="urn:microsoft.com/office/officeart/2005/8/layout/matrix3"/>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759D99D-0177-4CF5-AD11-3437727039F1}" type="doc">
      <dgm:prSet loTypeId="urn:microsoft.com/office/officeart/2005/8/layout/matrix3" loCatId="matrix" qsTypeId="urn:microsoft.com/office/officeart/2005/8/quickstyle/simple1" qsCatId="simple" csTypeId="urn:microsoft.com/office/officeart/2005/8/colors/accent1_2" csCatId="accent1" phldr="1"/>
      <dgm:spPr/>
      <dgm:t>
        <a:bodyPr/>
        <a:lstStyle/>
        <a:p>
          <a:endParaRPr lang="es-CR"/>
        </a:p>
      </dgm:t>
    </dgm:pt>
    <dgm:pt modelId="{C0543D85-BADE-4179-8F43-F33E8F6BD7CE}">
      <dgm:prSet phldrT="[Texto]"/>
      <dgm:spPr>
        <a:xfrm>
          <a:off x="389477" y="104362"/>
          <a:ext cx="428434" cy="428434"/>
        </a:xfrm>
        <a:prstGeom prst="roundRect">
          <a:avLst/>
        </a:prstGeom>
        <a:solidFill>
          <a:sysClr val="window" lastClr="FFFFFF"/>
        </a:solidFill>
        <a:ln w="25400" cap="flat" cmpd="sng" algn="ctr">
          <a:solidFill>
            <a:srgbClr val="4F81BD">
              <a:lumMod val="40000"/>
              <a:lumOff val="60000"/>
            </a:srgbClr>
          </a:solidFill>
          <a:prstDash val="solid"/>
        </a:ln>
        <a:effectLst/>
      </dgm:spPr>
      <dgm:t>
        <a:bodyPr/>
        <a:lstStyle/>
        <a:p>
          <a:pPr>
            <a:buNone/>
          </a:pPr>
          <a:endParaRPr lang="es-CR">
            <a:solidFill>
              <a:sysClr val="window" lastClr="FFFFFF"/>
            </a:solidFill>
            <a:latin typeface="Calibri"/>
            <a:ea typeface="+mn-ea"/>
            <a:cs typeface="+mn-cs"/>
          </a:endParaRPr>
        </a:p>
      </dgm:t>
    </dgm:pt>
    <dgm:pt modelId="{A6C419FC-7EB3-4755-88A8-75C26B2CAA85}" type="parTrans" cxnId="{C1CEF425-4299-48C3-B21C-247F2C498445}">
      <dgm:prSet/>
      <dgm:spPr/>
      <dgm:t>
        <a:bodyPr/>
        <a:lstStyle/>
        <a:p>
          <a:endParaRPr lang="es-CR"/>
        </a:p>
      </dgm:t>
    </dgm:pt>
    <dgm:pt modelId="{45B6FE61-3EB0-4D8D-BB9C-79370C8F247D}" type="sibTrans" cxnId="{C1CEF425-4299-48C3-B21C-247F2C498445}">
      <dgm:prSet/>
      <dgm:spPr/>
      <dgm:t>
        <a:bodyPr/>
        <a:lstStyle/>
        <a:p>
          <a:endParaRPr lang="es-CR"/>
        </a:p>
      </dgm:t>
    </dgm:pt>
    <dgm:pt modelId="{968C28A0-A36A-40FD-9A70-8D70E4D7A79C}">
      <dgm:prSet phldrT="[Texto]"/>
      <dgm:spPr>
        <a:xfrm>
          <a:off x="850868" y="104362"/>
          <a:ext cx="428434" cy="428434"/>
        </a:xfrm>
        <a:prstGeom prst="roundRect">
          <a:avLst/>
        </a:prstGeom>
        <a:solidFill>
          <a:srgbClr val="FFC000"/>
        </a:solidFill>
        <a:ln w="25400" cap="flat" cmpd="sng" algn="ctr">
          <a:solidFill>
            <a:sysClr val="window" lastClr="FFFFFF">
              <a:hueOff val="0"/>
              <a:satOff val="0"/>
              <a:lumOff val="0"/>
              <a:alphaOff val="0"/>
            </a:sysClr>
          </a:solidFill>
          <a:prstDash val="solid"/>
        </a:ln>
        <a:effectLst/>
      </dgm:spPr>
      <dgm:t>
        <a:bodyPr/>
        <a:lstStyle/>
        <a:p>
          <a:pPr>
            <a:buNone/>
          </a:pPr>
          <a:r>
            <a:rPr lang="es-CR">
              <a:solidFill>
                <a:sysClr val="window" lastClr="FFFFFF"/>
              </a:solidFill>
              <a:latin typeface="Calibri"/>
              <a:ea typeface="+mn-ea"/>
              <a:cs typeface="+mn-cs"/>
            </a:rPr>
            <a:t>Fase 3 Alerta Naranja</a:t>
          </a:r>
        </a:p>
      </dgm:t>
    </dgm:pt>
    <dgm:pt modelId="{B339FB3F-BE79-480C-B99F-8EC0518D83BC}" type="parTrans" cxnId="{1305AF59-3F9A-41F8-BC8A-2928AE6F2D8A}">
      <dgm:prSet/>
      <dgm:spPr/>
      <dgm:t>
        <a:bodyPr/>
        <a:lstStyle/>
        <a:p>
          <a:endParaRPr lang="es-CR"/>
        </a:p>
      </dgm:t>
    </dgm:pt>
    <dgm:pt modelId="{59F5DA10-9B89-478F-A25B-F7A8027066B8}" type="sibTrans" cxnId="{1305AF59-3F9A-41F8-BC8A-2928AE6F2D8A}">
      <dgm:prSet/>
      <dgm:spPr/>
      <dgm:t>
        <a:bodyPr/>
        <a:lstStyle/>
        <a:p>
          <a:endParaRPr lang="es-CR"/>
        </a:p>
      </dgm:t>
    </dgm:pt>
    <dgm:pt modelId="{B5D4C925-8572-496E-9659-3EEA58DAD774}">
      <dgm:prSet phldrT="[Texto]"/>
      <dgm:spPr>
        <a:xfrm>
          <a:off x="389477" y="565753"/>
          <a:ext cx="428434" cy="428434"/>
        </a:xfrm>
        <a:prstGeom prst="roundRect">
          <a:avLst/>
        </a:prstGeom>
        <a:solidFill>
          <a:sysClr val="window" lastClr="FFFFFF"/>
        </a:solidFill>
        <a:ln w="25400" cap="flat" cmpd="sng" algn="ctr">
          <a:solidFill>
            <a:srgbClr val="4BACC6">
              <a:lumMod val="40000"/>
              <a:lumOff val="60000"/>
            </a:srgbClr>
          </a:solidFill>
          <a:prstDash val="solid"/>
        </a:ln>
        <a:effectLst/>
      </dgm:spPr>
      <dgm:t>
        <a:bodyPr/>
        <a:lstStyle/>
        <a:p>
          <a:pPr>
            <a:buNone/>
          </a:pPr>
          <a:endParaRPr lang="es-CR">
            <a:solidFill>
              <a:sysClr val="window" lastClr="FFFFFF"/>
            </a:solidFill>
            <a:latin typeface="Calibri"/>
            <a:ea typeface="+mn-ea"/>
            <a:cs typeface="+mn-cs"/>
          </a:endParaRPr>
        </a:p>
      </dgm:t>
    </dgm:pt>
    <dgm:pt modelId="{1D9100B4-D0ED-4F76-839B-DB089AB89944}" type="parTrans" cxnId="{7641D79A-C94B-4961-A766-D5A529020881}">
      <dgm:prSet/>
      <dgm:spPr/>
      <dgm:t>
        <a:bodyPr/>
        <a:lstStyle/>
        <a:p>
          <a:endParaRPr lang="es-CR"/>
        </a:p>
      </dgm:t>
    </dgm:pt>
    <dgm:pt modelId="{29E27642-E8B3-4E0A-841F-2E454820E765}" type="sibTrans" cxnId="{7641D79A-C94B-4961-A766-D5A529020881}">
      <dgm:prSet/>
      <dgm:spPr/>
      <dgm:t>
        <a:bodyPr/>
        <a:lstStyle/>
        <a:p>
          <a:endParaRPr lang="es-CR"/>
        </a:p>
      </dgm:t>
    </dgm:pt>
    <dgm:pt modelId="{C6FD720D-5EB7-4DA8-B695-714B1087D581}">
      <dgm:prSet phldrT="[Texto]"/>
      <dgm:spPr>
        <a:xfrm>
          <a:off x="850868" y="565753"/>
          <a:ext cx="428434" cy="428434"/>
        </a:xfrm>
        <a:prstGeom prst="roundRect">
          <a:avLst/>
        </a:prstGeom>
        <a:solidFill>
          <a:sysClr val="window" lastClr="FFFFFF"/>
        </a:solidFill>
        <a:ln w="25400" cap="flat" cmpd="sng" algn="ctr">
          <a:solidFill>
            <a:srgbClr val="4F81BD">
              <a:lumMod val="40000"/>
              <a:lumOff val="60000"/>
            </a:srgbClr>
          </a:solidFill>
          <a:prstDash val="solid"/>
        </a:ln>
        <a:effectLst/>
      </dgm:spPr>
      <dgm:t>
        <a:bodyPr/>
        <a:lstStyle/>
        <a:p>
          <a:pPr>
            <a:buNone/>
          </a:pPr>
          <a:endParaRPr lang="es-CR">
            <a:solidFill>
              <a:sysClr val="window" lastClr="FFFFFF"/>
            </a:solidFill>
            <a:latin typeface="Calibri"/>
            <a:ea typeface="+mn-ea"/>
            <a:cs typeface="+mn-cs"/>
          </a:endParaRPr>
        </a:p>
      </dgm:t>
    </dgm:pt>
    <dgm:pt modelId="{4DDB6F56-6B54-47A7-BE9D-8DA5B7BD67EB}" type="parTrans" cxnId="{08E97D78-4540-4FF8-94B3-D3DE2ACC83A1}">
      <dgm:prSet/>
      <dgm:spPr/>
      <dgm:t>
        <a:bodyPr/>
        <a:lstStyle/>
        <a:p>
          <a:endParaRPr lang="es-CR"/>
        </a:p>
      </dgm:t>
    </dgm:pt>
    <dgm:pt modelId="{14FC6CDB-D275-485E-B227-9611A8D72E72}" type="sibTrans" cxnId="{08E97D78-4540-4FF8-94B3-D3DE2ACC83A1}">
      <dgm:prSet/>
      <dgm:spPr/>
      <dgm:t>
        <a:bodyPr/>
        <a:lstStyle/>
        <a:p>
          <a:endParaRPr lang="es-CR"/>
        </a:p>
      </dgm:t>
    </dgm:pt>
    <dgm:pt modelId="{767C6880-2073-478F-8183-BFF59F28724C}" type="pres">
      <dgm:prSet presAssocID="{E759D99D-0177-4CF5-AD11-3437727039F1}" presName="matrix" presStyleCnt="0">
        <dgm:presLayoutVars>
          <dgm:chMax val="1"/>
          <dgm:dir/>
          <dgm:resizeHandles val="exact"/>
        </dgm:presLayoutVars>
      </dgm:prSet>
      <dgm:spPr/>
    </dgm:pt>
    <dgm:pt modelId="{58DD3DAF-E3DC-4C37-B191-008AE1CFED6B}" type="pres">
      <dgm:prSet presAssocID="{E759D99D-0177-4CF5-AD11-3437727039F1}" presName="diamond" presStyleLbl="bgShp" presStyleIdx="0" presStyleCnt="1"/>
      <dgm:spPr>
        <a:xfrm>
          <a:off x="285114" y="0"/>
          <a:ext cx="1098550" cy="1098550"/>
        </a:xfrm>
        <a:prstGeom prst="diamond">
          <a:avLst/>
        </a:prstGeom>
        <a:solidFill>
          <a:srgbClr val="4F81BD">
            <a:tint val="40000"/>
            <a:hueOff val="0"/>
            <a:satOff val="0"/>
            <a:lumOff val="0"/>
            <a:alphaOff val="0"/>
          </a:srgbClr>
        </a:solidFill>
        <a:ln>
          <a:noFill/>
        </a:ln>
        <a:effectLst/>
      </dgm:spPr>
    </dgm:pt>
    <dgm:pt modelId="{0E82E74D-536B-4979-958E-E00278AB59FA}" type="pres">
      <dgm:prSet presAssocID="{E759D99D-0177-4CF5-AD11-3437727039F1}" presName="quad1" presStyleLbl="node1" presStyleIdx="0" presStyleCnt="4">
        <dgm:presLayoutVars>
          <dgm:chMax val="0"/>
          <dgm:chPref val="0"/>
          <dgm:bulletEnabled val="1"/>
        </dgm:presLayoutVars>
      </dgm:prSet>
      <dgm:spPr/>
    </dgm:pt>
    <dgm:pt modelId="{8A023B21-E5D1-42C6-9E71-78F200824456}" type="pres">
      <dgm:prSet presAssocID="{E759D99D-0177-4CF5-AD11-3437727039F1}" presName="quad2" presStyleLbl="node1" presStyleIdx="1" presStyleCnt="4">
        <dgm:presLayoutVars>
          <dgm:chMax val="0"/>
          <dgm:chPref val="0"/>
          <dgm:bulletEnabled val="1"/>
        </dgm:presLayoutVars>
      </dgm:prSet>
      <dgm:spPr/>
    </dgm:pt>
    <dgm:pt modelId="{15E1E579-6156-4E0C-ADF0-736C44811838}" type="pres">
      <dgm:prSet presAssocID="{E759D99D-0177-4CF5-AD11-3437727039F1}" presName="quad3" presStyleLbl="node1" presStyleIdx="2" presStyleCnt="4">
        <dgm:presLayoutVars>
          <dgm:chMax val="0"/>
          <dgm:chPref val="0"/>
          <dgm:bulletEnabled val="1"/>
        </dgm:presLayoutVars>
      </dgm:prSet>
      <dgm:spPr/>
    </dgm:pt>
    <dgm:pt modelId="{FC73A99D-F085-44E9-BCB1-20B818B5E5D8}" type="pres">
      <dgm:prSet presAssocID="{E759D99D-0177-4CF5-AD11-3437727039F1}" presName="quad4" presStyleLbl="node1" presStyleIdx="3" presStyleCnt="4">
        <dgm:presLayoutVars>
          <dgm:chMax val="0"/>
          <dgm:chPref val="0"/>
          <dgm:bulletEnabled val="1"/>
        </dgm:presLayoutVars>
      </dgm:prSet>
      <dgm:spPr/>
    </dgm:pt>
  </dgm:ptLst>
  <dgm:cxnLst>
    <dgm:cxn modelId="{C1736C09-5E02-43BA-A7A7-4EE8D29B1B3C}" type="presOf" srcId="{E759D99D-0177-4CF5-AD11-3437727039F1}" destId="{767C6880-2073-478F-8183-BFF59F28724C}" srcOrd="0" destOrd="0" presId="urn:microsoft.com/office/officeart/2005/8/layout/matrix3"/>
    <dgm:cxn modelId="{C23F6B0C-6EEF-4D39-B3A9-369AD1B47917}" type="presOf" srcId="{C0543D85-BADE-4179-8F43-F33E8F6BD7CE}" destId="{0E82E74D-536B-4979-958E-E00278AB59FA}" srcOrd="0" destOrd="0" presId="urn:microsoft.com/office/officeart/2005/8/layout/matrix3"/>
    <dgm:cxn modelId="{F00FF717-14FE-4E9B-AB7C-8BE105619D4C}" type="presOf" srcId="{B5D4C925-8572-496E-9659-3EEA58DAD774}" destId="{15E1E579-6156-4E0C-ADF0-736C44811838}" srcOrd="0" destOrd="0" presId="urn:microsoft.com/office/officeart/2005/8/layout/matrix3"/>
    <dgm:cxn modelId="{C1CEF425-4299-48C3-B21C-247F2C498445}" srcId="{E759D99D-0177-4CF5-AD11-3437727039F1}" destId="{C0543D85-BADE-4179-8F43-F33E8F6BD7CE}" srcOrd="0" destOrd="0" parTransId="{A6C419FC-7EB3-4755-88A8-75C26B2CAA85}" sibTransId="{45B6FE61-3EB0-4D8D-BB9C-79370C8F247D}"/>
    <dgm:cxn modelId="{08E97D78-4540-4FF8-94B3-D3DE2ACC83A1}" srcId="{E759D99D-0177-4CF5-AD11-3437727039F1}" destId="{C6FD720D-5EB7-4DA8-B695-714B1087D581}" srcOrd="3" destOrd="0" parTransId="{4DDB6F56-6B54-47A7-BE9D-8DA5B7BD67EB}" sibTransId="{14FC6CDB-D275-485E-B227-9611A8D72E72}"/>
    <dgm:cxn modelId="{1305AF59-3F9A-41F8-BC8A-2928AE6F2D8A}" srcId="{E759D99D-0177-4CF5-AD11-3437727039F1}" destId="{968C28A0-A36A-40FD-9A70-8D70E4D7A79C}" srcOrd="1" destOrd="0" parTransId="{B339FB3F-BE79-480C-B99F-8EC0518D83BC}" sibTransId="{59F5DA10-9B89-478F-A25B-F7A8027066B8}"/>
    <dgm:cxn modelId="{9B55F290-6EB5-4A5D-A667-0650688F37DC}" type="presOf" srcId="{968C28A0-A36A-40FD-9A70-8D70E4D7A79C}" destId="{8A023B21-E5D1-42C6-9E71-78F200824456}" srcOrd="0" destOrd="0" presId="urn:microsoft.com/office/officeart/2005/8/layout/matrix3"/>
    <dgm:cxn modelId="{7641D79A-C94B-4961-A766-D5A529020881}" srcId="{E759D99D-0177-4CF5-AD11-3437727039F1}" destId="{B5D4C925-8572-496E-9659-3EEA58DAD774}" srcOrd="2" destOrd="0" parTransId="{1D9100B4-D0ED-4F76-839B-DB089AB89944}" sibTransId="{29E27642-E8B3-4E0A-841F-2E454820E765}"/>
    <dgm:cxn modelId="{74A709DE-81A1-4CAA-8D1C-CE63B6DE6830}" type="presOf" srcId="{C6FD720D-5EB7-4DA8-B695-714B1087D581}" destId="{FC73A99D-F085-44E9-BCB1-20B818B5E5D8}" srcOrd="0" destOrd="0" presId="urn:microsoft.com/office/officeart/2005/8/layout/matrix3"/>
    <dgm:cxn modelId="{C78D1AA8-6C7E-4490-99BF-86A8936231D8}" type="presParOf" srcId="{767C6880-2073-478F-8183-BFF59F28724C}" destId="{58DD3DAF-E3DC-4C37-B191-008AE1CFED6B}" srcOrd="0" destOrd="0" presId="urn:microsoft.com/office/officeart/2005/8/layout/matrix3"/>
    <dgm:cxn modelId="{3F2AC1C5-9D44-4CF6-B9C1-F8F43AF724C1}" type="presParOf" srcId="{767C6880-2073-478F-8183-BFF59F28724C}" destId="{0E82E74D-536B-4979-958E-E00278AB59FA}" srcOrd="1" destOrd="0" presId="urn:microsoft.com/office/officeart/2005/8/layout/matrix3"/>
    <dgm:cxn modelId="{E62FA75E-B2B3-4C18-AA54-30320B2978A0}" type="presParOf" srcId="{767C6880-2073-478F-8183-BFF59F28724C}" destId="{8A023B21-E5D1-42C6-9E71-78F200824456}" srcOrd="2" destOrd="0" presId="urn:microsoft.com/office/officeart/2005/8/layout/matrix3"/>
    <dgm:cxn modelId="{A68DD23C-E129-45C8-AC12-EF7D1C9EF70F}" type="presParOf" srcId="{767C6880-2073-478F-8183-BFF59F28724C}" destId="{15E1E579-6156-4E0C-ADF0-736C44811838}" srcOrd="3" destOrd="0" presId="urn:microsoft.com/office/officeart/2005/8/layout/matrix3"/>
    <dgm:cxn modelId="{0A5D8D22-10A5-40A9-AD85-FD563CA3BAFF}" type="presParOf" srcId="{767C6880-2073-478F-8183-BFF59F28724C}" destId="{FC73A99D-F085-44E9-BCB1-20B818B5E5D8}" srcOrd="4" destOrd="0" presId="urn:microsoft.com/office/officeart/2005/8/layout/matrix3"/>
  </dgm:cxnLst>
  <dgm:bg>
    <a:noFill/>
  </dgm:bg>
  <dgm:whole/>
  <dgm:extLst>
    <a:ext uri="http://schemas.microsoft.com/office/drawing/2008/diagram">
      <dsp:dataModelExt xmlns:dsp="http://schemas.microsoft.com/office/drawing/2008/diagram" relId="rId4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64BAA265-2323-4D3C-BDCB-895A62C5DDA9}" type="doc">
      <dgm:prSet loTypeId="urn:microsoft.com/office/officeart/2005/8/layout/matrix3" loCatId="matrix" qsTypeId="urn:microsoft.com/office/officeart/2005/8/quickstyle/simple1" qsCatId="simple" csTypeId="urn:microsoft.com/office/officeart/2005/8/colors/accent1_2" csCatId="accent1" phldr="1"/>
      <dgm:spPr/>
      <dgm:t>
        <a:bodyPr/>
        <a:lstStyle/>
        <a:p>
          <a:endParaRPr lang="es-CR"/>
        </a:p>
      </dgm:t>
    </dgm:pt>
    <dgm:pt modelId="{D66AA132-A05C-40CA-8C57-4B930A2C78A2}">
      <dgm:prSet phldrT="[Texto]"/>
      <dgm:spPr>
        <a:xfrm>
          <a:off x="221379" y="465437"/>
          <a:ext cx="349929" cy="349929"/>
        </a:xfrm>
        <a:prstGeom prst="roundRect">
          <a:avLst/>
        </a:prstGeom>
        <a:solidFill>
          <a:sysClr val="window" lastClr="FFFFFF"/>
        </a:solidFill>
        <a:ln w="25400" cap="flat" cmpd="sng" algn="ctr">
          <a:solidFill>
            <a:srgbClr val="4F81BD">
              <a:lumMod val="40000"/>
              <a:lumOff val="60000"/>
            </a:srgbClr>
          </a:solidFill>
          <a:prstDash val="solid"/>
        </a:ln>
        <a:effectLst/>
      </dgm:spPr>
      <dgm:t>
        <a:bodyPr/>
        <a:lstStyle/>
        <a:p>
          <a:pPr>
            <a:buNone/>
          </a:pPr>
          <a:endParaRPr lang="es-CR">
            <a:solidFill>
              <a:sysClr val="window" lastClr="FFFFFF"/>
            </a:solidFill>
            <a:latin typeface="Calibri"/>
            <a:ea typeface="+mn-ea"/>
            <a:cs typeface="+mn-cs"/>
          </a:endParaRPr>
        </a:p>
      </dgm:t>
    </dgm:pt>
    <dgm:pt modelId="{600353AA-243E-4945-99BA-0EDB95CDA068}" type="parTrans" cxnId="{7D46E907-B1C0-4E35-8F0F-BFEF3171A5AF}">
      <dgm:prSet/>
      <dgm:spPr/>
      <dgm:t>
        <a:bodyPr/>
        <a:lstStyle/>
        <a:p>
          <a:endParaRPr lang="es-CR"/>
        </a:p>
      </dgm:t>
    </dgm:pt>
    <dgm:pt modelId="{5A983C52-00AF-4C26-A7D1-82A42F353729}" type="sibTrans" cxnId="{7D46E907-B1C0-4E35-8F0F-BFEF3171A5AF}">
      <dgm:prSet/>
      <dgm:spPr/>
      <dgm:t>
        <a:bodyPr/>
        <a:lstStyle/>
        <a:p>
          <a:endParaRPr lang="es-CR"/>
        </a:p>
      </dgm:t>
    </dgm:pt>
    <dgm:pt modelId="{12597DD6-C676-4C32-972F-B8FC8BFF443A}">
      <dgm:prSet phldrT="[Texto]"/>
      <dgm:spPr>
        <a:xfrm>
          <a:off x="587816" y="85239"/>
          <a:ext cx="349929" cy="349929"/>
        </a:xfrm>
        <a:prstGeom prst="roundRect">
          <a:avLst/>
        </a:prstGeom>
        <a:solidFill>
          <a:sysClr val="window" lastClr="FFFFFF"/>
        </a:solidFill>
        <a:ln w="25400" cap="flat" cmpd="sng" algn="ctr">
          <a:solidFill>
            <a:srgbClr val="4F81BD">
              <a:lumMod val="40000"/>
              <a:lumOff val="60000"/>
            </a:srgbClr>
          </a:solidFill>
          <a:prstDash val="solid"/>
        </a:ln>
        <a:effectLst/>
      </dgm:spPr>
      <dgm:t>
        <a:bodyPr/>
        <a:lstStyle/>
        <a:p>
          <a:pPr>
            <a:buNone/>
          </a:pPr>
          <a:endParaRPr lang="es-CR">
            <a:solidFill>
              <a:sysClr val="window" lastClr="FFFFFF"/>
            </a:solidFill>
            <a:latin typeface="Calibri"/>
            <a:ea typeface="+mn-ea"/>
            <a:cs typeface="+mn-cs"/>
          </a:endParaRPr>
        </a:p>
      </dgm:t>
    </dgm:pt>
    <dgm:pt modelId="{EC7A8BC4-EA51-4070-A7CF-65E6D2315D6C}" type="parTrans" cxnId="{65165552-ED47-4DEF-84C3-A5BE1BF76791}">
      <dgm:prSet/>
      <dgm:spPr/>
      <dgm:t>
        <a:bodyPr/>
        <a:lstStyle/>
        <a:p>
          <a:endParaRPr lang="es-CR"/>
        </a:p>
      </dgm:t>
    </dgm:pt>
    <dgm:pt modelId="{A03C6A4B-1221-4619-9C9B-42F6BF88F00E}" type="sibTrans" cxnId="{65165552-ED47-4DEF-84C3-A5BE1BF76791}">
      <dgm:prSet/>
      <dgm:spPr/>
      <dgm:t>
        <a:bodyPr/>
        <a:lstStyle/>
        <a:p>
          <a:endParaRPr lang="es-CR"/>
        </a:p>
      </dgm:t>
    </dgm:pt>
    <dgm:pt modelId="{1FA4A65E-2F38-4188-9CE1-676AA947B168}">
      <dgm:prSet phldrT="[Texto]"/>
      <dgm:spPr>
        <a:xfrm>
          <a:off x="213600" y="101065"/>
          <a:ext cx="344666" cy="340449"/>
        </a:xfrm>
        <a:prstGeom prst="roundRect">
          <a:avLst/>
        </a:prstGeom>
        <a:solidFill>
          <a:srgbClr val="FF0000"/>
        </a:solidFill>
        <a:ln w="25400" cap="flat" cmpd="sng" algn="ctr">
          <a:solidFill>
            <a:sysClr val="window" lastClr="FFFFFF">
              <a:hueOff val="0"/>
              <a:satOff val="0"/>
              <a:lumOff val="0"/>
              <a:alphaOff val="0"/>
            </a:sysClr>
          </a:solidFill>
          <a:prstDash val="solid"/>
        </a:ln>
        <a:effectLst/>
      </dgm:spPr>
      <dgm:t>
        <a:bodyPr/>
        <a:lstStyle/>
        <a:p>
          <a:pPr>
            <a:buNone/>
          </a:pPr>
          <a:r>
            <a:rPr lang="es-CR">
              <a:solidFill>
                <a:sysClr val="window" lastClr="FFFFFF"/>
              </a:solidFill>
              <a:latin typeface="Calibri"/>
              <a:ea typeface="+mn-ea"/>
              <a:cs typeface="+mn-cs"/>
            </a:rPr>
            <a:t>Face 4</a:t>
          </a:r>
        </a:p>
        <a:p>
          <a:pPr>
            <a:buNone/>
          </a:pPr>
          <a:r>
            <a:rPr lang="es-CR">
              <a:solidFill>
                <a:sysClr val="window" lastClr="FFFFFF"/>
              </a:solidFill>
              <a:latin typeface="Calibri"/>
              <a:ea typeface="+mn-ea"/>
              <a:cs typeface="+mn-cs"/>
            </a:rPr>
            <a:t>Alerta Roja</a:t>
          </a:r>
        </a:p>
      </dgm:t>
    </dgm:pt>
    <dgm:pt modelId="{803EE07C-0F8C-47E6-B6C4-D240EBA94CF7}" type="parTrans" cxnId="{BCD0E32B-98C4-4B44-9576-F075D7BF8A10}">
      <dgm:prSet/>
      <dgm:spPr/>
      <dgm:t>
        <a:bodyPr/>
        <a:lstStyle/>
        <a:p>
          <a:endParaRPr lang="es-CR"/>
        </a:p>
      </dgm:t>
    </dgm:pt>
    <dgm:pt modelId="{60094AD2-C5EF-4F6D-9B05-4D8A292890EB}" type="sibTrans" cxnId="{BCD0E32B-98C4-4B44-9576-F075D7BF8A10}">
      <dgm:prSet/>
      <dgm:spPr/>
      <dgm:t>
        <a:bodyPr/>
        <a:lstStyle/>
        <a:p>
          <a:endParaRPr lang="es-CR"/>
        </a:p>
      </dgm:t>
    </dgm:pt>
    <dgm:pt modelId="{9F4E1C05-11BB-441C-A12E-9A43C5FEBB5D}">
      <dgm:prSet phldrT="[Texto]"/>
      <dgm:spPr>
        <a:xfrm>
          <a:off x="587816" y="462086"/>
          <a:ext cx="349929" cy="349929"/>
        </a:xfrm>
        <a:prstGeom prst="roundRect">
          <a:avLst/>
        </a:prstGeom>
        <a:solidFill>
          <a:sysClr val="window" lastClr="FFFFFF"/>
        </a:solidFill>
        <a:ln w="25400" cap="flat" cmpd="sng" algn="ctr">
          <a:solidFill>
            <a:srgbClr val="4F81BD">
              <a:lumMod val="40000"/>
              <a:lumOff val="60000"/>
            </a:srgbClr>
          </a:solidFill>
          <a:prstDash val="solid"/>
        </a:ln>
        <a:effectLst/>
      </dgm:spPr>
      <dgm:t>
        <a:bodyPr/>
        <a:lstStyle/>
        <a:p>
          <a:pPr>
            <a:buNone/>
          </a:pPr>
          <a:endParaRPr lang="es-CR">
            <a:solidFill>
              <a:sysClr val="window" lastClr="FFFFFF"/>
            </a:solidFill>
            <a:latin typeface="Calibri"/>
            <a:ea typeface="+mn-ea"/>
            <a:cs typeface="+mn-cs"/>
          </a:endParaRPr>
        </a:p>
      </dgm:t>
    </dgm:pt>
    <dgm:pt modelId="{6017A963-34E1-49F0-B043-15CFB5467BC5}" type="parTrans" cxnId="{B00380D5-1B6B-43F5-B5A6-8960275388E5}">
      <dgm:prSet/>
      <dgm:spPr/>
      <dgm:t>
        <a:bodyPr/>
        <a:lstStyle/>
        <a:p>
          <a:endParaRPr lang="es-CR"/>
        </a:p>
      </dgm:t>
    </dgm:pt>
    <dgm:pt modelId="{58388ECD-BFCB-46DD-B4A9-9DD371D98390}" type="sibTrans" cxnId="{B00380D5-1B6B-43F5-B5A6-8960275388E5}">
      <dgm:prSet/>
      <dgm:spPr/>
      <dgm:t>
        <a:bodyPr/>
        <a:lstStyle/>
        <a:p>
          <a:endParaRPr lang="es-CR"/>
        </a:p>
      </dgm:t>
    </dgm:pt>
    <dgm:pt modelId="{47E22B2C-F430-4532-AC1C-E021149596DE}" type="pres">
      <dgm:prSet presAssocID="{64BAA265-2323-4D3C-BDCB-895A62C5DDA9}" presName="matrix" presStyleCnt="0">
        <dgm:presLayoutVars>
          <dgm:chMax val="1"/>
          <dgm:dir/>
          <dgm:resizeHandles val="exact"/>
        </dgm:presLayoutVars>
      </dgm:prSet>
      <dgm:spPr/>
    </dgm:pt>
    <dgm:pt modelId="{0BF69942-C08F-466C-8377-D500B08A731B}" type="pres">
      <dgm:prSet presAssocID="{64BAA265-2323-4D3C-BDCB-895A62C5DDA9}" presName="diamond" presStyleLbl="bgShp" presStyleIdx="0" presStyleCnt="1"/>
      <dgm:spPr>
        <a:xfrm>
          <a:off x="125730" y="0"/>
          <a:ext cx="897255" cy="897255"/>
        </a:xfrm>
        <a:prstGeom prst="diamond">
          <a:avLst/>
        </a:prstGeom>
        <a:solidFill>
          <a:srgbClr val="4F81BD">
            <a:tint val="40000"/>
            <a:hueOff val="0"/>
            <a:satOff val="0"/>
            <a:lumOff val="0"/>
            <a:alphaOff val="0"/>
          </a:srgbClr>
        </a:solidFill>
        <a:ln>
          <a:noFill/>
        </a:ln>
        <a:effectLst/>
      </dgm:spPr>
    </dgm:pt>
    <dgm:pt modelId="{D90A37BE-E42E-43A9-BBB0-642B90F3EDFD}" type="pres">
      <dgm:prSet presAssocID="{64BAA265-2323-4D3C-BDCB-895A62C5DDA9}" presName="quad1" presStyleLbl="node1" presStyleIdx="0" presStyleCnt="4" custLinFactY="8650" custLinFactNeighborX="2975" custLinFactNeighborY="100000">
        <dgm:presLayoutVars>
          <dgm:chMax val="0"/>
          <dgm:chPref val="0"/>
          <dgm:bulletEnabled val="1"/>
        </dgm:presLayoutVars>
      </dgm:prSet>
      <dgm:spPr/>
    </dgm:pt>
    <dgm:pt modelId="{0140D089-7837-4BE9-B3B9-556CCF420A0C}" type="pres">
      <dgm:prSet presAssocID="{64BAA265-2323-4D3C-BDCB-895A62C5DDA9}" presName="quad2" presStyleLbl="node1" presStyleIdx="1" presStyleCnt="4">
        <dgm:presLayoutVars>
          <dgm:chMax val="0"/>
          <dgm:chPref val="0"/>
          <dgm:bulletEnabled val="1"/>
        </dgm:presLayoutVars>
      </dgm:prSet>
      <dgm:spPr/>
    </dgm:pt>
    <dgm:pt modelId="{EC247000-4B9D-4BCA-BB28-46AFC825B2F9}" type="pres">
      <dgm:prSet presAssocID="{64BAA265-2323-4D3C-BDCB-895A62C5DDA9}" presName="quad3" presStyleLbl="node1" presStyleIdx="2" presStyleCnt="4" custScaleX="98496" custScaleY="97291" custLinFactY="-4524" custLinFactNeighborY="-100000">
        <dgm:presLayoutVars>
          <dgm:chMax val="0"/>
          <dgm:chPref val="0"/>
          <dgm:bulletEnabled val="1"/>
        </dgm:presLayoutVars>
      </dgm:prSet>
      <dgm:spPr/>
    </dgm:pt>
    <dgm:pt modelId="{A15C9538-301B-41D0-B9D4-7B563297A846}" type="pres">
      <dgm:prSet presAssocID="{64BAA265-2323-4D3C-BDCB-895A62C5DDA9}" presName="quad4" presStyleLbl="node1" presStyleIdx="3" presStyleCnt="4">
        <dgm:presLayoutVars>
          <dgm:chMax val="0"/>
          <dgm:chPref val="0"/>
          <dgm:bulletEnabled val="1"/>
        </dgm:presLayoutVars>
      </dgm:prSet>
      <dgm:spPr/>
    </dgm:pt>
  </dgm:ptLst>
  <dgm:cxnLst>
    <dgm:cxn modelId="{7D46E907-B1C0-4E35-8F0F-BFEF3171A5AF}" srcId="{64BAA265-2323-4D3C-BDCB-895A62C5DDA9}" destId="{D66AA132-A05C-40CA-8C57-4B930A2C78A2}" srcOrd="0" destOrd="0" parTransId="{600353AA-243E-4945-99BA-0EDB95CDA068}" sibTransId="{5A983C52-00AF-4C26-A7D1-82A42F353729}"/>
    <dgm:cxn modelId="{BCD0E32B-98C4-4B44-9576-F075D7BF8A10}" srcId="{64BAA265-2323-4D3C-BDCB-895A62C5DDA9}" destId="{1FA4A65E-2F38-4188-9CE1-676AA947B168}" srcOrd="2" destOrd="0" parTransId="{803EE07C-0F8C-47E6-B6C4-D240EBA94CF7}" sibTransId="{60094AD2-C5EF-4F6D-9B05-4D8A292890EB}"/>
    <dgm:cxn modelId="{65165552-ED47-4DEF-84C3-A5BE1BF76791}" srcId="{64BAA265-2323-4D3C-BDCB-895A62C5DDA9}" destId="{12597DD6-C676-4C32-972F-B8FC8BFF443A}" srcOrd="1" destOrd="0" parTransId="{EC7A8BC4-EA51-4070-A7CF-65E6D2315D6C}" sibTransId="{A03C6A4B-1221-4619-9C9B-42F6BF88F00E}"/>
    <dgm:cxn modelId="{7280E09A-8F2B-40C9-8FE4-A0958046132A}" type="presOf" srcId="{9F4E1C05-11BB-441C-A12E-9A43C5FEBB5D}" destId="{A15C9538-301B-41D0-B9D4-7B563297A846}" srcOrd="0" destOrd="0" presId="urn:microsoft.com/office/officeart/2005/8/layout/matrix3"/>
    <dgm:cxn modelId="{2293C7CB-B557-49FB-82AF-6B0EBCE98964}" type="presOf" srcId="{1FA4A65E-2F38-4188-9CE1-676AA947B168}" destId="{EC247000-4B9D-4BCA-BB28-46AFC825B2F9}" srcOrd="0" destOrd="0" presId="urn:microsoft.com/office/officeart/2005/8/layout/matrix3"/>
    <dgm:cxn modelId="{A27CC0D0-3FBC-4AC5-8C8A-EB16EEA49EDE}" type="presOf" srcId="{12597DD6-C676-4C32-972F-B8FC8BFF443A}" destId="{0140D089-7837-4BE9-B3B9-556CCF420A0C}" srcOrd="0" destOrd="0" presId="urn:microsoft.com/office/officeart/2005/8/layout/matrix3"/>
    <dgm:cxn modelId="{B00380D5-1B6B-43F5-B5A6-8960275388E5}" srcId="{64BAA265-2323-4D3C-BDCB-895A62C5DDA9}" destId="{9F4E1C05-11BB-441C-A12E-9A43C5FEBB5D}" srcOrd="3" destOrd="0" parTransId="{6017A963-34E1-49F0-B043-15CFB5467BC5}" sibTransId="{58388ECD-BFCB-46DD-B4A9-9DD371D98390}"/>
    <dgm:cxn modelId="{6F7887E9-888E-444E-81DB-4ED41FCCE9C9}" type="presOf" srcId="{64BAA265-2323-4D3C-BDCB-895A62C5DDA9}" destId="{47E22B2C-F430-4532-AC1C-E021149596DE}" srcOrd="0" destOrd="0" presId="urn:microsoft.com/office/officeart/2005/8/layout/matrix3"/>
    <dgm:cxn modelId="{A46268ED-533D-4930-8D4F-CD22074E82BD}" type="presOf" srcId="{D66AA132-A05C-40CA-8C57-4B930A2C78A2}" destId="{D90A37BE-E42E-43A9-BBB0-642B90F3EDFD}" srcOrd="0" destOrd="0" presId="urn:microsoft.com/office/officeart/2005/8/layout/matrix3"/>
    <dgm:cxn modelId="{B0A88621-A797-4EE2-A970-F671C14429DA}" type="presParOf" srcId="{47E22B2C-F430-4532-AC1C-E021149596DE}" destId="{0BF69942-C08F-466C-8377-D500B08A731B}" srcOrd="0" destOrd="0" presId="urn:microsoft.com/office/officeart/2005/8/layout/matrix3"/>
    <dgm:cxn modelId="{4307D5B4-BFEC-48A7-B771-88DCB08AEC3A}" type="presParOf" srcId="{47E22B2C-F430-4532-AC1C-E021149596DE}" destId="{D90A37BE-E42E-43A9-BBB0-642B90F3EDFD}" srcOrd="1" destOrd="0" presId="urn:microsoft.com/office/officeart/2005/8/layout/matrix3"/>
    <dgm:cxn modelId="{9CF392DA-A4DC-4BE8-A322-23E3AA7C4C73}" type="presParOf" srcId="{47E22B2C-F430-4532-AC1C-E021149596DE}" destId="{0140D089-7837-4BE9-B3B9-556CCF420A0C}" srcOrd="2" destOrd="0" presId="urn:microsoft.com/office/officeart/2005/8/layout/matrix3"/>
    <dgm:cxn modelId="{E607F7AB-031B-41F3-8B1A-3FD58529FE84}" type="presParOf" srcId="{47E22B2C-F430-4532-AC1C-E021149596DE}" destId="{EC247000-4B9D-4BCA-BB28-46AFC825B2F9}" srcOrd="3" destOrd="0" presId="urn:microsoft.com/office/officeart/2005/8/layout/matrix3"/>
    <dgm:cxn modelId="{2D8DC632-4BD0-4536-8393-A6249BC0F695}" type="presParOf" srcId="{47E22B2C-F430-4532-AC1C-E021149596DE}" destId="{A15C9538-301B-41D0-B9D4-7B563297A846}" srcOrd="4" destOrd="0" presId="urn:microsoft.com/office/officeart/2005/8/layout/matrix3"/>
  </dgm:cxnLst>
  <dgm:bg/>
  <dgm:whole/>
  <dgm:extLst>
    <a:ext uri="http://schemas.microsoft.com/office/drawing/2008/diagram">
      <dsp:dataModelExt xmlns:dsp="http://schemas.microsoft.com/office/drawing/2008/diagram" relId="rId7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7D2921-4383-4A60-A07A-2F0E84B77D11}">
      <dsp:nvSpPr>
        <dsp:cNvPr id="0" name=""/>
        <dsp:cNvSpPr/>
      </dsp:nvSpPr>
      <dsp:spPr>
        <a:xfrm>
          <a:off x="1071550" y="0"/>
          <a:ext cx="1190625" cy="1190625"/>
        </a:xfrm>
        <a:prstGeom prst="diamond">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E560C209-537B-4D77-96D7-38A7F3883B23}">
      <dsp:nvSpPr>
        <dsp:cNvPr id="0" name=""/>
        <dsp:cNvSpPr/>
      </dsp:nvSpPr>
      <dsp:spPr>
        <a:xfrm>
          <a:off x="1708718" y="108333"/>
          <a:ext cx="463201" cy="456835"/>
        </a:xfrm>
        <a:prstGeom prst="roundRect">
          <a:avLst/>
        </a:prstGeom>
        <a:solidFill>
          <a:srgbClr val="FFFF00"/>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CR" sz="700" kern="1200">
              <a:solidFill>
                <a:sysClr val="windowText" lastClr="000000"/>
              </a:solidFill>
              <a:latin typeface="Calibri"/>
              <a:ea typeface="+mn-ea"/>
              <a:cs typeface="+mn-cs"/>
            </a:rPr>
            <a:t>Face 2 Alerta Amarilla</a:t>
          </a:r>
        </a:p>
      </dsp:txBody>
      <dsp:txXfrm>
        <a:off x="1731019" y="130634"/>
        <a:ext cx="418599" cy="412233"/>
      </dsp:txXfrm>
    </dsp:sp>
    <dsp:sp modelId="{17A15B2C-CE3B-4AC8-922A-C12F4DE23EAC}">
      <dsp:nvSpPr>
        <dsp:cNvPr id="0" name=""/>
        <dsp:cNvSpPr/>
      </dsp:nvSpPr>
      <dsp:spPr>
        <a:xfrm>
          <a:off x="1169365" y="629157"/>
          <a:ext cx="464343" cy="464343"/>
        </a:xfrm>
        <a:prstGeom prst="roundRect">
          <a:avLst/>
        </a:prstGeom>
        <a:solidFill>
          <a:srgbClr val="EF9721"/>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CR" sz="700" kern="1200">
              <a:solidFill>
                <a:sysClr val="window" lastClr="FFFFFF"/>
              </a:solidFill>
              <a:latin typeface="Calibri"/>
              <a:ea typeface="+mn-ea"/>
              <a:cs typeface="+mn-cs"/>
            </a:rPr>
            <a:t>Face 3 Alerta Naranja</a:t>
          </a:r>
        </a:p>
      </dsp:txBody>
      <dsp:txXfrm>
        <a:off x="1192032" y="651824"/>
        <a:ext cx="419009" cy="419009"/>
      </dsp:txXfrm>
    </dsp:sp>
    <dsp:sp modelId="{C8F90DD5-F11D-4E9B-BCD2-FC901DC21A83}">
      <dsp:nvSpPr>
        <dsp:cNvPr id="0" name=""/>
        <dsp:cNvSpPr/>
      </dsp:nvSpPr>
      <dsp:spPr>
        <a:xfrm>
          <a:off x="1691779" y="630399"/>
          <a:ext cx="464343" cy="464343"/>
        </a:xfrm>
        <a:prstGeom prst="roundRect">
          <a:avLst/>
        </a:prstGeom>
        <a:solidFill>
          <a:srgbClr val="FF0000"/>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CR" sz="700" kern="1200">
              <a:solidFill>
                <a:sysClr val="window" lastClr="FFFFFF"/>
              </a:solidFill>
              <a:latin typeface="Calibri"/>
              <a:ea typeface="+mn-ea"/>
              <a:cs typeface="+mn-cs"/>
            </a:rPr>
            <a:t>Face 4</a:t>
          </a:r>
        </a:p>
        <a:p>
          <a:pPr marL="0" lvl="0" indent="0" algn="ctr" defTabSz="311150">
            <a:lnSpc>
              <a:spcPct val="90000"/>
            </a:lnSpc>
            <a:spcBef>
              <a:spcPct val="0"/>
            </a:spcBef>
            <a:spcAft>
              <a:spcPct val="35000"/>
            </a:spcAft>
            <a:buNone/>
          </a:pPr>
          <a:r>
            <a:rPr lang="es-CR" sz="700" kern="1200">
              <a:solidFill>
                <a:sysClr val="window" lastClr="FFFFFF"/>
              </a:solidFill>
              <a:latin typeface="Calibri"/>
              <a:ea typeface="+mn-ea"/>
              <a:cs typeface="+mn-cs"/>
            </a:rPr>
            <a:t>Alerta Roja</a:t>
          </a:r>
        </a:p>
      </dsp:txBody>
      <dsp:txXfrm>
        <a:off x="1714446" y="653066"/>
        <a:ext cx="419009" cy="419009"/>
      </dsp:txXfrm>
    </dsp:sp>
    <dsp:sp modelId="{5398FB92-473B-4D22-A81E-AC1E3A6983EA}">
      <dsp:nvSpPr>
        <dsp:cNvPr id="0" name=""/>
        <dsp:cNvSpPr/>
      </dsp:nvSpPr>
      <dsp:spPr>
        <a:xfrm>
          <a:off x="1160664" y="103926"/>
          <a:ext cx="464343" cy="464343"/>
        </a:xfrm>
        <a:prstGeom prst="roundRect">
          <a:avLst/>
        </a:prstGeom>
        <a:solidFill>
          <a:srgbClr val="00B050"/>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CR" sz="700" kern="1200">
              <a:solidFill>
                <a:sysClr val="window" lastClr="FFFFFF"/>
              </a:solidFill>
              <a:latin typeface="Calibri"/>
              <a:ea typeface="+mn-ea"/>
              <a:cs typeface="+mn-cs"/>
            </a:rPr>
            <a:t>Fase 1 Alerta Verde</a:t>
          </a:r>
        </a:p>
      </dsp:txBody>
      <dsp:txXfrm>
        <a:off x="1183331" y="126593"/>
        <a:ext cx="419009" cy="41900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7E4DF4-7C84-42FD-818D-C2C313CEC559}">
      <dsp:nvSpPr>
        <dsp:cNvPr id="0" name=""/>
        <dsp:cNvSpPr/>
      </dsp:nvSpPr>
      <dsp:spPr>
        <a:xfrm>
          <a:off x="144145" y="0"/>
          <a:ext cx="864235" cy="864235"/>
        </a:xfrm>
        <a:prstGeom prst="diamond">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70B57F67-7A19-4E30-9DF2-770E5C2D2770}">
      <dsp:nvSpPr>
        <dsp:cNvPr id="0" name=""/>
        <dsp:cNvSpPr/>
      </dsp:nvSpPr>
      <dsp:spPr>
        <a:xfrm>
          <a:off x="226247" y="82102"/>
          <a:ext cx="337051" cy="337051"/>
        </a:xfrm>
        <a:prstGeom prst="roundRect">
          <a:avLst/>
        </a:prstGeom>
        <a:solidFill>
          <a:sysClr val="window" lastClr="FFFFFF"/>
        </a:solidFill>
        <a:ln w="25400" cap="flat" cmpd="sng" algn="ctr">
          <a:solidFill>
            <a:srgbClr val="4F81BD">
              <a:lumMod val="40000"/>
              <a:lumOff val="6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endParaRPr lang="es-CR" sz="700" kern="1200">
            <a:solidFill>
              <a:sysClr val="window" lastClr="FFFFFF"/>
            </a:solidFill>
            <a:latin typeface="Calibri"/>
            <a:ea typeface="+mn-ea"/>
            <a:cs typeface="+mn-cs"/>
          </a:endParaRPr>
        </a:p>
      </dsp:txBody>
      <dsp:txXfrm>
        <a:off x="242700" y="98555"/>
        <a:ext cx="304145" cy="304145"/>
      </dsp:txXfrm>
    </dsp:sp>
    <dsp:sp modelId="{BFE6A6F9-BB15-484A-B22D-123B2FB4FE54}">
      <dsp:nvSpPr>
        <dsp:cNvPr id="0" name=""/>
        <dsp:cNvSpPr/>
      </dsp:nvSpPr>
      <dsp:spPr>
        <a:xfrm>
          <a:off x="589226" y="82102"/>
          <a:ext cx="337051" cy="337051"/>
        </a:xfrm>
        <a:prstGeom prst="roundRect">
          <a:avLst/>
        </a:prstGeom>
        <a:solidFill>
          <a:sysClr val="window" lastClr="FFFFFF"/>
        </a:solidFill>
        <a:ln w="25400" cap="flat" cmpd="sng" algn="ctr">
          <a:solidFill>
            <a:srgbClr val="4F81BD">
              <a:lumMod val="40000"/>
              <a:lumOff val="6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endParaRPr lang="es-CR" sz="700" kern="1200">
            <a:solidFill>
              <a:sysClr val="window" lastClr="FFFFFF"/>
            </a:solidFill>
            <a:latin typeface="Calibri"/>
            <a:ea typeface="+mn-ea"/>
            <a:cs typeface="+mn-cs"/>
          </a:endParaRPr>
        </a:p>
      </dsp:txBody>
      <dsp:txXfrm>
        <a:off x="605679" y="98555"/>
        <a:ext cx="304145" cy="304145"/>
      </dsp:txXfrm>
    </dsp:sp>
    <dsp:sp modelId="{000CEC01-D480-45CB-8EA7-D865E1D3FFAA}">
      <dsp:nvSpPr>
        <dsp:cNvPr id="0" name=""/>
        <dsp:cNvSpPr/>
      </dsp:nvSpPr>
      <dsp:spPr>
        <a:xfrm>
          <a:off x="226247" y="445081"/>
          <a:ext cx="337051" cy="337051"/>
        </a:xfrm>
        <a:prstGeom prst="roundRect">
          <a:avLst/>
        </a:prstGeom>
        <a:solidFill>
          <a:sysClr val="window" lastClr="FFFFFF"/>
        </a:solidFill>
        <a:ln w="25400" cap="flat" cmpd="sng" algn="ctr">
          <a:solidFill>
            <a:srgbClr val="4F81BD">
              <a:lumMod val="40000"/>
              <a:lumOff val="6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endParaRPr lang="es-CR" sz="700" kern="1200">
            <a:solidFill>
              <a:sysClr val="window" lastClr="FFFFFF"/>
            </a:solidFill>
            <a:latin typeface="Calibri"/>
            <a:ea typeface="+mn-ea"/>
            <a:cs typeface="+mn-cs"/>
          </a:endParaRPr>
        </a:p>
      </dsp:txBody>
      <dsp:txXfrm>
        <a:off x="242700" y="461534"/>
        <a:ext cx="304145" cy="304145"/>
      </dsp:txXfrm>
    </dsp:sp>
    <dsp:sp modelId="{E534F928-6E77-4FB3-B7DD-908C67840957}">
      <dsp:nvSpPr>
        <dsp:cNvPr id="0" name=""/>
        <dsp:cNvSpPr/>
      </dsp:nvSpPr>
      <dsp:spPr>
        <a:xfrm>
          <a:off x="586209" y="439228"/>
          <a:ext cx="368491" cy="399584"/>
        </a:xfrm>
        <a:prstGeom prst="roundRect">
          <a:avLst/>
        </a:prstGeom>
        <a:solidFill>
          <a:srgbClr val="00B050"/>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CR" sz="700" kern="1200">
              <a:solidFill>
                <a:sysClr val="window" lastClr="FFFFFF"/>
              </a:solidFill>
              <a:latin typeface="Calibri"/>
              <a:ea typeface="+mn-ea"/>
              <a:cs typeface="+mn-cs"/>
            </a:rPr>
            <a:t>Fase 1 Alerta Verde</a:t>
          </a:r>
        </a:p>
      </dsp:txBody>
      <dsp:txXfrm>
        <a:off x="604197" y="457216"/>
        <a:ext cx="332515" cy="36360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1EC791-DBA0-4212-9640-E8E6A6D06943}">
      <dsp:nvSpPr>
        <dsp:cNvPr id="0" name=""/>
        <dsp:cNvSpPr/>
      </dsp:nvSpPr>
      <dsp:spPr>
        <a:xfrm>
          <a:off x="0" y="25082"/>
          <a:ext cx="1014730" cy="1014730"/>
        </a:xfrm>
        <a:prstGeom prst="diamond">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F26BD06A-80CE-456D-B6C0-FE9DEE6A314F}">
      <dsp:nvSpPr>
        <dsp:cNvPr id="0" name=""/>
        <dsp:cNvSpPr/>
      </dsp:nvSpPr>
      <dsp:spPr>
        <a:xfrm>
          <a:off x="85583" y="571756"/>
          <a:ext cx="395744" cy="395744"/>
        </a:xfrm>
        <a:prstGeom prst="roundRect">
          <a:avLst/>
        </a:prstGeom>
        <a:solidFill>
          <a:srgbClr val="FFFF00"/>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s-CR" sz="600" kern="1200">
              <a:solidFill>
                <a:sysClr val="windowText" lastClr="000000"/>
              </a:solidFill>
              <a:latin typeface="Calibri"/>
              <a:ea typeface="+mn-ea"/>
              <a:cs typeface="+mn-cs"/>
            </a:rPr>
            <a:t>Face 2</a:t>
          </a:r>
        </a:p>
        <a:p>
          <a:pPr marL="0" lvl="0" indent="0" algn="ctr" defTabSz="266700">
            <a:lnSpc>
              <a:spcPct val="90000"/>
            </a:lnSpc>
            <a:spcBef>
              <a:spcPct val="0"/>
            </a:spcBef>
            <a:spcAft>
              <a:spcPct val="35000"/>
            </a:spcAft>
            <a:buNone/>
          </a:pPr>
          <a:r>
            <a:rPr lang="es-CR" sz="600" kern="1200">
              <a:solidFill>
                <a:sysClr val="windowText" lastClr="000000"/>
              </a:solidFill>
              <a:latin typeface="Calibri"/>
              <a:ea typeface="+mn-ea"/>
              <a:cs typeface="+mn-cs"/>
            </a:rPr>
            <a:t>Alerta Amarilla </a:t>
          </a:r>
        </a:p>
      </dsp:txBody>
      <dsp:txXfrm>
        <a:off x="104902" y="591075"/>
        <a:ext cx="357106" cy="357106"/>
      </dsp:txXfrm>
    </dsp:sp>
    <dsp:sp modelId="{045A18E7-4DE8-459E-93CF-EACED27DA93D}">
      <dsp:nvSpPr>
        <dsp:cNvPr id="0" name=""/>
        <dsp:cNvSpPr/>
      </dsp:nvSpPr>
      <dsp:spPr>
        <a:xfrm>
          <a:off x="522585" y="121481"/>
          <a:ext cx="395744" cy="395744"/>
        </a:xfrm>
        <a:prstGeom prst="roundRect">
          <a:avLst/>
        </a:prstGeom>
        <a:solidFill>
          <a:sysClr val="window" lastClr="FFFFFF"/>
        </a:solidFill>
        <a:ln w="25400" cap="flat" cmpd="sng" algn="ctr">
          <a:solidFill>
            <a:srgbClr val="4F81BD">
              <a:lumMod val="40000"/>
              <a:lumOff val="6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endParaRPr lang="es-CR" sz="600" kern="1200">
            <a:solidFill>
              <a:sysClr val="window" lastClr="FFFFFF"/>
            </a:solidFill>
            <a:latin typeface="Calibri"/>
            <a:ea typeface="+mn-ea"/>
            <a:cs typeface="+mn-cs"/>
          </a:endParaRPr>
        </a:p>
      </dsp:txBody>
      <dsp:txXfrm>
        <a:off x="541904" y="140800"/>
        <a:ext cx="357106" cy="357106"/>
      </dsp:txXfrm>
    </dsp:sp>
    <dsp:sp modelId="{2A6F4F2A-D3B7-41DF-8761-C01F44E2ABA1}">
      <dsp:nvSpPr>
        <dsp:cNvPr id="0" name=""/>
        <dsp:cNvSpPr/>
      </dsp:nvSpPr>
      <dsp:spPr>
        <a:xfrm>
          <a:off x="82544" y="132033"/>
          <a:ext cx="395744" cy="395744"/>
        </a:xfrm>
        <a:prstGeom prst="roundRect">
          <a:avLst/>
        </a:prstGeom>
        <a:solidFill>
          <a:sysClr val="window" lastClr="FFFFFF"/>
        </a:solidFill>
        <a:ln w="25400" cap="flat" cmpd="sng" algn="ctr">
          <a:solidFill>
            <a:srgbClr val="4F81BD">
              <a:lumMod val="40000"/>
              <a:lumOff val="6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endParaRPr lang="es-CR" sz="600" kern="1200">
            <a:solidFill>
              <a:sysClr val="window" lastClr="FFFFFF"/>
            </a:solidFill>
            <a:latin typeface="Calibri"/>
            <a:ea typeface="+mn-ea"/>
            <a:cs typeface="+mn-cs"/>
          </a:endParaRPr>
        </a:p>
      </dsp:txBody>
      <dsp:txXfrm>
        <a:off x="101863" y="151352"/>
        <a:ext cx="357106" cy="357106"/>
      </dsp:txXfrm>
    </dsp:sp>
    <dsp:sp modelId="{603C8C77-9E0B-4882-9756-7D7DC8D9F222}">
      <dsp:nvSpPr>
        <dsp:cNvPr id="0" name=""/>
        <dsp:cNvSpPr/>
      </dsp:nvSpPr>
      <dsp:spPr>
        <a:xfrm>
          <a:off x="522585" y="547668"/>
          <a:ext cx="395744" cy="395744"/>
        </a:xfrm>
        <a:prstGeom prst="roundRect">
          <a:avLst/>
        </a:prstGeom>
        <a:solidFill>
          <a:sysClr val="window" lastClr="FFFFFF"/>
        </a:solidFill>
        <a:ln w="25400" cap="flat" cmpd="sng" algn="ctr">
          <a:solidFill>
            <a:srgbClr val="4F81BD">
              <a:lumMod val="40000"/>
              <a:lumOff val="6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endParaRPr lang="es-CR" sz="600" kern="1200">
            <a:solidFill>
              <a:sysClr val="window" lastClr="FFFFFF"/>
            </a:solidFill>
            <a:latin typeface="Calibri"/>
            <a:ea typeface="+mn-ea"/>
            <a:cs typeface="+mn-cs"/>
          </a:endParaRPr>
        </a:p>
      </dsp:txBody>
      <dsp:txXfrm>
        <a:off x="541904" y="566987"/>
        <a:ext cx="357106" cy="35710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DD3DAF-E3DC-4C37-B191-008AE1CFED6B}">
      <dsp:nvSpPr>
        <dsp:cNvPr id="0" name=""/>
        <dsp:cNvSpPr/>
      </dsp:nvSpPr>
      <dsp:spPr>
        <a:xfrm>
          <a:off x="285114" y="0"/>
          <a:ext cx="1098550" cy="1098550"/>
        </a:xfrm>
        <a:prstGeom prst="diamond">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0E82E74D-536B-4979-958E-E00278AB59FA}">
      <dsp:nvSpPr>
        <dsp:cNvPr id="0" name=""/>
        <dsp:cNvSpPr/>
      </dsp:nvSpPr>
      <dsp:spPr>
        <a:xfrm>
          <a:off x="389477" y="104362"/>
          <a:ext cx="428434" cy="428434"/>
        </a:xfrm>
        <a:prstGeom prst="roundRect">
          <a:avLst/>
        </a:prstGeom>
        <a:solidFill>
          <a:sysClr val="window" lastClr="FFFFFF"/>
        </a:solidFill>
        <a:ln w="25400" cap="flat" cmpd="sng" algn="ctr">
          <a:solidFill>
            <a:srgbClr val="4F81BD">
              <a:lumMod val="40000"/>
              <a:lumOff val="6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endParaRPr lang="es-CR" sz="700" kern="1200">
            <a:solidFill>
              <a:sysClr val="window" lastClr="FFFFFF"/>
            </a:solidFill>
            <a:latin typeface="Calibri"/>
            <a:ea typeface="+mn-ea"/>
            <a:cs typeface="+mn-cs"/>
          </a:endParaRPr>
        </a:p>
      </dsp:txBody>
      <dsp:txXfrm>
        <a:off x="410391" y="125276"/>
        <a:ext cx="386606" cy="386606"/>
      </dsp:txXfrm>
    </dsp:sp>
    <dsp:sp modelId="{8A023B21-E5D1-42C6-9E71-78F200824456}">
      <dsp:nvSpPr>
        <dsp:cNvPr id="0" name=""/>
        <dsp:cNvSpPr/>
      </dsp:nvSpPr>
      <dsp:spPr>
        <a:xfrm>
          <a:off x="850868" y="104362"/>
          <a:ext cx="428434" cy="428434"/>
        </a:xfrm>
        <a:prstGeom prst="roundRect">
          <a:avLst/>
        </a:prstGeom>
        <a:solidFill>
          <a:srgbClr val="FFC000"/>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CR" sz="700" kern="1200">
              <a:solidFill>
                <a:sysClr val="window" lastClr="FFFFFF"/>
              </a:solidFill>
              <a:latin typeface="Calibri"/>
              <a:ea typeface="+mn-ea"/>
              <a:cs typeface="+mn-cs"/>
            </a:rPr>
            <a:t>Fase 3 Alerta Naranja</a:t>
          </a:r>
        </a:p>
      </dsp:txBody>
      <dsp:txXfrm>
        <a:off x="871782" y="125276"/>
        <a:ext cx="386606" cy="386606"/>
      </dsp:txXfrm>
    </dsp:sp>
    <dsp:sp modelId="{15E1E579-6156-4E0C-ADF0-736C44811838}">
      <dsp:nvSpPr>
        <dsp:cNvPr id="0" name=""/>
        <dsp:cNvSpPr/>
      </dsp:nvSpPr>
      <dsp:spPr>
        <a:xfrm>
          <a:off x="389477" y="565753"/>
          <a:ext cx="428434" cy="428434"/>
        </a:xfrm>
        <a:prstGeom prst="roundRect">
          <a:avLst/>
        </a:prstGeom>
        <a:solidFill>
          <a:sysClr val="window" lastClr="FFFFFF"/>
        </a:solidFill>
        <a:ln w="25400" cap="flat" cmpd="sng" algn="ctr">
          <a:solidFill>
            <a:srgbClr val="4BACC6">
              <a:lumMod val="40000"/>
              <a:lumOff val="6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endParaRPr lang="es-CR" sz="700" kern="1200">
            <a:solidFill>
              <a:sysClr val="window" lastClr="FFFFFF"/>
            </a:solidFill>
            <a:latin typeface="Calibri"/>
            <a:ea typeface="+mn-ea"/>
            <a:cs typeface="+mn-cs"/>
          </a:endParaRPr>
        </a:p>
      </dsp:txBody>
      <dsp:txXfrm>
        <a:off x="410391" y="586667"/>
        <a:ext cx="386606" cy="386606"/>
      </dsp:txXfrm>
    </dsp:sp>
    <dsp:sp modelId="{FC73A99D-F085-44E9-BCB1-20B818B5E5D8}">
      <dsp:nvSpPr>
        <dsp:cNvPr id="0" name=""/>
        <dsp:cNvSpPr/>
      </dsp:nvSpPr>
      <dsp:spPr>
        <a:xfrm>
          <a:off x="850868" y="565753"/>
          <a:ext cx="428434" cy="428434"/>
        </a:xfrm>
        <a:prstGeom prst="roundRect">
          <a:avLst/>
        </a:prstGeom>
        <a:solidFill>
          <a:sysClr val="window" lastClr="FFFFFF"/>
        </a:solidFill>
        <a:ln w="25400" cap="flat" cmpd="sng" algn="ctr">
          <a:solidFill>
            <a:srgbClr val="4F81BD">
              <a:lumMod val="40000"/>
              <a:lumOff val="6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endParaRPr lang="es-CR" sz="700" kern="1200">
            <a:solidFill>
              <a:sysClr val="window" lastClr="FFFFFF"/>
            </a:solidFill>
            <a:latin typeface="Calibri"/>
            <a:ea typeface="+mn-ea"/>
            <a:cs typeface="+mn-cs"/>
          </a:endParaRPr>
        </a:p>
      </dsp:txBody>
      <dsp:txXfrm>
        <a:off x="871782" y="586667"/>
        <a:ext cx="386606" cy="38660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F69942-C08F-466C-8377-D500B08A731B}">
      <dsp:nvSpPr>
        <dsp:cNvPr id="0" name=""/>
        <dsp:cNvSpPr/>
      </dsp:nvSpPr>
      <dsp:spPr>
        <a:xfrm>
          <a:off x="125730" y="0"/>
          <a:ext cx="897255" cy="897255"/>
        </a:xfrm>
        <a:prstGeom prst="diamond">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D90A37BE-E42E-43A9-BBB0-642B90F3EDFD}">
      <dsp:nvSpPr>
        <dsp:cNvPr id="0" name=""/>
        <dsp:cNvSpPr/>
      </dsp:nvSpPr>
      <dsp:spPr>
        <a:xfrm>
          <a:off x="221379" y="465437"/>
          <a:ext cx="349929" cy="349929"/>
        </a:xfrm>
        <a:prstGeom prst="roundRect">
          <a:avLst/>
        </a:prstGeom>
        <a:solidFill>
          <a:sysClr val="window" lastClr="FFFFFF"/>
        </a:solidFill>
        <a:ln w="25400" cap="flat" cmpd="sng" algn="ctr">
          <a:solidFill>
            <a:srgbClr val="4F81BD">
              <a:lumMod val="40000"/>
              <a:lumOff val="6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endParaRPr lang="es-CR" sz="500" kern="1200">
            <a:solidFill>
              <a:sysClr val="window" lastClr="FFFFFF"/>
            </a:solidFill>
            <a:latin typeface="Calibri"/>
            <a:ea typeface="+mn-ea"/>
            <a:cs typeface="+mn-cs"/>
          </a:endParaRPr>
        </a:p>
      </dsp:txBody>
      <dsp:txXfrm>
        <a:off x="238461" y="482519"/>
        <a:ext cx="315765" cy="315765"/>
      </dsp:txXfrm>
    </dsp:sp>
    <dsp:sp modelId="{0140D089-7837-4BE9-B3B9-556CCF420A0C}">
      <dsp:nvSpPr>
        <dsp:cNvPr id="0" name=""/>
        <dsp:cNvSpPr/>
      </dsp:nvSpPr>
      <dsp:spPr>
        <a:xfrm>
          <a:off x="587816" y="85239"/>
          <a:ext cx="349929" cy="349929"/>
        </a:xfrm>
        <a:prstGeom prst="roundRect">
          <a:avLst/>
        </a:prstGeom>
        <a:solidFill>
          <a:sysClr val="window" lastClr="FFFFFF"/>
        </a:solidFill>
        <a:ln w="25400" cap="flat" cmpd="sng" algn="ctr">
          <a:solidFill>
            <a:srgbClr val="4F81BD">
              <a:lumMod val="40000"/>
              <a:lumOff val="6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endParaRPr lang="es-CR" sz="500" kern="1200">
            <a:solidFill>
              <a:sysClr val="window" lastClr="FFFFFF"/>
            </a:solidFill>
            <a:latin typeface="Calibri"/>
            <a:ea typeface="+mn-ea"/>
            <a:cs typeface="+mn-cs"/>
          </a:endParaRPr>
        </a:p>
      </dsp:txBody>
      <dsp:txXfrm>
        <a:off x="604898" y="102321"/>
        <a:ext cx="315765" cy="315765"/>
      </dsp:txXfrm>
    </dsp:sp>
    <dsp:sp modelId="{EC247000-4B9D-4BCA-BB28-46AFC825B2F9}">
      <dsp:nvSpPr>
        <dsp:cNvPr id="0" name=""/>
        <dsp:cNvSpPr/>
      </dsp:nvSpPr>
      <dsp:spPr>
        <a:xfrm>
          <a:off x="213600" y="101065"/>
          <a:ext cx="344666" cy="340449"/>
        </a:xfrm>
        <a:prstGeom prst="roundRect">
          <a:avLst/>
        </a:prstGeom>
        <a:solidFill>
          <a:srgbClr val="FF0000"/>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s-CR" sz="500" kern="1200">
              <a:solidFill>
                <a:sysClr val="window" lastClr="FFFFFF"/>
              </a:solidFill>
              <a:latin typeface="Calibri"/>
              <a:ea typeface="+mn-ea"/>
              <a:cs typeface="+mn-cs"/>
            </a:rPr>
            <a:t>Face 4</a:t>
          </a:r>
        </a:p>
        <a:p>
          <a:pPr marL="0" lvl="0" indent="0" algn="ctr" defTabSz="222250">
            <a:lnSpc>
              <a:spcPct val="90000"/>
            </a:lnSpc>
            <a:spcBef>
              <a:spcPct val="0"/>
            </a:spcBef>
            <a:spcAft>
              <a:spcPct val="35000"/>
            </a:spcAft>
            <a:buNone/>
          </a:pPr>
          <a:r>
            <a:rPr lang="es-CR" sz="500" kern="1200">
              <a:solidFill>
                <a:sysClr val="window" lastClr="FFFFFF"/>
              </a:solidFill>
              <a:latin typeface="Calibri"/>
              <a:ea typeface="+mn-ea"/>
              <a:cs typeface="+mn-cs"/>
            </a:rPr>
            <a:t>Alerta Roja</a:t>
          </a:r>
        </a:p>
      </dsp:txBody>
      <dsp:txXfrm>
        <a:off x="230219" y="117684"/>
        <a:ext cx="311428" cy="307211"/>
      </dsp:txXfrm>
    </dsp:sp>
    <dsp:sp modelId="{A15C9538-301B-41D0-B9D4-7B563297A846}">
      <dsp:nvSpPr>
        <dsp:cNvPr id="0" name=""/>
        <dsp:cNvSpPr/>
      </dsp:nvSpPr>
      <dsp:spPr>
        <a:xfrm>
          <a:off x="587816" y="462086"/>
          <a:ext cx="349929" cy="349929"/>
        </a:xfrm>
        <a:prstGeom prst="roundRect">
          <a:avLst/>
        </a:prstGeom>
        <a:solidFill>
          <a:sysClr val="window" lastClr="FFFFFF"/>
        </a:solidFill>
        <a:ln w="25400" cap="flat" cmpd="sng" algn="ctr">
          <a:solidFill>
            <a:srgbClr val="4F81BD">
              <a:lumMod val="40000"/>
              <a:lumOff val="6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endParaRPr lang="es-CR" sz="500" kern="1200">
            <a:solidFill>
              <a:sysClr val="window" lastClr="FFFFFF"/>
            </a:solidFill>
            <a:latin typeface="Calibri"/>
            <a:ea typeface="+mn-ea"/>
            <a:cs typeface="+mn-cs"/>
          </a:endParaRPr>
        </a:p>
      </dsp:txBody>
      <dsp:txXfrm>
        <a:off x="604898" y="479168"/>
        <a:ext cx="315765" cy="315765"/>
      </dsp:txXfrm>
    </dsp:sp>
  </dsp:spTree>
</dsp:drawing>
</file>

<file path=word/diagrams/layout1.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3.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4.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5.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40AC0ECB1D9CB49A76C6086FD3B0D12" ma:contentTypeVersion="13" ma:contentTypeDescription="Crear nuevo documento." ma:contentTypeScope="" ma:versionID="4a6dd83c10a72558d7f938144cbdc765">
  <xsd:schema xmlns:xsd="http://www.w3.org/2001/XMLSchema" xmlns:xs="http://www.w3.org/2001/XMLSchema" xmlns:p="http://schemas.microsoft.com/office/2006/metadata/properties" xmlns:ns3="f14307a1-a0bd-404c-9c57-43b478bd60b0" xmlns:ns4="05979464-4e3f-4463-aab6-a5676e8797e3" targetNamespace="http://schemas.microsoft.com/office/2006/metadata/properties" ma:root="true" ma:fieldsID="057583fff44a9981106bfc7d588aa90f" ns3:_="" ns4:_="">
    <xsd:import namespace="f14307a1-a0bd-404c-9c57-43b478bd60b0"/>
    <xsd:import namespace="05979464-4e3f-4463-aab6-a5676e8797e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307a1-a0bd-404c-9c57-43b478bd60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979464-4e3f-4463-aab6-a5676e8797e3"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FDF505-D878-4226-AB5F-9A4DFE7474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307a1-a0bd-404c-9c57-43b478bd60b0"/>
    <ds:schemaRef ds:uri="05979464-4e3f-4463-aab6-a5676e8797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6B9C2C-7A6C-4FB6-B060-3669CEB2C3CA}">
  <ds:schemaRefs>
    <ds:schemaRef ds:uri="http://schemas.microsoft.com/sharepoint/v3/contenttype/forms"/>
  </ds:schemaRefs>
</ds:datastoreItem>
</file>

<file path=customXml/itemProps3.xml><?xml version="1.0" encoding="utf-8"?>
<ds:datastoreItem xmlns:ds="http://schemas.openxmlformats.org/officeDocument/2006/customXml" ds:itemID="{0B205D59-55BE-4194-8FDE-5957B049A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2602</Words>
  <Characters>14316</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fbrenes</dc:creator>
  <cp:keywords/>
  <cp:lastModifiedBy>Daniel Stuard Méndez Barrantes</cp:lastModifiedBy>
  <cp:revision>1</cp:revision>
  <cp:lastPrinted>2020-06-30T17:33:00Z</cp:lastPrinted>
  <dcterms:created xsi:type="dcterms:W3CDTF">2021-01-14T14:21:00Z</dcterms:created>
  <dcterms:modified xsi:type="dcterms:W3CDTF">2021-01-14T14:21:00Z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0x010100D40AC0ECB1D9CB49A76C6086FD3B0D12</vt:lpwstr>
  </property>
</Properties>
</file>