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1CFF" w:rsidRPr="0093795D" w:rsidRDefault="00EF1CFF" w:rsidP="00182CC1">
      <w:pPr>
        <w:spacing w:after="0" w:line="240" w:lineRule="auto"/>
        <w:jc w:val="center"/>
        <w:rPr>
          <w:rFonts w:ascii="Tahoma" w:hAnsi="Tahoma" w:cs="Tahoma"/>
          <w:b/>
          <w:bCs/>
        </w:rPr>
      </w:pPr>
      <w:bookmarkStart w:id="0" w:name="_Hlk43979125"/>
      <w:r w:rsidRPr="0093795D">
        <w:rPr>
          <w:rFonts w:ascii="Tahoma" w:hAnsi="Tahoma" w:cs="Tahoma"/>
          <w:b/>
          <w:bCs/>
        </w:rPr>
        <w:t xml:space="preserve">Modelo de </w:t>
      </w:r>
      <w:r>
        <w:rPr>
          <w:rFonts w:ascii="Tahoma" w:hAnsi="Tahoma" w:cs="Tahoma"/>
          <w:b/>
          <w:bCs/>
        </w:rPr>
        <w:t>Gestión</w:t>
      </w:r>
      <w:r w:rsidRPr="0093795D">
        <w:rPr>
          <w:rFonts w:ascii="Tahoma" w:hAnsi="Tahoma" w:cs="Tahoma"/>
          <w:b/>
          <w:bCs/>
        </w:rPr>
        <w:t xml:space="preserve"> </w:t>
      </w:r>
      <w:r>
        <w:rPr>
          <w:rFonts w:ascii="Tahoma" w:hAnsi="Tahoma" w:cs="Tahoma"/>
          <w:b/>
          <w:bCs/>
        </w:rPr>
        <w:t>p</w:t>
      </w:r>
      <w:r w:rsidRPr="0093795D">
        <w:rPr>
          <w:rFonts w:ascii="Tahoma" w:hAnsi="Tahoma" w:cs="Tahoma"/>
          <w:b/>
          <w:bCs/>
        </w:rPr>
        <w:t>or Fases</w:t>
      </w:r>
      <w:r>
        <w:rPr>
          <w:rFonts w:ascii="Tahoma" w:hAnsi="Tahoma" w:cs="Tahoma"/>
          <w:b/>
          <w:bCs/>
        </w:rPr>
        <w:t xml:space="preserve"> según </w:t>
      </w:r>
      <w:r w:rsidR="00407C89">
        <w:rPr>
          <w:rFonts w:ascii="Tahoma" w:hAnsi="Tahoma" w:cs="Tahoma"/>
          <w:b/>
          <w:bCs/>
        </w:rPr>
        <w:t xml:space="preserve">el tipo de </w:t>
      </w:r>
      <w:r>
        <w:rPr>
          <w:rFonts w:ascii="Tahoma" w:hAnsi="Tahoma" w:cs="Tahoma"/>
          <w:b/>
          <w:bCs/>
        </w:rPr>
        <w:t>Alerta</w:t>
      </w:r>
    </w:p>
    <w:p w:rsidR="00EF1CFF" w:rsidRDefault="00EF1CFF" w:rsidP="00182CC1">
      <w:pPr>
        <w:spacing w:after="0" w:line="240" w:lineRule="auto"/>
        <w:jc w:val="center"/>
        <w:rPr>
          <w:rFonts w:ascii="Tahoma" w:hAnsi="Tahoma" w:cs="Tahoma"/>
          <w:b/>
          <w:bCs/>
        </w:rPr>
      </w:pPr>
      <w:r w:rsidRPr="0093795D">
        <w:rPr>
          <w:rFonts w:ascii="Tahoma" w:hAnsi="Tahoma" w:cs="Tahoma"/>
          <w:b/>
          <w:bCs/>
        </w:rPr>
        <w:t>COVID-19</w:t>
      </w:r>
    </w:p>
    <w:p w:rsidR="00EF1CFF" w:rsidRPr="0093795D" w:rsidRDefault="00EF1CFF" w:rsidP="00182CC1">
      <w:pPr>
        <w:spacing w:after="0" w:line="240" w:lineRule="auto"/>
        <w:jc w:val="center"/>
        <w:rPr>
          <w:rFonts w:ascii="Tahoma" w:hAnsi="Tahoma" w:cs="Tahoma"/>
          <w:b/>
          <w:bCs/>
        </w:rPr>
      </w:pPr>
      <w:r>
        <w:rPr>
          <w:rFonts w:ascii="Tahoma" w:hAnsi="Tahoma" w:cs="Tahoma"/>
          <w:b/>
          <w:bCs/>
        </w:rPr>
        <w:t>PODER JUDICIAL</w:t>
      </w:r>
    </w:p>
    <w:p w:rsidR="00B976E2" w:rsidRPr="006E19B8" w:rsidRDefault="00B976E2" w:rsidP="00511488">
      <w:pPr>
        <w:spacing w:after="0" w:line="240" w:lineRule="auto"/>
        <w:jc w:val="center"/>
        <w:rPr>
          <w:rFonts w:ascii="Tahoma" w:hAnsi="Tahoma" w:cs="Tahoma"/>
          <w:b/>
          <w:bCs/>
          <w:sz w:val="24"/>
          <w:szCs w:val="24"/>
        </w:rPr>
      </w:pPr>
    </w:p>
    <w:p w:rsidR="00B976E2" w:rsidRPr="006E19B8" w:rsidRDefault="00B976E2" w:rsidP="00511488">
      <w:pPr>
        <w:spacing w:after="0" w:line="240" w:lineRule="auto"/>
        <w:jc w:val="center"/>
        <w:rPr>
          <w:rFonts w:ascii="Tahoma" w:hAnsi="Tahoma" w:cs="Tahoma"/>
          <w:b/>
          <w:bCs/>
          <w:sz w:val="24"/>
          <w:szCs w:val="24"/>
        </w:rPr>
      </w:pPr>
      <w:r w:rsidRPr="006E19B8">
        <w:rPr>
          <w:rFonts w:ascii="Tahoma" w:hAnsi="Tahoma" w:cs="Tahoma"/>
          <w:b/>
          <w:bCs/>
          <w:sz w:val="24"/>
          <w:szCs w:val="24"/>
        </w:rPr>
        <w:t xml:space="preserve">JURISDICCIÓN DE </w:t>
      </w:r>
      <w:r w:rsidR="009344CA" w:rsidRPr="006E19B8">
        <w:rPr>
          <w:rFonts w:ascii="Tahoma" w:hAnsi="Tahoma" w:cs="Tahoma"/>
          <w:b/>
          <w:bCs/>
          <w:sz w:val="24"/>
          <w:szCs w:val="24"/>
        </w:rPr>
        <w:t>CIVIL</w:t>
      </w:r>
    </w:p>
    <w:p w:rsidR="009467EA" w:rsidRPr="006E19B8" w:rsidRDefault="009467EA" w:rsidP="00511488">
      <w:pPr>
        <w:spacing w:after="0" w:line="240" w:lineRule="auto"/>
        <w:jc w:val="center"/>
        <w:rPr>
          <w:rFonts w:ascii="Tahoma" w:hAnsi="Tahoma" w:cs="Tahoma"/>
          <w:b/>
          <w:bCs/>
          <w:sz w:val="24"/>
          <w:szCs w:val="24"/>
        </w:rPr>
      </w:pPr>
    </w:p>
    <w:p w:rsidR="009467EA" w:rsidRPr="006E19B8" w:rsidRDefault="009467EA" w:rsidP="00511488">
      <w:pPr>
        <w:spacing w:after="0" w:line="240" w:lineRule="auto"/>
        <w:jc w:val="center"/>
        <w:rPr>
          <w:rFonts w:ascii="Tahoma" w:hAnsi="Tahoma" w:cs="Tahoma"/>
          <w:b/>
          <w:bCs/>
          <w:sz w:val="24"/>
          <w:szCs w:val="24"/>
        </w:rPr>
      </w:pPr>
    </w:p>
    <w:p w:rsidR="002B7D86" w:rsidRPr="006E19B8" w:rsidRDefault="009467EA" w:rsidP="009467EA">
      <w:pPr>
        <w:spacing w:after="0" w:line="240" w:lineRule="auto"/>
        <w:jc w:val="center"/>
        <w:rPr>
          <w:rFonts w:ascii="Tahoma" w:hAnsi="Tahoma" w:cs="Tahoma"/>
          <w:b/>
          <w:bCs/>
          <w:sz w:val="24"/>
          <w:szCs w:val="24"/>
        </w:rPr>
      </w:pPr>
      <w:r w:rsidRPr="006E19B8">
        <w:rPr>
          <w:rFonts w:ascii="Tahoma" w:hAnsi="Tahoma" w:cs="Tahoma"/>
          <w:b/>
          <w:bCs/>
          <w:noProof/>
          <w:sz w:val="24"/>
          <w:szCs w:val="24"/>
        </w:rPr>
        <w:drawing>
          <wp:inline distT="0" distB="0" distL="0" distR="0" wp14:anchorId="555C2B23" wp14:editId="4BEFD05B">
            <wp:extent cx="3296874" cy="1191237"/>
            <wp:effectExtent l="0" t="0" r="0" b="9525"/>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bookmarkEnd w:id="0"/>
    </w:p>
    <w:p w:rsidR="002B7D86" w:rsidRPr="006E19B8" w:rsidRDefault="002B7D86" w:rsidP="00CD3574">
      <w:pPr>
        <w:autoSpaceDE w:val="0"/>
        <w:autoSpaceDN w:val="0"/>
        <w:adjustRightInd w:val="0"/>
        <w:spacing w:after="0" w:line="240" w:lineRule="auto"/>
        <w:jc w:val="both"/>
        <w:rPr>
          <w:rFonts w:ascii="Tahoma" w:eastAsia="Times New Roman" w:hAnsi="Tahoma" w:cs="Tahoma"/>
          <w:color w:val="000000"/>
          <w:sz w:val="24"/>
          <w:szCs w:val="24"/>
          <w:lang w:eastAsia="es-CR"/>
        </w:rPr>
      </w:pPr>
    </w:p>
    <w:p w:rsidR="002B7D86" w:rsidRPr="006E19B8" w:rsidRDefault="002B7D86" w:rsidP="00CD3574">
      <w:pPr>
        <w:autoSpaceDE w:val="0"/>
        <w:autoSpaceDN w:val="0"/>
        <w:adjustRightInd w:val="0"/>
        <w:spacing w:after="0" w:line="240" w:lineRule="auto"/>
        <w:jc w:val="both"/>
        <w:rPr>
          <w:rFonts w:ascii="Tahoma" w:eastAsia="Times New Roman" w:hAnsi="Tahoma" w:cs="Tahoma"/>
          <w:color w:val="000000"/>
          <w:sz w:val="24"/>
          <w:szCs w:val="24"/>
          <w:lang w:eastAsia="es-CR"/>
        </w:rPr>
      </w:pPr>
    </w:p>
    <w:tbl>
      <w:tblPr>
        <w:tblStyle w:val="Tablaconcuadrcula"/>
        <w:tblW w:w="9782" w:type="dxa"/>
        <w:tblInd w:w="-431" w:type="dxa"/>
        <w:tblLook w:val="04A0" w:firstRow="1" w:lastRow="0" w:firstColumn="1" w:lastColumn="0" w:noHBand="0" w:noVBand="1"/>
      </w:tblPr>
      <w:tblGrid>
        <w:gridCol w:w="4254"/>
        <w:gridCol w:w="5528"/>
      </w:tblGrid>
      <w:tr w:rsidR="00B65204" w:rsidRPr="006E19B8" w:rsidTr="00A4754C">
        <w:tc>
          <w:tcPr>
            <w:tcW w:w="4254" w:type="dxa"/>
            <w:shd w:val="clear" w:color="auto" w:fill="95B3D7" w:themeFill="accent1" w:themeFillTint="99"/>
          </w:tcPr>
          <w:p w:rsidR="00B65204" w:rsidRPr="006E19B8" w:rsidRDefault="00B65204" w:rsidP="00F56877">
            <w:pPr>
              <w:jc w:val="center"/>
              <w:rPr>
                <w:rFonts w:ascii="Tahoma" w:hAnsi="Tahoma" w:cs="Tahoma"/>
                <w:b/>
                <w:bCs/>
                <w:sz w:val="24"/>
                <w:szCs w:val="24"/>
              </w:rPr>
            </w:pPr>
          </w:p>
          <w:p w:rsidR="00B65204" w:rsidRPr="006E19B8" w:rsidRDefault="00B65204" w:rsidP="00F56877">
            <w:pPr>
              <w:jc w:val="center"/>
              <w:rPr>
                <w:rFonts w:ascii="Tahoma" w:hAnsi="Tahoma" w:cs="Tahoma"/>
                <w:b/>
                <w:bCs/>
                <w:sz w:val="24"/>
                <w:szCs w:val="24"/>
              </w:rPr>
            </w:pPr>
            <w:r w:rsidRPr="006E19B8">
              <w:rPr>
                <w:rFonts w:ascii="Tahoma" w:hAnsi="Tahoma" w:cs="Tahoma"/>
                <w:b/>
                <w:bCs/>
                <w:sz w:val="24"/>
                <w:szCs w:val="24"/>
              </w:rPr>
              <w:t>Estado de la Fase</w:t>
            </w:r>
          </w:p>
          <w:p w:rsidR="00B65204" w:rsidRPr="006E19B8" w:rsidRDefault="00B65204" w:rsidP="00F56877">
            <w:pPr>
              <w:jc w:val="center"/>
              <w:rPr>
                <w:rFonts w:ascii="Tahoma" w:hAnsi="Tahoma" w:cs="Tahoma"/>
                <w:b/>
                <w:bCs/>
                <w:sz w:val="24"/>
                <w:szCs w:val="24"/>
              </w:rPr>
            </w:pPr>
          </w:p>
        </w:tc>
        <w:tc>
          <w:tcPr>
            <w:tcW w:w="5528" w:type="dxa"/>
            <w:shd w:val="clear" w:color="auto" w:fill="95B3D7" w:themeFill="accent1" w:themeFillTint="99"/>
          </w:tcPr>
          <w:p w:rsidR="00B65204" w:rsidRPr="006E19B8" w:rsidRDefault="00B65204" w:rsidP="00F56877">
            <w:pPr>
              <w:jc w:val="center"/>
              <w:rPr>
                <w:rFonts w:ascii="Tahoma" w:hAnsi="Tahoma" w:cs="Tahoma"/>
                <w:b/>
                <w:bCs/>
                <w:sz w:val="24"/>
                <w:szCs w:val="24"/>
              </w:rPr>
            </w:pPr>
          </w:p>
          <w:p w:rsidR="00B65204" w:rsidRPr="006E19B8" w:rsidRDefault="00B613C0" w:rsidP="00F56877">
            <w:pPr>
              <w:jc w:val="center"/>
              <w:rPr>
                <w:rFonts w:ascii="Tahoma" w:hAnsi="Tahoma" w:cs="Tahoma"/>
                <w:b/>
                <w:bCs/>
                <w:sz w:val="24"/>
                <w:szCs w:val="24"/>
              </w:rPr>
            </w:pPr>
            <w:r>
              <w:rPr>
                <w:rFonts w:ascii="Tahoma" w:hAnsi="Tahoma" w:cs="Tahoma"/>
                <w:b/>
                <w:bCs/>
                <w:sz w:val="24"/>
                <w:szCs w:val="24"/>
              </w:rPr>
              <w:t>Lineamientos</w:t>
            </w:r>
          </w:p>
        </w:tc>
      </w:tr>
      <w:tr w:rsidR="009467EA" w:rsidRPr="006E19B8" w:rsidTr="004E1DC2">
        <w:tc>
          <w:tcPr>
            <w:tcW w:w="4254" w:type="dxa"/>
          </w:tcPr>
          <w:p w:rsidR="009467EA" w:rsidRPr="006E19B8" w:rsidRDefault="009467EA" w:rsidP="009467EA">
            <w:pPr>
              <w:jc w:val="center"/>
              <w:rPr>
                <w:rFonts w:ascii="Tahoma" w:hAnsi="Tahoma" w:cs="Tahoma"/>
                <w:b/>
                <w:bCs/>
                <w:sz w:val="24"/>
                <w:szCs w:val="24"/>
              </w:rPr>
            </w:pPr>
            <w:r w:rsidRPr="006E19B8">
              <w:rPr>
                <w:rFonts w:ascii="Tahoma" w:hAnsi="Tahoma" w:cs="Tahoma"/>
                <w:b/>
                <w:bCs/>
                <w:noProof/>
                <w:sz w:val="24"/>
                <w:szCs w:val="24"/>
              </w:rPr>
              <w:drawing>
                <wp:inline distT="0" distB="0" distL="0" distR="0" wp14:anchorId="47455983" wp14:editId="73417B05">
                  <wp:extent cx="1149292" cy="864066"/>
                  <wp:effectExtent l="0" t="0" r="0" b="0"/>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9467EA" w:rsidRPr="006E19B8" w:rsidRDefault="009467EA" w:rsidP="00F53DBE">
            <w:pPr>
              <w:jc w:val="both"/>
              <w:rPr>
                <w:rFonts w:ascii="Tahoma" w:hAnsi="Tahoma" w:cs="Tahoma"/>
                <w:sz w:val="24"/>
                <w:szCs w:val="24"/>
              </w:rPr>
            </w:pPr>
          </w:p>
          <w:p w:rsidR="009467EA" w:rsidRPr="006E19B8" w:rsidRDefault="009467EA" w:rsidP="009467EA">
            <w:pPr>
              <w:jc w:val="center"/>
              <w:rPr>
                <w:rFonts w:ascii="Tahoma" w:hAnsi="Tahoma" w:cs="Tahoma"/>
                <w:b/>
                <w:bCs/>
                <w:sz w:val="24"/>
                <w:szCs w:val="24"/>
              </w:rPr>
            </w:pPr>
            <w:r w:rsidRPr="006E19B8">
              <w:rPr>
                <w:rFonts w:ascii="Tahoma" w:hAnsi="Tahoma" w:cs="Tahoma"/>
                <w:b/>
                <w:bCs/>
                <w:sz w:val="24"/>
                <w:szCs w:val="24"/>
              </w:rPr>
              <w:t>Fase</w:t>
            </w:r>
            <w:r w:rsidR="003F49FD" w:rsidRPr="006E19B8">
              <w:rPr>
                <w:rFonts w:ascii="Tahoma" w:hAnsi="Tahoma" w:cs="Tahoma"/>
                <w:b/>
                <w:bCs/>
                <w:sz w:val="24"/>
                <w:szCs w:val="24"/>
              </w:rPr>
              <w:t>1</w:t>
            </w:r>
            <w:r w:rsidRPr="006E19B8">
              <w:rPr>
                <w:rFonts w:ascii="Tahoma" w:hAnsi="Tahoma" w:cs="Tahoma"/>
                <w:b/>
                <w:bCs/>
                <w:sz w:val="24"/>
                <w:szCs w:val="24"/>
              </w:rPr>
              <w:t>: Alerta Verde</w:t>
            </w:r>
          </w:p>
          <w:p w:rsidR="003F49FD" w:rsidRPr="006E19B8" w:rsidRDefault="003F49FD" w:rsidP="00FE551A">
            <w:pPr>
              <w:jc w:val="center"/>
              <w:rPr>
                <w:rFonts w:ascii="Tahoma" w:hAnsi="Tahoma" w:cs="Tahoma"/>
                <w:b/>
                <w:bCs/>
                <w:sz w:val="24"/>
                <w:szCs w:val="24"/>
              </w:rPr>
            </w:pPr>
            <w:r w:rsidRPr="006E19B8">
              <w:rPr>
                <w:rFonts w:ascii="Tahoma" w:hAnsi="Tahoma" w:cs="Tahoma"/>
                <w:b/>
                <w:bCs/>
                <w:sz w:val="24"/>
                <w:szCs w:val="24"/>
              </w:rPr>
              <w:t>Grado de riesgo: bajo.</w:t>
            </w:r>
          </w:p>
          <w:p w:rsidR="003F49FD" w:rsidRPr="006E19B8" w:rsidRDefault="003F49FD" w:rsidP="00FE551A">
            <w:pPr>
              <w:jc w:val="center"/>
              <w:rPr>
                <w:rFonts w:ascii="Tahoma" w:hAnsi="Tahoma" w:cs="Tahoma"/>
                <w:b/>
                <w:bCs/>
                <w:sz w:val="24"/>
                <w:szCs w:val="24"/>
              </w:rPr>
            </w:pPr>
          </w:p>
          <w:p w:rsidR="003F49FD" w:rsidRDefault="003F49FD" w:rsidP="00FE551A">
            <w:pPr>
              <w:rPr>
                <w:rFonts w:ascii="Tahoma" w:hAnsi="Tahoma" w:cs="Tahoma"/>
                <w:sz w:val="24"/>
                <w:szCs w:val="24"/>
                <w:u w:val="single"/>
              </w:rPr>
            </w:pPr>
            <w:r w:rsidRPr="006E19B8">
              <w:rPr>
                <w:rFonts w:ascii="Tahoma" w:hAnsi="Tahoma" w:cs="Tahoma"/>
                <w:sz w:val="24"/>
                <w:szCs w:val="24"/>
                <w:u w:val="single"/>
              </w:rPr>
              <w:t>Apertura normal del servicio tomando las medidas dictadas por el Ministerio de Salud.</w:t>
            </w:r>
          </w:p>
          <w:p w:rsidR="00255A71" w:rsidRDefault="00255A71" w:rsidP="00FE551A">
            <w:pPr>
              <w:rPr>
                <w:rFonts w:ascii="Tahoma" w:hAnsi="Tahoma" w:cs="Tahoma"/>
                <w:sz w:val="24"/>
                <w:szCs w:val="24"/>
                <w:u w:val="single"/>
              </w:rPr>
            </w:pPr>
          </w:p>
          <w:p w:rsidR="005E7102" w:rsidRDefault="005E7102" w:rsidP="005E7102">
            <w:pPr>
              <w:jc w:val="both"/>
              <w:rPr>
                <w:rFonts w:ascii="Tahoma" w:hAnsi="Tahoma" w:cs="Tahoma"/>
                <w:i/>
                <w:iCs/>
                <w:sz w:val="24"/>
                <w:szCs w:val="24"/>
              </w:rPr>
            </w:pPr>
            <w:r w:rsidRPr="006E19B8">
              <w:rPr>
                <w:rFonts w:ascii="Tahoma" w:eastAsia="Calibri" w:hAnsi="Tahoma" w:cs="Tahoma"/>
                <w:sz w:val="24"/>
                <w:szCs w:val="24"/>
                <w:lang w:eastAsia="es-CR"/>
              </w:rPr>
              <w:t xml:space="preserve">Circular N° 93-2020 </w:t>
            </w:r>
            <w:r w:rsidRPr="006E19B8">
              <w:rPr>
                <w:rFonts w:ascii="Tahoma" w:hAnsi="Tahoma" w:cs="Tahoma"/>
                <w:i/>
                <w:iCs/>
                <w:sz w:val="24"/>
                <w:szCs w:val="24"/>
              </w:rPr>
              <w:t>“Protocolo para la realización de audiencias orales por medios tecnológicos en materia civil.”</w:t>
            </w:r>
          </w:p>
          <w:p w:rsidR="005E7102" w:rsidRDefault="005E7102" w:rsidP="00CF236B">
            <w:pPr>
              <w:jc w:val="both"/>
              <w:rPr>
                <w:rFonts w:ascii="Tahoma" w:eastAsia="Calibri" w:hAnsi="Tahoma" w:cs="Tahoma"/>
                <w:sz w:val="24"/>
                <w:szCs w:val="24"/>
              </w:rPr>
            </w:pPr>
          </w:p>
          <w:p w:rsidR="00CF236B" w:rsidRPr="00D23EFE" w:rsidRDefault="00CF236B" w:rsidP="00CF236B">
            <w:pPr>
              <w:jc w:val="both"/>
              <w:rPr>
                <w:rFonts w:ascii="Tahoma" w:hAnsi="Tahoma" w:cs="Tahoma"/>
                <w:i/>
                <w:iCs/>
                <w:color w:val="000000"/>
                <w:sz w:val="24"/>
                <w:szCs w:val="24"/>
                <w:lang w:eastAsia="es-CR"/>
              </w:rPr>
            </w:pPr>
            <w:r w:rsidRPr="000A7FFD">
              <w:rPr>
                <w:rFonts w:ascii="Tahoma" w:eastAsia="Calibri" w:hAnsi="Tahoma" w:cs="Tahoma"/>
                <w:sz w:val="24"/>
                <w:szCs w:val="24"/>
              </w:rPr>
              <w:t xml:space="preserve">Circular N° 97-2020 </w:t>
            </w:r>
            <w:r w:rsidRPr="005C3F49">
              <w:rPr>
                <w:rFonts w:ascii="Tahoma" w:eastAsia="Calibri" w:hAnsi="Tahoma" w:cs="Tahoma"/>
                <w:i/>
                <w:iCs/>
                <w:sz w:val="24"/>
                <w:szCs w:val="24"/>
              </w:rPr>
              <w:t>“Protocolos para la utilización de salas de juicio, ingreso de personas usuarias y limpieza de áreas.”</w:t>
            </w:r>
          </w:p>
          <w:p w:rsidR="00CF236B" w:rsidRDefault="00CF236B" w:rsidP="00255A71">
            <w:pPr>
              <w:jc w:val="both"/>
              <w:rPr>
                <w:rFonts w:ascii="Tahoma" w:hAnsi="Tahoma" w:cs="Tahoma"/>
                <w:sz w:val="24"/>
                <w:szCs w:val="24"/>
              </w:rPr>
            </w:pPr>
          </w:p>
          <w:p w:rsidR="00255A71" w:rsidRDefault="00255A71" w:rsidP="00255A71">
            <w:pPr>
              <w:jc w:val="both"/>
              <w:rPr>
                <w:rFonts w:ascii="Tahoma" w:hAnsi="Tahoma" w:cs="Tahoma"/>
                <w:i/>
                <w:iCs/>
                <w:color w:val="000000"/>
                <w:sz w:val="24"/>
                <w:szCs w:val="24"/>
                <w:lang w:eastAsia="es-CR"/>
              </w:rPr>
            </w:pPr>
            <w:r w:rsidRPr="00196173">
              <w:rPr>
                <w:rFonts w:ascii="Tahoma" w:hAnsi="Tahoma" w:cs="Tahoma"/>
                <w:sz w:val="24"/>
                <w:szCs w:val="24"/>
              </w:rPr>
              <w:t>C</w:t>
            </w:r>
            <w:r w:rsidR="00A13B03">
              <w:rPr>
                <w:rFonts w:ascii="Tahoma" w:hAnsi="Tahoma" w:cs="Tahoma"/>
                <w:sz w:val="24"/>
                <w:szCs w:val="24"/>
              </w:rPr>
              <w:t>ircular</w:t>
            </w:r>
            <w:r w:rsidRPr="00196173">
              <w:rPr>
                <w:rFonts w:ascii="Tahoma" w:hAnsi="Tahoma" w:cs="Tahoma"/>
                <w:sz w:val="24"/>
                <w:szCs w:val="24"/>
              </w:rPr>
              <w:t xml:space="preserve"> N° 244-2020</w:t>
            </w:r>
            <w:r w:rsidRPr="00C94CBC">
              <w:rPr>
                <w:rFonts w:ascii="Tahoma" w:hAnsi="Tahoma" w:cs="Tahoma"/>
                <w:b/>
                <w:bCs/>
                <w:color w:val="000000"/>
                <w:sz w:val="24"/>
                <w:szCs w:val="24"/>
                <w:lang w:eastAsia="es-CR"/>
              </w:rPr>
              <w:t xml:space="preserve"> </w:t>
            </w:r>
            <w:r w:rsidR="008F49FC" w:rsidRPr="008F49FC">
              <w:rPr>
                <w:rFonts w:ascii="Tahoma" w:hAnsi="Tahoma" w:cs="Tahoma"/>
                <w:b/>
                <w:bCs/>
                <w:i/>
                <w:iCs/>
                <w:color w:val="000000"/>
                <w:sz w:val="24"/>
                <w:szCs w:val="24"/>
                <w:lang w:eastAsia="es-CR"/>
              </w:rPr>
              <w:t>“</w:t>
            </w:r>
            <w:r w:rsidRPr="008F49FC">
              <w:rPr>
                <w:rFonts w:ascii="Tahoma" w:hAnsi="Tahoma" w:cs="Tahoma"/>
                <w:i/>
                <w:iCs/>
                <w:color w:val="000000"/>
                <w:sz w:val="24"/>
                <w:szCs w:val="24"/>
                <w:lang w:eastAsia="es-CR"/>
              </w:rPr>
              <w:t>Acuerdo de Corte Plena. Sesión N° 64-2020 del 26 de octubre de 2020,</w:t>
            </w:r>
            <w:r w:rsidRPr="008F49FC">
              <w:rPr>
                <w:rFonts w:ascii="Tahoma" w:hAnsi="Tahoma" w:cs="Tahoma"/>
                <w:b/>
                <w:bCs/>
                <w:i/>
                <w:iCs/>
                <w:color w:val="000000"/>
                <w:sz w:val="24"/>
                <w:szCs w:val="24"/>
                <w:lang w:eastAsia="es-CR"/>
              </w:rPr>
              <w:t xml:space="preserve"> </w:t>
            </w:r>
            <w:r w:rsidRPr="008F49FC">
              <w:rPr>
                <w:rFonts w:ascii="Tahoma" w:hAnsi="Tahoma" w:cs="Tahoma"/>
                <w:i/>
                <w:iCs/>
                <w:color w:val="000000"/>
                <w:sz w:val="24"/>
                <w:szCs w:val="24"/>
                <w:lang w:eastAsia="es-CR"/>
              </w:rPr>
              <w:t>en atención a la declaratoria de emergencia nacional, debido a la situación de emergencia sanitaria provocada por la enfermedad COVID-19</w:t>
            </w:r>
            <w:r w:rsidR="008F49FC" w:rsidRPr="008F49FC">
              <w:rPr>
                <w:rFonts w:ascii="Tahoma" w:hAnsi="Tahoma" w:cs="Tahoma"/>
                <w:i/>
                <w:iCs/>
                <w:color w:val="000000"/>
                <w:sz w:val="24"/>
                <w:szCs w:val="24"/>
                <w:lang w:eastAsia="es-CR"/>
              </w:rPr>
              <w:t>”</w:t>
            </w:r>
          </w:p>
          <w:p w:rsidR="007B4CBB" w:rsidRDefault="007B4CBB" w:rsidP="00255A71">
            <w:pPr>
              <w:jc w:val="both"/>
              <w:rPr>
                <w:rFonts w:ascii="Tahoma" w:hAnsi="Tahoma" w:cs="Tahoma"/>
                <w:b/>
                <w:bCs/>
                <w:i/>
                <w:iCs/>
                <w:color w:val="000000"/>
                <w:sz w:val="24"/>
                <w:szCs w:val="24"/>
                <w:u w:val="single"/>
                <w:lang w:eastAsia="es-CR"/>
              </w:rPr>
            </w:pPr>
          </w:p>
          <w:p w:rsidR="007B4CBB" w:rsidRDefault="007B4CBB" w:rsidP="007B4CBB">
            <w:pPr>
              <w:jc w:val="both"/>
              <w:rPr>
                <w:rFonts w:ascii="Tahoma" w:hAnsi="Tahoma" w:cs="Tahoma"/>
                <w:i/>
                <w:iCs/>
                <w:color w:val="000000"/>
                <w:sz w:val="24"/>
                <w:szCs w:val="24"/>
                <w:lang w:eastAsia="es-CR"/>
              </w:rPr>
            </w:pPr>
            <w:r w:rsidRPr="00252DE5">
              <w:rPr>
                <w:rFonts w:ascii="Tahoma" w:hAnsi="Tahoma" w:cs="Tahoma"/>
                <w:color w:val="000000"/>
                <w:sz w:val="24"/>
                <w:szCs w:val="24"/>
                <w:lang w:eastAsia="es-CR"/>
              </w:rPr>
              <w:t>Circular N° 254-2020</w:t>
            </w:r>
            <w:r w:rsidRPr="001D3F24">
              <w:rPr>
                <w:rFonts w:ascii="Tahoma" w:hAnsi="Tahoma" w:cs="Tahoma"/>
                <w:i/>
                <w:iCs/>
                <w:color w:val="000000"/>
                <w:sz w:val="24"/>
                <w:szCs w:val="24"/>
                <w:lang w:eastAsia="es-CR"/>
              </w:rPr>
              <w:t xml:space="preserve"> “Protocolos que se requieren con motivo del abordaje de la emergencia nacional presentada por COVID-19</w:t>
            </w:r>
            <w:r>
              <w:rPr>
                <w:rFonts w:ascii="Tahoma" w:hAnsi="Tahoma" w:cs="Tahoma"/>
                <w:i/>
                <w:iCs/>
                <w:color w:val="000000"/>
                <w:sz w:val="24"/>
                <w:szCs w:val="24"/>
                <w:lang w:eastAsia="es-CR"/>
              </w:rPr>
              <w:t>.”</w:t>
            </w:r>
          </w:p>
          <w:p w:rsidR="007B4CBB" w:rsidRPr="008F49FC" w:rsidRDefault="007B4CBB" w:rsidP="00255A71">
            <w:pPr>
              <w:jc w:val="both"/>
              <w:rPr>
                <w:rFonts w:ascii="Tahoma" w:hAnsi="Tahoma" w:cs="Tahoma"/>
                <w:b/>
                <w:bCs/>
                <w:i/>
                <w:iCs/>
                <w:color w:val="000000"/>
                <w:sz w:val="24"/>
                <w:szCs w:val="24"/>
                <w:u w:val="single"/>
                <w:lang w:eastAsia="es-CR"/>
              </w:rPr>
            </w:pPr>
          </w:p>
          <w:p w:rsidR="00255A71" w:rsidRPr="006E19B8" w:rsidRDefault="005E7102" w:rsidP="00085509">
            <w:pPr>
              <w:jc w:val="center"/>
              <w:rPr>
                <w:rFonts w:ascii="Tahoma" w:hAnsi="Tahoma" w:cs="Tahoma"/>
                <w:sz w:val="24"/>
                <w:szCs w:val="24"/>
                <w:u w:val="single"/>
              </w:rPr>
            </w:pPr>
            <w:r w:rsidRPr="006E19B8">
              <w:rPr>
                <w:rFonts w:ascii="Tahoma" w:eastAsia="Times New Roman" w:hAnsi="Tahoma" w:cs="Tahoma"/>
                <w:sz w:val="24"/>
                <w:szCs w:val="24"/>
                <w:lang w:eastAsia="zh-CN" w:bidi="hi-IN"/>
              </w:rPr>
              <w:object w:dxaOrig="2117" w:dyaOrig="1383" w14:anchorId="03F89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69pt" o:ole="">
                  <v:imagedata r:id="rId21" o:title=""/>
                </v:shape>
                <o:OLEObject Type="Embed" ProgID="Word.Document.12" ShapeID="_x0000_i1025" DrawAspect="Icon" ObjectID="_1672118015" r:id="rId22">
                  <o:FieldCodes>\s</o:FieldCodes>
                </o:OLEObject>
              </w:object>
            </w:r>
            <w:r w:rsidR="00572E6D" w:rsidRPr="006C2CE9">
              <w:rPr>
                <w:b/>
                <w:bCs/>
              </w:rPr>
              <w:object w:dxaOrig="1508" w:dyaOrig="983" w14:anchorId="634C084C">
                <v:shape id="_x0000_i1026" type="#_x0000_t75" style="width:75pt;height:48.75pt" o:ole="">
                  <v:imagedata r:id="rId23" o:title=""/>
                </v:shape>
                <o:OLEObject Type="Embed" ProgID="Word.Document.12" ShapeID="_x0000_i1026" DrawAspect="Icon" ObjectID="_1672118016" r:id="rId24">
                  <o:FieldCodes>\s</o:FieldCodes>
                </o:OLEObject>
              </w:object>
            </w:r>
            <w:bookmarkStart w:id="1" w:name="_MON_1666510039"/>
            <w:bookmarkEnd w:id="1"/>
            <w:r w:rsidR="00085509">
              <w:rPr>
                <w:rFonts w:ascii="Tahoma" w:hAnsi="Tahoma" w:cs="Tahoma"/>
                <w:sz w:val="24"/>
                <w:szCs w:val="24"/>
              </w:rPr>
              <w:object w:dxaOrig="1537" w:dyaOrig="997" w14:anchorId="50C7DAB2">
                <v:shape id="_x0000_i1027" type="#_x0000_t75" style="width:76.5pt;height:50.25pt" o:ole="">
                  <v:imagedata r:id="rId25" o:title=""/>
                </v:shape>
                <o:OLEObject Type="Embed" ProgID="Word.Document.12" ShapeID="_x0000_i1027" DrawAspect="Icon" ObjectID="_1672118017" r:id="rId26">
                  <o:FieldCodes>\s</o:FieldCodes>
                </o:OLEObject>
              </w:object>
            </w:r>
            <w:r w:rsidRPr="006C2CE9">
              <w:rPr>
                <w:b/>
                <w:bCs/>
              </w:rPr>
              <w:object w:dxaOrig="1508" w:dyaOrig="983" w14:anchorId="6FAC36C1">
                <v:shape id="_x0000_i1028" type="#_x0000_t75" style="width:75pt;height:48.75pt" o:ole="">
                  <v:imagedata r:id="rId27" o:title=""/>
                </v:shape>
                <o:OLEObject Type="Embed" ProgID="Word.Document.12" ShapeID="_x0000_i1028" DrawAspect="Icon" ObjectID="_1672118018" r:id="rId28">
                  <o:FieldCodes>\s</o:FieldCodes>
                </o:OLEObject>
              </w:object>
            </w:r>
          </w:p>
          <w:p w:rsidR="009467EA" w:rsidRPr="006E19B8" w:rsidRDefault="009467EA" w:rsidP="00085509">
            <w:pPr>
              <w:pStyle w:val="Prrafodelista"/>
              <w:jc w:val="center"/>
              <w:rPr>
                <w:rFonts w:ascii="Tahoma" w:hAnsi="Tahoma" w:cs="Tahoma"/>
                <w:sz w:val="24"/>
                <w:szCs w:val="24"/>
              </w:rPr>
            </w:pPr>
          </w:p>
          <w:p w:rsidR="009467EA" w:rsidRPr="006E19B8" w:rsidRDefault="009467EA" w:rsidP="00085509">
            <w:pPr>
              <w:jc w:val="center"/>
              <w:rPr>
                <w:rFonts w:ascii="Tahoma" w:hAnsi="Tahoma" w:cs="Tahoma"/>
                <w:b/>
                <w:bCs/>
                <w:sz w:val="24"/>
                <w:szCs w:val="24"/>
              </w:rPr>
            </w:pPr>
          </w:p>
          <w:p w:rsidR="009467EA" w:rsidRPr="006E19B8" w:rsidRDefault="009467EA" w:rsidP="00085509">
            <w:pPr>
              <w:jc w:val="center"/>
              <w:rPr>
                <w:rFonts w:ascii="Tahoma" w:hAnsi="Tahoma" w:cs="Tahoma"/>
                <w:b/>
                <w:bCs/>
                <w:sz w:val="24"/>
                <w:szCs w:val="24"/>
              </w:rPr>
            </w:pPr>
          </w:p>
          <w:p w:rsidR="009467EA" w:rsidRPr="006E19B8" w:rsidRDefault="009467EA" w:rsidP="009467EA">
            <w:pPr>
              <w:jc w:val="center"/>
              <w:rPr>
                <w:rFonts w:ascii="Tahoma" w:hAnsi="Tahoma" w:cs="Tahoma"/>
                <w:b/>
                <w:bCs/>
                <w:sz w:val="24"/>
                <w:szCs w:val="24"/>
              </w:rPr>
            </w:pP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sz w:val="24"/>
                <w:szCs w:val="24"/>
              </w:rPr>
            </w:pPr>
          </w:p>
        </w:tc>
        <w:tc>
          <w:tcPr>
            <w:tcW w:w="5528" w:type="dxa"/>
            <w:shd w:val="clear" w:color="auto" w:fill="auto"/>
          </w:tcPr>
          <w:p w:rsidR="009467EA" w:rsidRPr="004E1DC2" w:rsidRDefault="009467EA" w:rsidP="009467EA">
            <w:pPr>
              <w:spacing w:before="100" w:beforeAutospacing="1" w:after="160" w:line="256" w:lineRule="auto"/>
              <w:jc w:val="both"/>
              <w:rPr>
                <w:rFonts w:ascii="Tahoma" w:eastAsia="Calibri" w:hAnsi="Tahoma" w:cs="Tahoma"/>
                <w:b/>
                <w:bCs/>
                <w:sz w:val="24"/>
                <w:szCs w:val="24"/>
                <w:lang w:eastAsia="es-CR"/>
              </w:rPr>
            </w:pPr>
            <w:r w:rsidRPr="004E1DC2">
              <w:rPr>
                <w:rFonts w:ascii="Tahoma" w:eastAsia="Calibri" w:hAnsi="Tahoma" w:cs="Tahoma"/>
                <w:b/>
                <w:bCs/>
                <w:color w:val="000000"/>
                <w:sz w:val="24"/>
                <w:szCs w:val="24"/>
                <w:lang w:eastAsia="es-CR"/>
              </w:rPr>
              <w:t xml:space="preserve">1.1.- </w:t>
            </w:r>
            <w:r w:rsidRPr="004E1DC2">
              <w:rPr>
                <w:rFonts w:ascii="Tahoma" w:eastAsia="Calibri" w:hAnsi="Tahoma" w:cs="Tahoma"/>
                <w:b/>
                <w:bCs/>
                <w:sz w:val="24"/>
                <w:szCs w:val="24"/>
                <w:lang w:eastAsia="es-CR"/>
              </w:rPr>
              <w:t>Retorno de los Servidores y Funcionarios Judiciales a las Oficinas</w:t>
            </w:r>
          </w:p>
          <w:p w:rsidR="009467EA" w:rsidRPr="004E1DC2" w:rsidRDefault="009467EA" w:rsidP="009467EA">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b/>
                <w:bCs/>
                <w:sz w:val="24"/>
                <w:szCs w:val="24"/>
                <w:lang w:eastAsia="es-CR"/>
              </w:rPr>
              <w:t>1.1.1.-</w:t>
            </w:r>
            <w:r w:rsidRPr="004E1DC2">
              <w:rPr>
                <w:rFonts w:ascii="Tahoma" w:eastAsia="Calibri" w:hAnsi="Tahoma" w:cs="Tahoma"/>
                <w:sz w:val="24"/>
                <w:szCs w:val="24"/>
                <w:lang w:eastAsia="es-CR"/>
              </w:rPr>
              <w:t xml:space="preserve"> De conformidad con las disposiciones emitidas por el Ministerio de Salud, en complemento con las directrices emitidas tanto por el Consejo Superior y la Corte Plena, los funcionarios pueden regresar a las oficinas judiciales paulatinamente de conformidad con el espacio y riesgo que represente su regreso. En ese sentido, se propone que las oficinas que regresen a la normalidad sean aquellas que presenten las condiciones para mantener el distanciamiento entre los funcionarios que integran su grupo de trabajo. Por ello, cuando se cuente con espacio suficiente y las personas que ahí trabajan no presenten condiciones de riesgo que podrían afectar su salud, podrán comenzar con su retorno al lugar de trabajo.</w:t>
            </w:r>
          </w:p>
          <w:p w:rsidR="009467EA" w:rsidRPr="004E1DC2" w:rsidRDefault="009467EA" w:rsidP="009467EA">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b/>
                <w:bCs/>
                <w:sz w:val="24"/>
                <w:szCs w:val="24"/>
                <w:lang w:eastAsia="es-CR"/>
              </w:rPr>
              <w:t>1.1.2.-</w:t>
            </w:r>
            <w:r w:rsidRPr="004E1DC2">
              <w:rPr>
                <w:rFonts w:ascii="Tahoma" w:eastAsia="Calibri" w:hAnsi="Tahoma" w:cs="Tahoma"/>
                <w:sz w:val="24"/>
                <w:szCs w:val="24"/>
                <w:lang w:eastAsia="es-CR"/>
              </w:rPr>
              <w:t xml:space="preserve"> Cuando exista duda de si el espacio asignado cumple con las medidas de distanciamiento social requeridas, la jefatura del despacho en complemento con la Administración Regional del Circuito respectivo, solicitarán de previo al apersonamiento de los funcionarios, que el Departamento de Salud Ocupacional rinda informe sobre la idoneidad del inmueble para recibir a sus ocupantes y el límite de personas que podría admitirse según las medidas de distanciamiento social establecidas al momento. Igualmente, podrán valorarse otras medidas avaladas por el ente rector de salud en atención de la emergencia C</w:t>
            </w:r>
            <w:r w:rsidR="004E1DC2">
              <w:rPr>
                <w:rFonts w:ascii="Tahoma" w:eastAsia="Calibri" w:hAnsi="Tahoma" w:cs="Tahoma"/>
                <w:sz w:val="24"/>
                <w:szCs w:val="24"/>
                <w:lang w:eastAsia="es-CR"/>
              </w:rPr>
              <w:t>OVID</w:t>
            </w:r>
            <w:r w:rsidRPr="004E1DC2">
              <w:rPr>
                <w:rFonts w:ascii="Tahoma" w:eastAsia="Calibri" w:hAnsi="Tahoma" w:cs="Tahoma"/>
                <w:sz w:val="24"/>
                <w:szCs w:val="24"/>
                <w:lang w:eastAsia="es-CR"/>
              </w:rPr>
              <w:t xml:space="preserve"> 19, que incluya dispositivos como mascarillas, guantes, desinfectantes etc.</w:t>
            </w:r>
          </w:p>
          <w:p w:rsidR="009467EA" w:rsidRPr="004E1DC2" w:rsidRDefault="009467EA" w:rsidP="009467EA">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b/>
                <w:bCs/>
                <w:sz w:val="24"/>
                <w:szCs w:val="24"/>
                <w:lang w:eastAsia="es-CR"/>
              </w:rPr>
              <w:t>1.1.3.-</w:t>
            </w:r>
            <w:r w:rsidRPr="004E1DC2">
              <w:rPr>
                <w:rFonts w:ascii="Tahoma" w:eastAsia="Calibri" w:hAnsi="Tahoma" w:cs="Tahoma"/>
                <w:sz w:val="24"/>
                <w:szCs w:val="24"/>
                <w:lang w:eastAsia="es-CR"/>
              </w:rPr>
              <w:t xml:space="preserve"> </w:t>
            </w:r>
            <w:r w:rsidR="00DA522D" w:rsidRPr="004E1DC2">
              <w:rPr>
                <w:rFonts w:ascii="Tahoma" w:eastAsia="Calibri" w:hAnsi="Tahoma" w:cs="Tahoma"/>
                <w:sz w:val="24"/>
                <w:szCs w:val="24"/>
                <w:lang w:eastAsia="es-CR"/>
              </w:rPr>
              <w:t xml:space="preserve">Mantener la modalidad de teletrabajo según valoración </w:t>
            </w:r>
            <w:r w:rsidR="00E72C80" w:rsidRPr="004E1DC2">
              <w:rPr>
                <w:rFonts w:ascii="Tahoma" w:eastAsia="Calibri" w:hAnsi="Tahoma" w:cs="Tahoma"/>
                <w:sz w:val="24"/>
                <w:szCs w:val="24"/>
                <w:lang w:eastAsia="es-CR"/>
              </w:rPr>
              <w:t xml:space="preserve">previa </w:t>
            </w:r>
            <w:r w:rsidR="00DA522D" w:rsidRPr="004E1DC2">
              <w:rPr>
                <w:rFonts w:ascii="Tahoma" w:eastAsia="Calibri" w:hAnsi="Tahoma" w:cs="Tahoma"/>
                <w:sz w:val="24"/>
                <w:szCs w:val="24"/>
                <w:lang w:eastAsia="es-CR"/>
              </w:rPr>
              <w:t>de la jefatura</w:t>
            </w:r>
            <w:r w:rsidR="00347D32" w:rsidRPr="004E1DC2">
              <w:rPr>
                <w:rFonts w:ascii="Tahoma" w:eastAsia="Calibri" w:hAnsi="Tahoma" w:cs="Tahoma"/>
                <w:sz w:val="24"/>
                <w:szCs w:val="24"/>
                <w:lang w:eastAsia="es-CR"/>
              </w:rPr>
              <w:t xml:space="preserve"> del despacho</w:t>
            </w:r>
            <w:r w:rsidRPr="004E1DC2">
              <w:rPr>
                <w:rFonts w:ascii="Tahoma" w:eastAsia="Calibri" w:hAnsi="Tahoma" w:cs="Tahoma"/>
                <w:sz w:val="24"/>
                <w:szCs w:val="24"/>
                <w:lang w:eastAsia="es-CR"/>
              </w:rPr>
              <w:t xml:space="preserve">, </w:t>
            </w:r>
            <w:r w:rsidR="00254940" w:rsidRPr="004E1DC2">
              <w:rPr>
                <w:rFonts w:ascii="Tahoma" w:eastAsia="Calibri" w:hAnsi="Tahoma" w:cs="Tahoma"/>
                <w:sz w:val="24"/>
                <w:szCs w:val="24"/>
                <w:lang w:eastAsia="es-CR"/>
              </w:rPr>
              <w:t xml:space="preserve">priorizando las personas en condición </w:t>
            </w:r>
            <w:r w:rsidRPr="004E1DC2">
              <w:rPr>
                <w:rFonts w:ascii="Tahoma" w:eastAsia="Calibri" w:hAnsi="Tahoma" w:cs="Tahoma"/>
                <w:sz w:val="24"/>
                <w:szCs w:val="24"/>
                <w:lang w:eastAsia="es-CR"/>
              </w:rPr>
              <w:t>de riesgo</w:t>
            </w:r>
            <w:r w:rsidR="00F107B3" w:rsidRPr="004E1DC2">
              <w:rPr>
                <w:rFonts w:ascii="Tahoma" w:eastAsia="Calibri" w:hAnsi="Tahoma" w:cs="Tahoma"/>
                <w:sz w:val="24"/>
                <w:szCs w:val="24"/>
                <w:lang w:eastAsia="es-CR"/>
              </w:rPr>
              <w:t xml:space="preserve"> que cuenten con los requerimientos</w:t>
            </w:r>
            <w:r w:rsidR="00D77FCC" w:rsidRPr="004E1DC2">
              <w:rPr>
                <w:rFonts w:ascii="Tahoma" w:eastAsia="Calibri" w:hAnsi="Tahoma" w:cs="Tahoma"/>
                <w:sz w:val="24"/>
                <w:szCs w:val="24"/>
                <w:lang w:eastAsia="es-CR"/>
              </w:rPr>
              <w:t xml:space="preserve"> o condiciones óptimas para aplicar esta modalidad </w:t>
            </w:r>
            <w:r w:rsidR="005034FD" w:rsidRPr="004E1DC2">
              <w:rPr>
                <w:rFonts w:ascii="Tahoma" w:hAnsi="Tahoma" w:cs="Tahoma"/>
                <w:sz w:val="24"/>
                <w:szCs w:val="24"/>
              </w:rPr>
              <w:t>(equipo de cómputo propio, licencia informática VPN o VDI y demás requerimientos indicados por la Dirección de Tecnología de la Información) y cuya función sea teletrabajable</w:t>
            </w:r>
            <w:r w:rsidRPr="004E1DC2">
              <w:rPr>
                <w:rFonts w:ascii="Tahoma" w:eastAsia="Calibri" w:hAnsi="Tahoma" w:cs="Tahoma"/>
                <w:sz w:val="24"/>
                <w:szCs w:val="24"/>
                <w:lang w:eastAsia="es-CR"/>
              </w:rPr>
              <w:t>.</w:t>
            </w:r>
          </w:p>
          <w:p w:rsidR="009467EA" w:rsidRPr="004E1DC2" w:rsidRDefault="009467EA" w:rsidP="004E1DC2">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b/>
                <w:bCs/>
                <w:sz w:val="24"/>
                <w:szCs w:val="24"/>
                <w:lang w:eastAsia="es-CR"/>
              </w:rPr>
              <w:t>1.1.4.-</w:t>
            </w:r>
            <w:r w:rsidRPr="004E1DC2">
              <w:rPr>
                <w:rFonts w:ascii="Tahoma" w:eastAsia="Calibri" w:hAnsi="Tahoma" w:cs="Tahoma"/>
                <w:sz w:val="24"/>
                <w:szCs w:val="24"/>
                <w:lang w:eastAsia="es-CR"/>
              </w:rPr>
              <w:t xml:space="preserve"> En los casos excepcionales en que, por las características o funciones del despacho, no se pueda cumplir con la regulación de cantidad máxima de presencia de personas en un mismo despacho u oficina, deberá solicitarse al</w:t>
            </w:r>
            <w:r w:rsidR="00A36728" w:rsidRPr="004E1DC2">
              <w:rPr>
                <w:rFonts w:ascii="Tahoma" w:eastAsia="Calibri" w:hAnsi="Tahoma" w:cs="Tahoma"/>
                <w:sz w:val="24"/>
                <w:szCs w:val="24"/>
                <w:lang w:eastAsia="es-CR"/>
              </w:rPr>
              <w:t xml:space="preserve"> Centro de Apoyo, Coordinación y Mejoramiento de la Función Jurisdiccional (CACMFJ)</w:t>
            </w:r>
            <w:r w:rsidRPr="004E1DC2">
              <w:rPr>
                <w:rFonts w:ascii="Tahoma" w:eastAsia="Calibri" w:hAnsi="Tahoma" w:cs="Tahoma"/>
                <w:sz w:val="24"/>
                <w:szCs w:val="24"/>
                <w:lang w:eastAsia="es-CR"/>
              </w:rPr>
              <w:t xml:space="preserve"> la debida autorización de cambio de jornada</w:t>
            </w:r>
            <w:r w:rsidR="004E1DC2" w:rsidRPr="004E1DC2">
              <w:rPr>
                <w:rFonts w:ascii="Tahoma" w:eastAsia="Calibri" w:hAnsi="Tahoma" w:cs="Tahoma"/>
                <w:sz w:val="24"/>
                <w:szCs w:val="24"/>
                <w:lang w:eastAsia="es-CR"/>
              </w:rPr>
              <w:t xml:space="preserve">. </w:t>
            </w:r>
          </w:p>
          <w:p w:rsidR="009467EA" w:rsidRPr="004E1DC2" w:rsidRDefault="009467EA" w:rsidP="009467EA">
            <w:pPr>
              <w:spacing w:before="100" w:beforeAutospacing="1" w:after="160" w:line="256" w:lineRule="auto"/>
              <w:rPr>
                <w:rFonts w:ascii="Tahoma" w:eastAsia="Calibri" w:hAnsi="Tahoma" w:cs="Tahoma"/>
                <w:b/>
                <w:bCs/>
                <w:color w:val="000000"/>
                <w:sz w:val="24"/>
                <w:szCs w:val="24"/>
                <w:lang w:eastAsia="es-CR"/>
              </w:rPr>
            </w:pPr>
            <w:r w:rsidRPr="004E1DC2">
              <w:rPr>
                <w:rFonts w:ascii="Tahoma" w:eastAsia="Calibri" w:hAnsi="Tahoma" w:cs="Tahoma"/>
                <w:b/>
                <w:bCs/>
                <w:color w:val="000000"/>
                <w:sz w:val="24"/>
                <w:szCs w:val="24"/>
                <w:lang w:eastAsia="es-CR"/>
              </w:rPr>
              <w:t>1.2.- Teletrabajo</w:t>
            </w:r>
          </w:p>
          <w:p w:rsidR="009467EA" w:rsidRPr="004E1DC2" w:rsidRDefault="009467EA" w:rsidP="009467EA">
            <w:pPr>
              <w:spacing w:before="100" w:beforeAutospacing="1" w:after="160" w:line="256" w:lineRule="auto"/>
              <w:contextualSpacing/>
              <w:jc w:val="both"/>
              <w:rPr>
                <w:rFonts w:ascii="Tahoma" w:eastAsia="Calibri" w:hAnsi="Tahoma" w:cs="Tahoma"/>
                <w:sz w:val="24"/>
                <w:szCs w:val="24"/>
                <w:lang w:eastAsia="es-CR"/>
              </w:rPr>
            </w:pPr>
            <w:r w:rsidRPr="004E1DC2">
              <w:rPr>
                <w:rFonts w:ascii="Tahoma" w:eastAsia="Calibri" w:hAnsi="Tahoma" w:cs="Tahoma"/>
                <w:b/>
                <w:bCs/>
                <w:sz w:val="24"/>
                <w:szCs w:val="24"/>
                <w:lang w:eastAsia="es-CR"/>
              </w:rPr>
              <w:t>1.2.1.</w:t>
            </w:r>
            <w:r w:rsidRPr="004E1DC2">
              <w:rPr>
                <w:rFonts w:ascii="Tahoma" w:eastAsia="Calibri" w:hAnsi="Tahoma" w:cs="Tahoma"/>
                <w:sz w:val="24"/>
                <w:szCs w:val="24"/>
                <w:lang w:eastAsia="es-CR"/>
              </w:rPr>
              <w:t xml:space="preserve"> Mantener el teletrabajo y trabajo presencial. El teletrabajo bajo las siguientes condiciones:  </w:t>
            </w:r>
          </w:p>
          <w:p w:rsidR="009467EA" w:rsidRPr="004E1DC2" w:rsidRDefault="009467EA" w:rsidP="009467EA">
            <w:pPr>
              <w:spacing w:before="100" w:beforeAutospacing="1" w:after="160" w:line="256" w:lineRule="auto"/>
              <w:ind w:left="720"/>
              <w:contextualSpacing/>
              <w:jc w:val="both"/>
              <w:rPr>
                <w:rFonts w:ascii="Tahoma" w:eastAsia="Calibri" w:hAnsi="Tahoma" w:cs="Tahoma"/>
                <w:sz w:val="24"/>
                <w:szCs w:val="24"/>
                <w:lang w:eastAsia="es-CR"/>
              </w:rPr>
            </w:pPr>
            <w:r w:rsidRPr="004E1DC2">
              <w:rPr>
                <w:rFonts w:ascii="Tahoma" w:eastAsia="Calibri" w:hAnsi="Tahoma" w:cs="Tahoma"/>
                <w:sz w:val="24"/>
                <w:szCs w:val="24"/>
                <w:lang w:eastAsia="es-CR"/>
              </w:rPr>
              <w:t xml:space="preserve"> </w:t>
            </w:r>
          </w:p>
          <w:p w:rsidR="009467EA" w:rsidRPr="004E1DC2" w:rsidRDefault="009467EA" w:rsidP="009467EA">
            <w:pPr>
              <w:numPr>
                <w:ilvl w:val="0"/>
                <w:numId w:val="42"/>
              </w:numPr>
              <w:spacing w:before="100" w:beforeAutospacing="1" w:after="160" w:line="256" w:lineRule="auto"/>
              <w:contextualSpacing/>
              <w:jc w:val="both"/>
              <w:rPr>
                <w:rFonts w:ascii="Tahoma" w:eastAsia="Calibri" w:hAnsi="Tahoma" w:cs="Tahoma"/>
                <w:sz w:val="24"/>
                <w:szCs w:val="24"/>
                <w:lang w:eastAsia="es-CR"/>
              </w:rPr>
            </w:pPr>
            <w:r w:rsidRPr="004E1DC2">
              <w:rPr>
                <w:rFonts w:ascii="Tahoma" w:eastAsia="Calibri" w:hAnsi="Tahoma" w:cs="Tahoma"/>
                <w:sz w:val="24"/>
                <w:szCs w:val="24"/>
                <w:lang w:eastAsia="es-CR"/>
              </w:rPr>
              <w:t>Mediante la utilización de licencias VPN en el caso del personal juzgador</w:t>
            </w:r>
            <w:r w:rsidR="00B04E07">
              <w:rPr>
                <w:rFonts w:ascii="Tahoma" w:eastAsia="Calibri" w:hAnsi="Tahoma" w:cs="Tahoma"/>
                <w:sz w:val="24"/>
                <w:szCs w:val="24"/>
                <w:lang w:eastAsia="es-CR"/>
              </w:rPr>
              <w:t xml:space="preserve"> que cuente con equipo institucional</w:t>
            </w:r>
            <w:r w:rsidR="00B10679">
              <w:rPr>
                <w:rFonts w:ascii="Tahoma" w:eastAsia="Calibri" w:hAnsi="Tahoma" w:cs="Tahoma"/>
                <w:sz w:val="24"/>
                <w:szCs w:val="24"/>
                <w:lang w:eastAsia="es-CR"/>
              </w:rPr>
              <w:t xml:space="preserve"> y VPN en el caso de</w:t>
            </w:r>
            <w:r w:rsidR="00B04E07">
              <w:rPr>
                <w:rFonts w:ascii="Tahoma" w:eastAsia="Calibri" w:hAnsi="Tahoma" w:cs="Tahoma"/>
                <w:sz w:val="24"/>
                <w:szCs w:val="24"/>
                <w:lang w:eastAsia="es-CR"/>
              </w:rPr>
              <w:t>l personal</w:t>
            </w:r>
            <w:r w:rsidR="00B10679">
              <w:rPr>
                <w:rFonts w:ascii="Tahoma" w:eastAsia="Calibri" w:hAnsi="Tahoma" w:cs="Tahoma"/>
                <w:sz w:val="24"/>
                <w:szCs w:val="24"/>
                <w:lang w:eastAsia="es-CR"/>
              </w:rPr>
              <w:t xml:space="preserve"> </w:t>
            </w:r>
            <w:r w:rsidR="00047703">
              <w:rPr>
                <w:rFonts w:ascii="Tahoma" w:eastAsia="Calibri" w:hAnsi="Tahoma" w:cs="Tahoma"/>
                <w:sz w:val="24"/>
                <w:szCs w:val="24"/>
                <w:lang w:eastAsia="es-CR"/>
              </w:rPr>
              <w:t xml:space="preserve">que cuente </w:t>
            </w:r>
            <w:r w:rsidR="008702AC">
              <w:rPr>
                <w:rFonts w:ascii="Tahoma" w:eastAsia="Calibri" w:hAnsi="Tahoma" w:cs="Tahoma"/>
                <w:sz w:val="24"/>
                <w:szCs w:val="24"/>
                <w:lang w:eastAsia="es-CR"/>
              </w:rPr>
              <w:t>con equipo de cómputo</w:t>
            </w:r>
            <w:r w:rsidR="00047703">
              <w:rPr>
                <w:rFonts w:ascii="Tahoma" w:eastAsia="Calibri" w:hAnsi="Tahoma" w:cs="Tahoma"/>
                <w:sz w:val="24"/>
                <w:szCs w:val="24"/>
                <w:lang w:eastAsia="es-CR"/>
              </w:rPr>
              <w:t xml:space="preserve"> personal</w:t>
            </w:r>
            <w:r w:rsidRPr="004E1DC2">
              <w:rPr>
                <w:rFonts w:ascii="Tahoma" w:eastAsia="Calibri" w:hAnsi="Tahoma" w:cs="Tahoma"/>
                <w:sz w:val="24"/>
                <w:szCs w:val="24"/>
                <w:lang w:eastAsia="es-CR"/>
              </w:rPr>
              <w:t xml:space="preserve">. </w:t>
            </w:r>
          </w:p>
          <w:p w:rsidR="009467EA" w:rsidRPr="004E1DC2" w:rsidRDefault="009467EA" w:rsidP="009467EA">
            <w:pPr>
              <w:spacing w:before="100" w:beforeAutospacing="1" w:after="160" w:line="256" w:lineRule="auto"/>
              <w:ind w:left="720"/>
              <w:contextualSpacing/>
              <w:jc w:val="both"/>
              <w:rPr>
                <w:rFonts w:ascii="Tahoma" w:eastAsia="Calibri" w:hAnsi="Tahoma" w:cs="Tahoma"/>
                <w:sz w:val="24"/>
                <w:szCs w:val="24"/>
                <w:lang w:eastAsia="es-CR"/>
              </w:rPr>
            </w:pPr>
            <w:r w:rsidRPr="004E1DC2">
              <w:rPr>
                <w:rFonts w:ascii="Tahoma" w:eastAsia="Calibri" w:hAnsi="Tahoma" w:cs="Tahoma"/>
                <w:sz w:val="24"/>
                <w:szCs w:val="24"/>
                <w:lang w:eastAsia="es-CR"/>
              </w:rPr>
              <w:t xml:space="preserve"> </w:t>
            </w:r>
          </w:p>
          <w:p w:rsidR="009467EA" w:rsidRPr="004E1DC2" w:rsidRDefault="009467EA" w:rsidP="009467EA">
            <w:pPr>
              <w:numPr>
                <w:ilvl w:val="0"/>
                <w:numId w:val="42"/>
              </w:numPr>
              <w:spacing w:before="100" w:beforeAutospacing="1" w:after="160" w:line="256" w:lineRule="auto"/>
              <w:contextualSpacing/>
              <w:jc w:val="both"/>
              <w:rPr>
                <w:rFonts w:ascii="Tahoma" w:eastAsia="Calibri" w:hAnsi="Tahoma" w:cs="Tahoma"/>
                <w:sz w:val="24"/>
                <w:szCs w:val="24"/>
                <w:lang w:eastAsia="es-CR"/>
              </w:rPr>
            </w:pPr>
            <w:r w:rsidRPr="004E1DC2">
              <w:rPr>
                <w:rFonts w:ascii="Tahoma" w:eastAsia="Calibri" w:hAnsi="Tahoma" w:cs="Tahoma"/>
                <w:sz w:val="24"/>
                <w:szCs w:val="24"/>
                <w:lang w:eastAsia="es-CR"/>
              </w:rPr>
              <w:t xml:space="preserve">Mediante la utilización de licencias VDI en el caso del personal Técnico Judicial y personal juzgador que no tiene asignado equipo institucional. </w:t>
            </w:r>
          </w:p>
          <w:p w:rsidR="009467EA" w:rsidRPr="004E1DC2" w:rsidRDefault="009467EA" w:rsidP="009467EA">
            <w:pPr>
              <w:spacing w:before="100" w:beforeAutospacing="1" w:after="160" w:line="256" w:lineRule="auto"/>
              <w:ind w:left="720"/>
              <w:contextualSpacing/>
              <w:jc w:val="both"/>
              <w:rPr>
                <w:rFonts w:ascii="Tahoma" w:eastAsia="Calibri" w:hAnsi="Tahoma" w:cs="Tahoma"/>
                <w:sz w:val="24"/>
                <w:szCs w:val="24"/>
                <w:lang w:eastAsia="es-CR"/>
              </w:rPr>
            </w:pPr>
            <w:r w:rsidRPr="004E1DC2">
              <w:rPr>
                <w:rFonts w:ascii="Tahoma" w:eastAsia="Calibri" w:hAnsi="Tahoma" w:cs="Tahoma"/>
                <w:sz w:val="24"/>
                <w:szCs w:val="24"/>
                <w:lang w:eastAsia="es-CR"/>
              </w:rPr>
              <w:t xml:space="preserve"> </w:t>
            </w:r>
          </w:p>
          <w:p w:rsidR="009467EA" w:rsidRPr="004E1DC2" w:rsidRDefault="009467EA" w:rsidP="009467EA">
            <w:pPr>
              <w:numPr>
                <w:ilvl w:val="0"/>
                <w:numId w:val="42"/>
              </w:numPr>
              <w:shd w:val="clear" w:color="auto" w:fill="FFFFFF" w:themeFill="background1"/>
              <w:spacing w:before="100" w:beforeAutospacing="1" w:after="160" w:line="256" w:lineRule="auto"/>
              <w:contextualSpacing/>
              <w:jc w:val="both"/>
              <w:rPr>
                <w:rFonts w:ascii="Tahoma" w:eastAsia="Calibri" w:hAnsi="Tahoma" w:cs="Tahoma"/>
                <w:sz w:val="24"/>
                <w:szCs w:val="24"/>
                <w:lang w:eastAsia="es-CR"/>
              </w:rPr>
            </w:pPr>
            <w:r w:rsidRPr="004E1DC2">
              <w:rPr>
                <w:rFonts w:ascii="Tahoma" w:eastAsia="Calibri" w:hAnsi="Tahoma" w:cs="Tahoma"/>
                <w:sz w:val="24"/>
                <w:szCs w:val="24"/>
                <w:lang w:eastAsia="es-CR"/>
              </w:rPr>
              <w:t xml:space="preserve">Descargando los expedientes electrónicos en los despachos, utilizando memorias flash conocidas como “llaves Maya” para el   almacenamiento o bien la plataforma en la nube </w:t>
            </w:r>
            <w:r w:rsidRPr="004E1DC2">
              <w:rPr>
                <w:rFonts w:ascii="Tahoma" w:eastAsia="Calibri" w:hAnsi="Tahoma" w:cs="Tahoma"/>
                <w:color w:val="000000"/>
                <w:sz w:val="24"/>
                <w:szCs w:val="24"/>
                <w:lang w:eastAsia="es-CR"/>
              </w:rPr>
              <w:t xml:space="preserve">de Microsoft </w:t>
            </w:r>
            <w:r w:rsidRPr="004E1DC2">
              <w:rPr>
                <w:rFonts w:ascii="Tahoma" w:eastAsia="Calibri" w:hAnsi="Tahoma" w:cs="Tahoma"/>
                <w:sz w:val="24"/>
                <w:szCs w:val="24"/>
                <w:lang w:eastAsia="es-CR"/>
              </w:rPr>
              <w:t xml:space="preserve">“OneDrive” y laborando en sus casas con equipo propio, para después proceder a incorporar las resoluciones presencialmente en el respectivo juzgado. </w:t>
            </w:r>
          </w:p>
          <w:p w:rsidR="009467EA" w:rsidRPr="004E1DC2" w:rsidRDefault="009467EA" w:rsidP="009467EA">
            <w:pPr>
              <w:spacing w:before="100" w:beforeAutospacing="1" w:after="160" w:line="256" w:lineRule="auto"/>
              <w:jc w:val="both"/>
              <w:rPr>
                <w:rFonts w:ascii="Tahoma" w:eastAsia="Calibri" w:hAnsi="Tahoma" w:cs="Tahoma"/>
                <w:b/>
                <w:bCs/>
                <w:sz w:val="24"/>
                <w:szCs w:val="24"/>
                <w:lang w:eastAsia="es-CR"/>
              </w:rPr>
            </w:pPr>
            <w:r w:rsidRPr="004E1DC2">
              <w:rPr>
                <w:rFonts w:ascii="Tahoma" w:eastAsia="Calibri" w:hAnsi="Tahoma" w:cs="Tahoma"/>
                <w:sz w:val="24"/>
                <w:szCs w:val="24"/>
                <w:lang w:eastAsia="es-CR"/>
              </w:rPr>
              <w:t xml:space="preserve"> </w:t>
            </w:r>
            <w:r w:rsidRPr="004E1DC2">
              <w:rPr>
                <w:rFonts w:ascii="Tahoma" w:eastAsia="Calibri" w:hAnsi="Tahoma" w:cs="Tahoma"/>
                <w:b/>
                <w:bCs/>
                <w:sz w:val="24"/>
                <w:szCs w:val="24"/>
                <w:lang w:eastAsia="es-CR"/>
              </w:rPr>
              <w:t>1.3.- Planes de trabajo</w:t>
            </w:r>
          </w:p>
          <w:p w:rsidR="009467EA" w:rsidRPr="004E1DC2" w:rsidRDefault="009467EA" w:rsidP="009467EA">
            <w:pPr>
              <w:spacing w:before="100" w:beforeAutospacing="1" w:after="160" w:line="256" w:lineRule="auto"/>
              <w:contextualSpacing/>
              <w:jc w:val="both"/>
              <w:rPr>
                <w:rFonts w:ascii="Tahoma" w:eastAsia="Calibri" w:hAnsi="Tahoma" w:cs="Tahoma"/>
                <w:sz w:val="24"/>
                <w:szCs w:val="24"/>
                <w:lang w:eastAsia="es-CR"/>
              </w:rPr>
            </w:pPr>
            <w:r w:rsidRPr="004E1DC2">
              <w:rPr>
                <w:rFonts w:ascii="Tahoma" w:eastAsia="Calibri" w:hAnsi="Tahoma" w:cs="Tahoma"/>
                <w:b/>
                <w:bCs/>
                <w:sz w:val="24"/>
                <w:szCs w:val="24"/>
                <w:lang w:eastAsia="es-CR"/>
              </w:rPr>
              <w:t>1.3.1.-</w:t>
            </w:r>
            <w:r w:rsidRPr="004E1DC2">
              <w:rPr>
                <w:rFonts w:ascii="Tahoma" w:eastAsia="Calibri" w:hAnsi="Tahoma" w:cs="Tahoma"/>
                <w:sz w:val="24"/>
                <w:szCs w:val="24"/>
                <w:lang w:eastAsia="es-CR"/>
              </w:rPr>
              <w:t xml:space="preserve"> Los despachos retornarán a los planes de trabajo ordinarios aprobados por el Consejo Superior para cada estructura, en cuanto a la resolución de expedientes electrónicos, híbridos o físicos, señalamientos para remate y celebración de remate, así como realización de giros, anotaciones en el SREM y cada una de las labores asignadas a cada puesto de trabajo.</w:t>
            </w:r>
          </w:p>
          <w:p w:rsidR="009467EA" w:rsidRPr="004E1DC2"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4E1DC2">
              <w:rPr>
                <w:rFonts w:ascii="Tahoma" w:eastAsia="Calibri" w:hAnsi="Tahoma" w:cs="Tahoma"/>
                <w:b/>
                <w:bCs/>
                <w:color w:val="000000"/>
                <w:sz w:val="24"/>
                <w:szCs w:val="24"/>
                <w:lang w:eastAsia="es-CR"/>
              </w:rPr>
              <w:t xml:space="preserve"> </w:t>
            </w:r>
          </w:p>
          <w:p w:rsidR="009467EA" w:rsidRPr="004E1DC2"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4E1DC2">
              <w:rPr>
                <w:rFonts w:ascii="Tahoma" w:eastAsia="Calibri" w:hAnsi="Tahoma" w:cs="Tahoma"/>
                <w:b/>
                <w:bCs/>
                <w:color w:val="000000"/>
                <w:sz w:val="24"/>
                <w:szCs w:val="24"/>
                <w:lang w:eastAsia="es-CR"/>
              </w:rPr>
              <w:t>1.4.- Pautas relacionadas a la celebración de audiencias:</w:t>
            </w:r>
          </w:p>
          <w:p w:rsidR="009467EA" w:rsidRPr="004E1DC2" w:rsidRDefault="009467EA" w:rsidP="009467EA">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b/>
                <w:bCs/>
                <w:sz w:val="24"/>
                <w:szCs w:val="24"/>
                <w:lang w:eastAsia="es-CR"/>
              </w:rPr>
              <w:t>1.4.1</w:t>
            </w:r>
            <w:r w:rsidRPr="004E1DC2">
              <w:rPr>
                <w:rFonts w:ascii="Tahoma" w:eastAsia="Calibri" w:hAnsi="Tahoma" w:cs="Tahoma"/>
                <w:sz w:val="24"/>
                <w:szCs w:val="24"/>
                <w:lang w:eastAsia="es-CR"/>
              </w:rPr>
              <w:t xml:space="preserve"> Se realizarán las audiencias </w:t>
            </w:r>
            <w:r w:rsidR="0075674A" w:rsidRPr="004E1DC2">
              <w:rPr>
                <w:rFonts w:ascii="Tahoma" w:eastAsia="Calibri" w:hAnsi="Tahoma" w:cs="Tahoma"/>
                <w:sz w:val="24"/>
                <w:szCs w:val="24"/>
                <w:lang w:eastAsia="es-CR"/>
              </w:rPr>
              <w:t xml:space="preserve">orales </w:t>
            </w:r>
            <w:r w:rsidR="0075674A" w:rsidRPr="004E1DC2">
              <w:rPr>
                <w:rFonts w:ascii="Tahoma" w:eastAsia="Calibri" w:hAnsi="Tahoma" w:cs="Tahoma"/>
                <w:i/>
                <w:iCs/>
                <w:sz w:val="24"/>
                <w:szCs w:val="24"/>
                <w:lang w:eastAsia="es-CR"/>
              </w:rPr>
              <w:t>por</w:t>
            </w:r>
            <w:r w:rsidRPr="004E1DC2">
              <w:rPr>
                <w:rFonts w:ascii="Tahoma" w:eastAsia="Calibri" w:hAnsi="Tahoma" w:cs="Tahoma"/>
                <w:i/>
                <w:iCs/>
                <w:sz w:val="24"/>
                <w:szCs w:val="24"/>
                <w:lang w:eastAsia="es-CR"/>
              </w:rPr>
              <w:t xml:space="preserve"> medios tecnológicos en aplicación del</w:t>
            </w:r>
            <w:r w:rsidRPr="004E1DC2">
              <w:rPr>
                <w:rFonts w:ascii="Tahoma" w:eastAsia="Calibri" w:hAnsi="Tahoma" w:cs="Tahoma"/>
                <w:sz w:val="24"/>
                <w:szCs w:val="24"/>
                <w:lang w:eastAsia="es-CR"/>
              </w:rPr>
              <w:t xml:space="preserve"> protocolo de audiencias orales por medios tecnológicos comunicado mediante circular 93-2020. </w:t>
            </w:r>
          </w:p>
          <w:p w:rsidR="009467EA" w:rsidRPr="004E1DC2" w:rsidRDefault="009467EA" w:rsidP="009467EA">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b/>
                <w:bCs/>
                <w:sz w:val="24"/>
                <w:szCs w:val="24"/>
                <w:lang w:eastAsia="es-CR"/>
              </w:rPr>
              <w:t xml:space="preserve">1.4.2. </w:t>
            </w:r>
            <w:r w:rsidRPr="004E1DC2">
              <w:rPr>
                <w:rFonts w:ascii="Tahoma" w:eastAsia="Calibri" w:hAnsi="Tahoma" w:cs="Tahoma"/>
                <w:sz w:val="24"/>
                <w:szCs w:val="24"/>
                <w:lang w:eastAsia="es-CR"/>
              </w:rPr>
              <w:t>En aquellos casos donde resulte posible, de conformidad con lo señalado por el Ministerio de Salud, Corte Plena, Consejo Superior y Comisión de Emergencias del Poder Judicial, podrán realizarse las audiencias presenciales, en observancia del</w:t>
            </w:r>
            <w:r w:rsidRPr="004E1DC2">
              <w:rPr>
                <w:rFonts w:ascii="Tahoma" w:eastAsia="Calibri" w:hAnsi="Tahoma" w:cs="Tahoma"/>
                <w:i/>
                <w:iCs/>
                <w:sz w:val="24"/>
                <w:szCs w:val="24"/>
                <w:lang w:eastAsia="es-CR"/>
              </w:rPr>
              <w:t xml:space="preserve"> protocolo para el uso de salas de juicio y audiencias con motivo del COVID-19 y protocolo de ingreso de persona usuaria a las instalaciones del Poder Judicial y para limpieza de áreas del COVID-19, </w:t>
            </w:r>
            <w:r w:rsidRPr="004E1DC2">
              <w:rPr>
                <w:rFonts w:ascii="Tahoma" w:eastAsia="Calibri" w:hAnsi="Tahoma" w:cs="Tahoma"/>
                <w:sz w:val="24"/>
                <w:szCs w:val="24"/>
                <w:lang w:eastAsia="es-CR"/>
              </w:rPr>
              <w:t xml:space="preserve">siempre y cuando se respeten las medidas de distanciamiento social, así como las normas de higiene y desinfección necesaria para la celebración de la audiencia, con la responsabilidad en cabeza del juez o tribunal que esté a cargo de practicar la diligencia. Deberán las jefaturas, coordinar con las Administraciones Regionales el acomodo de las salas de juicio, así como la demarcación de cada uno de los recintos, con el fin de cumplir con las medidas de distanciamiento, fijando el límite de personas que podrán estar de manera presencial. Para ello, se requerirá el estudio técnico del Departamento de Salud Ocupacional. </w:t>
            </w:r>
          </w:p>
          <w:p w:rsidR="009467EA" w:rsidRPr="004E1DC2" w:rsidRDefault="009467EA" w:rsidP="009467EA">
            <w:pPr>
              <w:spacing w:before="100" w:beforeAutospacing="1" w:after="160" w:line="256" w:lineRule="auto"/>
              <w:jc w:val="both"/>
              <w:rPr>
                <w:rFonts w:ascii="Tahoma" w:eastAsia="Calibri" w:hAnsi="Tahoma" w:cs="Tahoma"/>
                <w:sz w:val="24"/>
                <w:szCs w:val="24"/>
                <w:u w:val="single"/>
                <w:lang w:eastAsia="es-CR"/>
              </w:rPr>
            </w:pPr>
            <w:r w:rsidRPr="004E1DC2">
              <w:rPr>
                <w:rFonts w:ascii="Tahoma" w:eastAsia="Calibri" w:hAnsi="Tahoma" w:cs="Tahoma"/>
                <w:b/>
                <w:bCs/>
                <w:sz w:val="24"/>
                <w:szCs w:val="24"/>
                <w:lang w:eastAsia="es-CR"/>
              </w:rPr>
              <w:t>1.4.3.</w:t>
            </w:r>
            <w:r w:rsidRPr="004E1DC2">
              <w:rPr>
                <w:rFonts w:ascii="Tahoma" w:eastAsia="Calibri" w:hAnsi="Tahoma" w:cs="Tahoma"/>
                <w:sz w:val="24"/>
                <w:szCs w:val="24"/>
                <w:lang w:eastAsia="es-CR"/>
              </w:rPr>
              <w:tab/>
            </w:r>
            <w:r w:rsidRPr="004E1DC2">
              <w:rPr>
                <w:rFonts w:ascii="Tahoma" w:eastAsia="Calibri" w:hAnsi="Tahoma" w:cs="Tahoma"/>
                <w:b/>
                <w:bCs/>
                <w:sz w:val="24"/>
                <w:szCs w:val="24"/>
                <w:lang w:eastAsia="es-CR"/>
              </w:rPr>
              <w:t>Audiencias orales presenciales:</w:t>
            </w:r>
          </w:p>
          <w:p w:rsidR="009467EA" w:rsidRPr="004E1DC2" w:rsidRDefault="009467EA" w:rsidP="009467EA">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b/>
                <w:bCs/>
                <w:sz w:val="24"/>
                <w:szCs w:val="24"/>
                <w:lang w:eastAsia="es-CR"/>
              </w:rPr>
              <w:t xml:space="preserve">1.4.3.1. </w:t>
            </w:r>
            <w:r w:rsidRPr="004E1DC2">
              <w:rPr>
                <w:rFonts w:ascii="Tahoma" w:eastAsia="Calibri" w:hAnsi="Tahoma" w:cs="Tahoma"/>
                <w:sz w:val="24"/>
                <w:szCs w:val="24"/>
                <w:lang w:eastAsia="es-CR"/>
              </w:rPr>
              <w:t>En todos los casos, deberá existir una distancia mínima de metro punto ochenta centímetros entre cada persona participante.</w:t>
            </w:r>
          </w:p>
          <w:p w:rsidR="009467EA" w:rsidRPr="004E1DC2" w:rsidRDefault="009467EA" w:rsidP="009467EA">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b/>
                <w:bCs/>
                <w:sz w:val="24"/>
                <w:szCs w:val="24"/>
                <w:lang w:eastAsia="es-CR"/>
              </w:rPr>
              <w:t xml:space="preserve">1.4.3.2. </w:t>
            </w:r>
            <w:r w:rsidRPr="004E1DC2">
              <w:rPr>
                <w:rFonts w:ascii="Tahoma" w:eastAsia="Calibri" w:hAnsi="Tahoma" w:cs="Tahoma"/>
                <w:sz w:val="24"/>
                <w:szCs w:val="24"/>
                <w:lang w:eastAsia="es-CR"/>
              </w:rPr>
              <w:t>Los micrófonos deberán contar con algún material (por ejemplo: plástico) que permita su desecho posterior.</w:t>
            </w:r>
          </w:p>
          <w:p w:rsidR="009467EA" w:rsidRPr="004E1DC2" w:rsidRDefault="009467EA" w:rsidP="009467EA">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b/>
                <w:bCs/>
                <w:sz w:val="24"/>
                <w:szCs w:val="24"/>
                <w:lang w:eastAsia="es-CR"/>
              </w:rPr>
              <w:t xml:space="preserve">1.4.3.3. </w:t>
            </w:r>
            <w:r w:rsidRPr="004E1DC2">
              <w:rPr>
                <w:rFonts w:ascii="Tahoma" w:eastAsia="Calibri" w:hAnsi="Tahoma" w:cs="Tahoma"/>
                <w:sz w:val="24"/>
                <w:szCs w:val="24"/>
                <w:lang w:eastAsia="es-CR"/>
              </w:rPr>
              <w:t>Previo a iniciar cada audiencia y después de la misma, deberá limpiarse adecuadamente el lugar.</w:t>
            </w:r>
          </w:p>
          <w:p w:rsidR="009467EA" w:rsidRPr="004E1DC2" w:rsidRDefault="009467EA" w:rsidP="009467EA">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b/>
                <w:bCs/>
                <w:sz w:val="24"/>
                <w:szCs w:val="24"/>
                <w:lang w:eastAsia="es-CR"/>
              </w:rPr>
              <w:t>1.4.3.</w:t>
            </w:r>
            <w:r w:rsidR="00B32FA5">
              <w:rPr>
                <w:rFonts w:ascii="Tahoma" w:eastAsia="Calibri" w:hAnsi="Tahoma" w:cs="Tahoma"/>
                <w:b/>
                <w:bCs/>
                <w:sz w:val="24"/>
                <w:szCs w:val="24"/>
                <w:lang w:eastAsia="es-CR"/>
              </w:rPr>
              <w:t>4</w:t>
            </w:r>
            <w:r w:rsidRPr="004E1DC2">
              <w:rPr>
                <w:rFonts w:ascii="Tahoma" w:eastAsia="Calibri" w:hAnsi="Tahoma" w:cs="Tahoma"/>
                <w:b/>
                <w:bCs/>
                <w:sz w:val="24"/>
                <w:szCs w:val="24"/>
                <w:lang w:eastAsia="es-CR"/>
              </w:rPr>
              <w:t xml:space="preserve">. </w:t>
            </w:r>
            <w:r w:rsidRPr="004E1DC2">
              <w:rPr>
                <w:rFonts w:ascii="Tahoma" w:eastAsia="Calibri" w:hAnsi="Tahoma" w:cs="Tahoma"/>
                <w:sz w:val="24"/>
                <w:szCs w:val="24"/>
                <w:lang w:eastAsia="es-CR"/>
              </w:rPr>
              <w:t xml:space="preserve">Deberán realizar las audiencias conforme a los planes de trabajo aprobados para cada estructura. </w:t>
            </w:r>
          </w:p>
          <w:p w:rsidR="009467EA" w:rsidRPr="004E1DC2" w:rsidRDefault="009467EA" w:rsidP="009467EA">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b/>
                <w:bCs/>
                <w:sz w:val="24"/>
                <w:szCs w:val="24"/>
                <w:lang w:eastAsia="es-CR"/>
              </w:rPr>
              <w:t>1.4.3.</w:t>
            </w:r>
            <w:r w:rsidR="00B32FA5">
              <w:rPr>
                <w:rFonts w:ascii="Tahoma" w:eastAsia="Calibri" w:hAnsi="Tahoma" w:cs="Tahoma"/>
                <w:b/>
                <w:bCs/>
                <w:sz w:val="24"/>
                <w:szCs w:val="24"/>
                <w:lang w:eastAsia="es-CR"/>
              </w:rPr>
              <w:t>5</w:t>
            </w:r>
            <w:r w:rsidRPr="004E1DC2">
              <w:rPr>
                <w:rFonts w:ascii="Tahoma" w:eastAsia="Calibri" w:hAnsi="Tahoma" w:cs="Tahoma"/>
                <w:b/>
                <w:bCs/>
                <w:sz w:val="24"/>
                <w:szCs w:val="24"/>
                <w:lang w:eastAsia="es-CR"/>
              </w:rPr>
              <w:t xml:space="preserve">. </w:t>
            </w:r>
            <w:r w:rsidRPr="004E1DC2">
              <w:rPr>
                <w:rFonts w:ascii="Tahoma" w:eastAsia="Calibri" w:hAnsi="Tahoma" w:cs="Tahoma"/>
                <w:sz w:val="24"/>
                <w:szCs w:val="24"/>
                <w:lang w:eastAsia="es-CR"/>
              </w:rPr>
              <w:t>En caso de detectar alguna persona con síntomas, esta no ingresará a la sala. De ser necesario, se suspenderá la audiencia.</w:t>
            </w:r>
          </w:p>
          <w:p w:rsidR="009467EA" w:rsidRPr="004E1DC2" w:rsidRDefault="009467EA" w:rsidP="009467EA">
            <w:pPr>
              <w:spacing w:before="100" w:beforeAutospacing="1" w:after="160" w:line="256" w:lineRule="auto"/>
              <w:jc w:val="both"/>
              <w:rPr>
                <w:rFonts w:ascii="Tahoma" w:eastAsia="Calibri" w:hAnsi="Tahoma" w:cs="Tahoma"/>
                <w:sz w:val="24"/>
                <w:szCs w:val="24"/>
                <w:lang w:eastAsia="es-CR"/>
              </w:rPr>
            </w:pPr>
            <w:r w:rsidRPr="004E1DC2">
              <w:rPr>
                <w:rFonts w:ascii="Tahoma" w:eastAsia="Calibri" w:hAnsi="Tahoma" w:cs="Tahoma"/>
                <w:sz w:val="24"/>
                <w:szCs w:val="24"/>
                <w:lang w:eastAsia="es-CR"/>
              </w:rPr>
              <w:t xml:space="preserve"> </w:t>
            </w:r>
          </w:p>
          <w:p w:rsidR="009467EA" w:rsidRPr="004E1DC2" w:rsidRDefault="009467EA" w:rsidP="009467EA">
            <w:pPr>
              <w:spacing w:before="100" w:beforeAutospacing="1" w:after="160" w:line="256" w:lineRule="auto"/>
              <w:jc w:val="both"/>
              <w:rPr>
                <w:rFonts w:ascii="Tahoma" w:eastAsia="Calibri" w:hAnsi="Tahoma" w:cs="Tahoma"/>
                <w:b/>
                <w:bCs/>
                <w:sz w:val="24"/>
                <w:szCs w:val="24"/>
                <w:lang w:eastAsia="es-CR"/>
              </w:rPr>
            </w:pPr>
            <w:r w:rsidRPr="004E1DC2">
              <w:rPr>
                <w:rFonts w:ascii="Tahoma" w:eastAsia="Calibri" w:hAnsi="Tahoma" w:cs="Tahoma"/>
                <w:b/>
                <w:bCs/>
                <w:sz w:val="24"/>
                <w:szCs w:val="24"/>
                <w:lang w:eastAsia="es-CR"/>
              </w:rPr>
              <w:t xml:space="preserve">1.5.- Realización de Actividades Procesales Fuera del Recinto Judicial:  </w:t>
            </w:r>
          </w:p>
          <w:p w:rsidR="009467EA" w:rsidRPr="004E1DC2" w:rsidRDefault="001C7830" w:rsidP="009467EA">
            <w:pPr>
              <w:spacing w:before="100" w:beforeAutospacing="1" w:after="160" w:line="256" w:lineRule="auto"/>
              <w:jc w:val="both"/>
              <w:rPr>
                <w:rFonts w:ascii="Tahoma" w:eastAsia="Calibri" w:hAnsi="Tahoma" w:cs="Tahoma"/>
                <w:sz w:val="24"/>
                <w:szCs w:val="24"/>
                <w:lang w:eastAsia="es-CR"/>
              </w:rPr>
            </w:pPr>
            <w:r>
              <w:rPr>
                <w:rFonts w:ascii="Tahoma" w:eastAsia="Calibri" w:hAnsi="Tahoma" w:cs="Tahoma"/>
                <w:sz w:val="24"/>
                <w:szCs w:val="24"/>
                <w:lang w:eastAsia="es-CR"/>
              </w:rPr>
              <w:t>P</w:t>
            </w:r>
            <w:r w:rsidR="009467EA" w:rsidRPr="004E1DC2">
              <w:rPr>
                <w:rFonts w:ascii="Tahoma" w:eastAsia="Calibri" w:hAnsi="Tahoma" w:cs="Tahoma"/>
                <w:sz w:val="24"/>
                <w:szCs w:val="24"/>
                <w:lang w:eastAsia="es-CR"/>
              </w:rPr>
              <w:t xml:space="preserve">ara el caso de todos aquellas actividades que requieren realizar reconocimientos Judiciales, desalojos presenciales, apersonamiento de las autoridades judiciales al lugar del conflicto en el caso de los procesos sumarios Interdictales, allanamientos civiles, aseguramientos de bienes, o práctica de prueba en el lugar de los hechos que incluye la reconstrucción de hechos y cualquier otro asunto donde se requiera la salida de personal de la oficina, la persona o personas juzgadoras a cargo de la diligencia, deberán tomar las medidas correspondientes para que la misma sea llevada a cabo con el respeto a los protocolos fijados por el Ministerio de Salud y </w:t>
            </w:r>
            <w:r w:rsidR="00302017">
              <w:rPr>
                <w:rFonts w:ascii="Tahoma" w:eastAsia="Calibri" w:hAnsi="Tahoma" w:cs="Tahoma"/>
              </w:rPr>
              <w:t xml:space="preserve">lo dispuesto en el Protocolo </w:t>
            </w:r>
            <w:r w:rsidR="00302017" w:rsidRPr="009C445E">
              <w:rPr>
                <w:rFonts w:ascii="Tahoma" w:eastAsia="Calibri" w:hAnsi="Tahoma" w:cs="Tahoma"/>
                <w:i/>
                <w:iCs/>
              </w:rPr>
              <w:t>“DGH-011: Implementación de turnos de trabajo y lineamientos sanitarios para personas que efectúan labores fuera de instalaciones judiciales en el ámbito administrativo y jurisdiccional”</w:t>
            </w:r>
            <w:r w:rsidR="00302017">
              <w:rPr>
                <w:rFonts w:ascii="Tahoma" w:eastAsia="Calibri" w:hAnsi="Tahoma" w:cs="Tahoma"/>
              </w:rPr>
              <w:t xml:space="preserve"> </w:t>
            </w:r>
            <w:r w:rsidR="001D0572">
              <w:rPr>
                <w:rFonts w:ascii="Tahoma" w:eastAsia="Calibri" w:hAnsi="Tahoma" w:cs="Tahoma"/>
              </w:rPr>
              <w:t xml:space="preserve"> aprobado por el Consejo Superior y</w:t>
            </w:r>
            <w:r w:rsidR="00302017">
              <w:rPr>
                <w:rFonts w:ascii="Tahoma" w:eastAsia="Calibri" w:hAnsi="Tahoma" w:cs="Tahoma"/>
              </w:rPr>
              <w:t xml:space="preserve"> comunicado mediante la Circular 254-2020 de la Secretaría General de la Corte.</w:t>
            </w:r>
            <w:r w:rsidR="00BF6950">
              <w:rPr>
                <w:rFonts w:ascii="Tahoma" w:eastAsia="Calibri" w:hAnsi="Tahoma" w:cs="Tahoma"/>
              </w:rPr>
              <w:t xml:space="preserve"> </w:t>
            </w:r>
          </w:p>
          <w:p w:rsidR="009467EA" w:rsidRPr="000B5DA5" w:rsidRDefault="000B5DA5" w:rsidP="009467EA">
            <w:pPr>
              <w:jc w:val="both"/>
              <w:rPr>
                <w:rFonts w:ascii="Tahoma" w:eastAsia="Calibri" w:hAnsi="Tahoma" w:cs="Tahoma"/>
                <w:sz w:val="24"/>
                <w:szCs w:val="24"/>
                <w:lang w:eastAsia="es-CR"/>
              </w:rPr>
            </w:pPr>
            <w:r w:rsidRPr="00492CA0">
              <w:rPr>
                <w:rFonts w:ascii="Tahoma" w:eastAsia="Calibri" w:hAnsi="Tahoma" w:cs="Tahoma"/>
                <w:sz w:val="24"/>
                <w:szCs w:val="24"/>
                <w:lang w:eastAsia="es-CR"/>
              </w:rPr>
              <w:t>El personal judicial deberá adoptar las medidas necesarias de higiene que resulten aplicables en el lugar de trabajo</w:t>
            </w:r>
            <w:r>
              <w:rPr>
                <w:rFonts w:ascii="Tahoma" w:eastAsia="Calibri" w:hAnsi="Tahoma" w:cs="Tahoma"/>
                <w:sz w:val="24"/>
                <w:szCs w:val="24"/>
                <w:lang w:eastAsia="es-CR"/>
              </w:rPr>
              <w:t xml:space="preserve">, para cual deberá de tomarse en cuenta lo establecido en los Protocolos comunicados por las Circulares 97-2020 y 254-2020 de la Secretaría General de la Corte. </w:t>
            </w:r>
          </w:p>
        </w:tc>
      </w:tr>
      <w:tr w:rsidR="009467EA" w:rsidRPr="006E19B8" w:rsidTr="00A4754C">
        <w:tc>
          <w:tcPr>
            <w:tcW w:w="4254" w:type="dxa"/>
          </w:tcPr>
          <w:p w:rsidR="009467EA" w:rsidRPr="006E19B8" w:rsidRDefault="009467EA" w:rsidP="009467EA">
            <w:pPr>
              <w:jc w:val="both"/>
              <w:rPr>
                <w:rFonts w:ascii="Tahoma" w:hAnsi="Tahoma" w:cs="Tahoma"/>
                <w:b/>
                <w:bCs/>
                <w:sz w:val="24"/>
                <w:szCs w:val="24"/>
              </w:rPr>
            </w:pPr>
            <w:r w:rsidRPr="006E19B8">
              <w:rPr>
                <w:rFonts w:ascii="Tahoma" w:hAnsi="Tahoma" w:cs="Tahoma"/>
                <w:b/>
                <w:bCs/>
                <w:noProof/>
                <w:sz w:val="24"/>
                <w:szCs w:val="24"/>
              </w:rPr>
              <w:drawing>
                <wp:anchor distT="0" distB="0" distL="114300" distR="114300" simplePos="0" relativeHeight="251658240" behindDoc="1" locked="0" layoutInCell="1" allowOverlap="1" wp14:anchorId="5F86F6AB" wp14:editId="2B36A91A">
                  <wp:simplePos x="0" y="0"/>
                  <wp:positionH relativeFrom="column">
                    <wp:posOffset>950595</wp:posOffset>
                  </wp:positionH>
                  <wp:positionV relativeFrom="paragraph">
                    <wp:posOffset>17145</wp:posOffset>
                  </wp:positionV>
                  <wp:extent cx="1014730" cy="1064895"/>
                  <wp:effectExtent l="0" t="0" r="0" b="1905"/>
                  <wp:wrapTight wrapText="bothSides">
                    <wp:wrapPolygon edited="0">
                      <wp:start x="9327" y="0"/>
                      <wp:lineTo x="2433" y="2318"/>
                      <wp:lineTo x="811" y="3478"/>
                      <wp:lineTo x="0" y="10433"/>
                      <wp:lineTo x="0" y="11206"/>
                      <wp:lineTo x="811" y="19707"/>
                      <wp:lineTo x="9327" y="21252"/>
                      <wp:lineTo x="11760" y="21252"/>
                      <wp:lineTo x="12976" y="20866"/>
                      <wp:lineTo x="20275" y="19320"/>
                      <wp:lineTo x="21086" y="11592"/>
                      <wp:lineTo x="21086" y="3091"/>
                      <wp:lineTo x="19059" y="1932"/>
                      <wp:lineTo x="11760" y="0"/>
                      <wp:lineTo x="9327" y="0"/>
                    </wp:wrapPolygon>
                  </wp:wrapTight>
                  <wp:docPr id="20" name="Diagrama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b/>
                <w:bCs/>
                <w:sz w:val="24"/>
                <w:szCs w:val="24"/>
              </w:rPr>
            </w:pPr>
          </w:p>
          <w:p w:rsidR="009467EA" w:rsidRPr="006E19B8" w:rsidRDefault="009467EA" w:rsidP="009467EA">
            <w:pPr>
              <w:jc w:val="center"/>
              <w:rPr>
                <w:rFonts w:ascii="Tahoma" w:hAnsi="Tahoma" w:cs="Tahoma"/>
                <w:b/>
                <w:bCs/>
                <w:sz w:val="24"/>
                <w:szCs w:val="24"/>
              </w:rPr>
            </w:pPr>
            <w:r w:rsidRPr="006E19B8">
              <w:rPr>
                <w:rFonts w:ascii="Tahoma" w:hAnsi="Tahoma" w:cs="Tahoma"/>
                <w:b/>
                <w:bCs/>
                <w:sz w:val="24"/>
                <w:szCs w:val="24"/>
              </w:rPr>
              <w:t xml:space="preserve">Fase </w:t>
            </w:r>
            <w:r w:rsidR="00D87406" w:rsidRPr="006E19B8">
              <w:rPr>
                <w:rFonts w:ascii="Tahoma" w:hAnsi="Tahoma" w:cs="Tahoma"/>
                <w:b/>
                <w:bCs/>
                <w:sz w:val="24"/>
                <w:szCs w:val="24"/>
              </w:rPr>
              <w:t>2</w:t>
            </w:r>
            <w:r w:rsidRPr="006E19B8">
              <w:rPr>
                <w:rFonts w:ascii="Tahoma" w:hAnsi="Tahoma" w:cs="Tahoma"/>
                <w:b/>
                <w:bCs/>
                <w:sz w:val="24"/>
                <w:szCs w:val="24"/>
              </w:rPr>
              <w:t>: Alerta Amarilla</w:t>
            </w:r>
          </w:p>
          <w:p w:rsidR="00D87406" w:rsidRPr="006E19B8" w:rsidRDefault="00D87406" w:rsidP="00FE551A">
            <w:pPr>
              <w:jc w:val="center"/>
              <w:rPr>
                <w:rFonts w:ascii="Tahoma" w:hAnsi="Tahoma" w:cs="Tahoma"/>
                <w:b/>
                <w:bCs/>
                <w:sz w:val="24"/>
                <w:szCs w:val="24"/>
              </w:rPr>
            </w:pPr>
            <w:r w:rsidRPr="006E19B8">
              <w:rPr>
                <w:rFonts w:ascii="Tahoma" w:hAnsi="Tahoma" w:cs="Tahoma"/>
                <w:b/>
                <w:bCs/>
                <w:sz w:val="24"/>
                <w:szCs w:val="24"/>
              </w:rPr>
              <w:t>Grado de riesgo: moderado.</w:t>
            </w:r>
          </w:p>
          <w:p w:rsidR="009467EA" w:rsidRPr="006E19B8" w:rsidRDefault="009467EA" w:rsidP="009467EA">
            <w:pPr>
              <w:jc w:val="center"/>
              <w:rPr>
                <w:rFonts w:ascii="Tahoma" w:hAnsi="Tahoma" w:cs="Tahoma"/>
                <w:b/>
                <w:bCs/>
                <w:sz w:val="24"/>
                <w:szCs w:val="24"/>
              </w:rPr>
            </w:pPr>
          </w:p>
          <w:p w:rsidR="009467EA" w:rsidRPr="006E19B8" w:rsidRDefault="009467EA" w:rsidP="009467EA">
            <w:pPr>
              <w:jc w:val="both"/>
              <w:rPr>
                <w:rFonts w:ascii="Tahoma" w:hAnsi="Tahoma" w:cs="Tahoma"/>
                <w:sz w:val="24"/>
                <w:szCs w:val="24"/>
                <w:u w:val="single"/>
              </w:rPr>
            </w:pPr>
            <w:r w:rsidRPr="006E19B8">
              <w:rPr>
                <w:rFonts w:ascii="Tahoma" w:hAnsi="Tahoma" w:cs="Tahoma"/>
                <w:sz w:val="24"/>
                <w:szCs w:val="24"/>
                <w:u w:val="single"/>
              </w:rPr>
              <w:t>Regreso Paulatino a la normalidad.</w:t>
            </w:r>
          </w:p>
          <w:p w:rsidR="009467EA" w:rsidRPr="006E19B8" w:rsidRDefault="009467EA" w:rsidP="009467EA">
            <w:pPr>
              <w:jc w:val="center"/>
              <w:rPr>
                <w:rFonts w:ascii="Tahoma" w:hAnsi="Tahoma" w:cs="Tahoma"/>
                <w:b/>
                <w:bCs/>
                <w:sz w:val="24"/>
                <w:szCs w:val="24"/>
              </w:rPr>
            </w:pPr>
          </w:p>
          <w:p w:rsidR="009467EA" w:rsidRPr="006E19B8" w:rsidRDefault="009467EA" w:rsidP="009467EA">
            <w:pPr>
              <w:jc w:val="both"/>
              <w:rPr>
                <w:rFonts w:ascii="Tahoma" w:hAnsi="Tahoma" w:cs="Tahoma"/>
                <w:sz w:val="24"/>
                <w:szCs w:val="24"/>
              </w:rPr>
            </w:pPr>
          </w:p>
          <w:p w:rsidR="009467EA" w:rsidRPr="006E19B8" w:rsidRDefault="00D87406" w:rsidP="009467EA">
            <w:pPr>
              <w:jc w:val="both"/>
              <w:rPr>
                <w:rFonts w:ascii="Tahoma" w:hAnsi="Tahoma" w:cs="Tahoma"/>
                <w:sz w:val="24"/>
                <w:szCs w:val="24"/>
              </w:rPr>
            </w:pPr>
            <w:r w:rsidRPr="006E19B8">
              <w:rPr>
                <w:rFonts w:ascii="Tahoma" w:hAnsi="Tahoma" w:cs="Tahoma"/>
                <w:sz w:val="24"/>
                <w:szCs w:val="24"/>
              </w:rPr>
              <w:t>C</w:t>
            </w:r>
            <w:r w:rsidR="009467EA" w:rsidRPr="006E19B8">
              <w:rPr>
                <w:rFonts w:ascii="Tahoma" w:hAnsi="Tahoma" w:cs="Tahoma"/>
                <w:sz w:val="24"/>
                <w:szCs w:val="24"/>
              </w:rPr>
              <w:t xml:space="preserve">ircular </w:t>
            </w:r>
            <w:r w:rsidRPr="006E19B8">
              <w:rPr>
                <w:rFonts w:ascii="Tahoma" w:hAnsi="Tahoma" w:cs="Tahoma"/>
                <w:sz w:val="24"/>
                <w:szCs w:val="24"/>
              </w:rPr>
              <w:t>N°</w:t>
            </w:r>
            <w:r w:rsidR="009467EA" w:rsidRPr="006E19B8">
              <w:rPr>
                <w:rFonts w:ascii="Tahoma" w:hAnsi="Tahoma" w:cs="Tahoma"/>
                <w:sz w:val="24"/>
                <w:szCs w:val="24"/>
              </w:rPr>
              <w:t xml:space="preserve">66-2020, </w:t>
            </w:r>
            <w:r w:rsidR="009467EA" w:rsidRPr="006E19B8">
              <w:rPr>
                <w:rFonts w:ascii="Tahoma" w:hAnsi="Tahoma" w:cs="Tahoma"/>
                <w:i/>
                <w:iCs/>
                <w:sz w:val="24"/>
                <w:szCs w:val="24"/>
              </w:rPr>
              <w:t>“Marco regulatorio general para la tutela del derecho a la salud y la vida de las personas servidoras del Poder Judicial, personas usuarias y sus familias y garantizar la continuidad de los de servicios judiciales, con motivo de la emergencia sanitaria provocada por el virus COVID-19.”</w:t>
            </w:r>
            <w:r w:rsidR="009467EA" w:rsidRPr="006E19B8">
              <w:rPr>
                <w:rFonts w:ascii="Tahoma" w:hAnsi="Tahoma" w:cs="Tahoma"/>
                <w:sz w:val="24"/>
                <w:szCs w:val="24"/>
              </w:rPr>
              <w:t xml:space="preserve"> </w:t>
            </w:r>
          </w:p>
          <w:p w:rsidR="009467EA" w:rsidRPr="006E19B8" w:rsidRDefault="009467EA" w:rsidP="009467EA">
            <w:pPr>
              <w:jc w:val="both"/>
              <w:rPr>
                <w:rFonts w:ascii="Tahoma" w:hAnsi="Tahoma" w:cs="Tahoma"/>
                <w:sz w:val="24"/>
                <w:szCs w:val="24"/>
              </w:rPr>
            </w:pPr>
          </w:p>
          <w:p w:rsidR="00D87406" w:rsidRDefault="00D87406" w:rsidP="00D87406">
            <w:pPr>
              <w:jc w:val="both"/>
              <w:rPr>
                <w:rFonts w:ascii="Tahoma" w:hAnsi="Tahoma" w:cs="Tahoma"/>
                <w:i/>
                <w:iCs/>
                <w:sz w:val="24"/>
                <w:szCs w:val="24"/>
              </w:rPr>
            </w:pPr>
            <w:r w:rsidRPr="006E19B8">
              <w:rPr>
                <w:rFonts w:ascii="Tahoma" w:hAnsi="Tahoma" w:cs="Tahoma"/>
                <w:sz w:val="24"/>
                <w:szCs w:val="24"/>
              </w:rPr>
              <w:t>Circular N°</w:t>
            </w:r>
            <w:r w:rsidR="00426692" w:rsidRPr="006E19B8">
              <w:rPr>
                <w:rFonts w:ascii="Tahoma" w:hAnsi="Tahoma" w:cs="Tahoma"/>
                <w:sz w:val="24"/>
                <w:szCs w:val="24"/>
              </w:rPr>
              <w:t xml:space="preserve"> </w:t>
            </w:r>
            <w:r w:rsidRPr="006E19B8">
              <w:rPr>
                <w:rFonts w:ascii="Tahoma" w:hAnsi="Tahoma" w:cs="Tahoma"/>
                <w:sz w:val="24"/>
                <w:szCs w:val="24"/>
              </w:rPr>
              <w:t xml:space="preserve">67-2020 </w:t>
            </w:r>
            <w:r w:rsidRPr="006E19B8">
              <w:rPr>
                <w:rFonts w:ascii="Tahoma" w:hAnsi="Tahoma" w:cs="Tahoma"/>
                <w:i/>
                <w:iCs/>
                <w:sz w:val="24"/>
                <w:szCs w:val="24"/>
              </w:rPr>
              <w:t>“Lineamientos generales para la implementación del acuerdo adoptado por la Corte Plena en sesión extraordinaria N°18-2020, celebrada el 2 de abril de 2020, artículo único.”</w:t>
            </w:r>
          </w:p>
          <w:p w:rsidR="00BD5F75" w:rsidRDefault="00BD5F75" w:rsidP="00D87406">
            <w:pPr>
              <w:jc w:val="both"/>
              <w:rPr>
                <w:rFonts w:ascii="Tahoma" w:hAnsi="Tahoma" w:cs="Tahoma"/>
                <w:i/>
                <w:iCs/>
                <w:sz w:val="24"/>
                <w:szCs w:val="24"/>
              </w:rPr>
            </w:pPr>
          </w:p>
          <w:p w:rsidR="00D87406" w:rsidRPr="006E19B8" w:rsidRDefault="00D87406" w:rsidP="009467EA">
            <w:pPr>
              <w:jc w:val="both"/>
              <w:rPr>
                <w:rFonts w:ascii="Tahoma" w:hAnsi="Tahoma" w:cs="Tahoma"/>
                <w:sz w:val="24"/>
                <w:szCs w:val="24"/>
              </w:rPr>
            </w:pPr>
          </w:p>
          <w:p w:rsidR="009467EA" w:rsidRDefault="003B6124" w:rsidP="009467EA">
            <w:pPr>
              <w:jc w:val="both"/>
              <w:rPr>
                <w:rFonts w:ascii="Tahoma" w:hAnsi="Tahoma" w:cs="Tahoma"/>
                <w:i/>
                <w:iCs/>
                <w:sz w:val="24"/>
                <w:szCs w:val="24"/>
              </w:rPr>
            </w:pPr>
            <w:r w:rsidRPr="006E19B8">
              <w:rPr>
                <w:rFonts w:ascii="Tahoma" w:eastAsia="Calibri" w:hAnsi="Tahoma" w:cs="Tahoma"/>
                <w:sz w:val="24"/>
                <w:szCs w:val="24"/>
                <w:lang w:eastAsia="es-CR"/>
              </w:rPr>
              <w:t xml:space="preserve">Circular N° 93-2020 </w:t>
            </w:r>
            <w:r w:rsidR="00D87406" w:rsidRPr="006E19B8">
              <w:rPr>
                <w:rFonts w:ascii="Tahoma" w:hAnsi="Tahoma" w:cs="Tahoma"/>
                <w:i/>
                <w:iCs/>
                <w:sz w:val="24"/>
                <w:szCs w:val="24"/>
              </w:rPr>
              <w:t>“Protocolo para la realización de audiencias orales por medios tecnológicos en materia civil.”</w:t>
            </w:r>
          </w:p>
          <w:p w:rsidR="00DF63E7" w:rsidRDefault="00DF63E7" w:rsidP="00DF63E7">
            <w:pPr>
              <w:jc w:val="both"/>
              <w:rPr>
                <w:rFonts w:ascii="Tahoma" w:eastAsia="Calibri" w:hAnsi="Tahoma" w:cs="Tahoma"/>
                <w:sz w:val="24"/>
                <w:szCs w:val="24"/>
              </w:rPr>
            </w:pPr>
          </w:p>
          <w:p w:rsidR="00DF63E7" w:rsidRPr="00D23EFE" w:rsidRDefault="00DF63E7" w:rsidP="00DF63E7">
            <w:pPr>
              <w:jc w:val="both"/>
              <w:rPr>
                <w:rFonts w:ascii="Tahoma" w:hAnsi="Tahoma" w:cs="Tahoma"/>
                <w:i/>
                <w:iCs/>
                <w:color w:val="000000"/>
                <w:sz w:val="24"/>
                <w:szCs w:val="24"/>
                <w:lang w:eastAsia="es-CR"/>
              </w:rPr>
            </w:pPr>
            <w:r w:rsidRPr="000A7FFD">
              <w:rPr>
                <w:rFonts w:ascii="Tahoma" w:eastAsia="Calibri" w:hAnsi="Tahoma" w:cs="Tahoma"/>
                <w:sz w:val="24"/>
                <w:szCs w:val="24"/>
              </w:rPr>
              <w:t xml:space="preserve">Circular N° 97-2020 </w:t>
            </w:r>
            <w:r w:rsidRPr="005C3F49">
              <w:rPr>
                <w:rFonts w:ascii="Tahoma" w:eastAsia="Calibri" w:hAnsi="Tahoma" w:cs="Tahoma"/>
                <w:i/>
                <w:iCs/>
                <w:sz w:val="24"/>
                <w:szCs w:val="24"/>
              </w:rPr>
              <w:t>“Protocolos para la utilización de salas de juicio, ingreso de personas usuarias y limpieza de áreas.”</w:t>
            </w:r>
          </w:p>
          <w:p w:rsidR="00E60F0C" w:rsidRDefault="00E60F0C" w:rsidP="009467EA">
            <w:pPr>
              <w:jc w:val="both"/>
              <w:rPr>
                <w:rFonts w:ascii="Tahoma" w:hAnsi="Tahoma" w:cs="Tahoma"/>
                <w:i/>
                <w:iCs/>
                <w:sz w:val="24"/>
                <w:szCs w:val="24"/>
              </w:rPr>
            </w:pPr>
          </w:p>
          <w:p w:rsidR="000F5B3C" w:rsidRPr="006E19B8" w:rsidRDefault="000F5B3C" w:rsidP="000F5B3C">
            <w:pPr>
              <w:jc w:val="both"/>
              <w:rPr>
                <w:rFonts w:ascii="Tahoma" w:hAnsi="Tahoma" w:cs="Tahoma"/>
                <w:sz w:val="24"/>
                <w:szCs w:val="24"/>
              </w:rPr>
            </w:pPr>
            <w:r w:rsidRPr="006E19B8">
              <w:rPr>
                <w:rFonts w:ascii="Tahoma" w:hAnsi="Tahoma" w:cs="Tahoma"/>
                <w:sz w:val="24"/>
                <w:szCs w:val="24"/>
              </w:rPr>
              <w:t xml:space="preserve">Circular N° 100-20 </w:t>
            </w:r>
            <w:r w:rsidRPr="006E19B8">
              <w:rPr>
                <w:rFonts w:ascii="Tahoma" w:hAnsi="Tahoma" w:cs="Tahoma"/>
                <w:i/>
                <w:iCs/>
                <w:sz w:val="24"/>
                <w:szCs w:val="24"/>
              </w:rPr>
              <w:t>“Acuerdo de Corte Plena. Sesión N° 26-2020 del 13 de mayo de 2020, en atención a la declaratoria de emergencia nacional, debido a la situación de emergencia sanitaria provocada por la enfermedad COVID-19.”</w:t>
            </w:r>
          </w:p>
          <w:p w:rsidR="000F5B3C" w:rsidRDefault="000F5B3C" w:rsidP="009467EA">
            <w:pPr>
              <w:jc w:val="both"/>
              <w:rPr>
                <w:rFonts w:ascii="Tahoma" w:hAnsi="Tahoma" w:cs="Tahoma"/>
                <w:i/>
                <w:iCs/>
                <w:sz w:val="24"/>
                <w:szCs w:val="24"/>
              </w:rPr>
            </w:pPr>
          </w:p>
          <w:p w:rsidR="006717CE" w:rsidRDefault="006717CE" w:rsidP="006717CE">
            <w:pPr>
              <w:jc w:val="both"/>
              <w:rPr>
                <w:rFonts w:ascii="Tahoma" w:hAnsi="Tahoma" w:cs="Tahoma"/>
                <w:i/>
                <w:iCs/>
                <w:color w:val="000000"/>
                <w:sz w:val="24"/>
                <w:szCs w:val="24"/>
                <w:lang w:eastAsia="es-CR"/>
              </w:rPr>
            </w:pPr>
            <w:r w:rsidRPr="00196173">
              <w:rPr>
                <w:rFonts w:ascii="Tahoma" w:hAnsi="Tahoma" w:cs="Tahoma"/>
                <w:sz w:val="24"/>
                <w:szCs w:val="24"/>
              </w:rPr>
              <w:t>C</w:t>
            </w:r>
            <w:r>
              <w:rPr>
                <w:rFonts w:ascii="Tahoma" w:hAnsi="Tahoma" w:cs="Tahoma"/>
                <w:sz w:val="24"/>
                <w:szCs w:val="24"/>
              </w:rPr>
              <w:t>ircular</w:t>
            </w:r>
            <w:r w:rsidRPr="00196173">
              <w:rPr>
                <w:rFonts w:ascii="Tahoma" w:hAnsi="Tahoma" w:cs="Tahoma"/>
                <w:sz w:val="24"/>
                <w:szCs w:val="24"/>
              </w:rPr>
              <w:t xml:space="preserve"> N° 244-2020</w:t>
            </w:r>
            <w:r w:rsidRPr="00C94CBC">
              <w:rPr>
                <w:rFonts w:ascii="Tahoma" w:hAnsi="Tahoma" w:cs="Tahoma"/>
                <w:b/>
                <w:bCs/>
                <w:color w:val="000000"/>
                <w:sz w:val="24"/>
                <w:szCs w:val="24"/>
                <w:lang w:eastAsia="es-CR"/>
              </w:rPr>
              <w:t xml:space="preserve"> </w:t>
            </w:r>
            <w:r w:rsidRPr="008F49FC">
              <w:rPr>
                <w:rFonts w:ascii="Tahoma" w:hAnsi="Tahoma" w:cs="Tahoma"/>
                <w:b/>
                <w:bCs/>
                <w:i/>
                <w:iCs/>
                <w:color w:val="000000"/>
                <w:sz w:val="24"/>
                <w:szCs w:val="24"/>
                <w:lang w:eastAsia="es-CR"/>
              </w:rPr>
              <w:t>“</w:t>
            </w:r>
            <w:r w:rsidRPr="008F49FC">
              <w:rPr>
                <w:rFonts w:ascii="Tahoma" w:hAnsi="Tahoma" w:cs="Tahoma"/>
                <w:i/>
                <w:iCs/>
                <w:color w:val="000000"/>
                <w:sz w:val="24"/>
                <w:szCs w:val="24"/>
                <w:lang w:eastAsia="es-CR"/>
              </w:rPr>
              <w:t>Acuerdo de Corte Plena. Sesión N° 64-2020 del 26 de octubre de 2020,</w:t>
            </w:r>
            <w:r w:rsidRPr="008F49FC">
              <w:rPr>
                <w:rFonts w:ascii="Tahoma" w:hAnsi="Tahoma" w:cs="Tahoma"/>
                <w:b/>
                <w:bCs/>
                <w:i/>
                <w:iCs/>
                <w:color w:val="000000"/>
                <w:sz w:val="24"/>
                <w:szCs w:val="24"/>
                <w:lang w:eastAsia="es-CR"/>
              </w:rPr>
              <w:t xml:space="preserve"> </w:t>
            </w:r>
            <w:r w:rsidRPr="008F49FC">
              <w:rPr>
                <w:rFonts w:ascii="Tahoma" w:hAnsi="Tahoma" w:cs="Tahoma"/>
                <w:i/>
                <w:iCs/>
                <w:color w:val="000000"/>
                <w:sz w:val="24"/>
                <w:szCs w:val="24"/>
                <w:lang w:eastAsia="es-CR"/>
              </w:rPr>
              <w:t>en atención a la declaratoria de emergencia nacional, debido a la situación de emergencia sanitaria provocada por la enfermedad COVID-19”</w:t>
            </w:r>
          </w:p>
          <w:p w:rsidR="00BD5F75" w:rsidRPr="008F49FC" w:rsidRDefault="00BD5F75" w:rsidP="006717CE">
            <w:pPr>
              <w:jc w:val="both"/>
              <w:rPr>
                <w:rFonts w:ascii="Tahoma" w:hAnsi="Tahoma" w:cs="Tahoma"/>
                <w:b/>
                <w:bCs/>
                <w:i/>
                <w:iCs/>
                <w:color w:val="000000"/>
                <w:sz w:val="24"/>
                <w:szCs w:val="24"/>
                <w:u w:val="single"/>
                <w:lang w:eastAsia="es-CR"/>
              </w:rPr>
            </w:pPr>
          </w:p>
          <w:p w:rsidR="00BD5F75" w:rsidRDefault="00BD5F75" w:rsidP="00BD5F75">
            <w:pPr>
              <w:jc w:val="both"/>
              <w:rPr>
                <w:rFonts w:ascii="Tahoma" w:hAnsi="Tahoma" w:cs="Tahoma"/>
                <w:i/>
                <w:iCs/>
                <w:color w:val="000000"/>
                <w:sz w:val="24"/>
                <w:szCs w:val="24"/>
                <w:lang w:eastAsia="es-CR"/>
              </w:rPr>
            </w:pPr>
            <w:r w:rsidRPr="00252DE5">
              <w:rPr>
                <w:rFonts w:ascii="Tahoma" w:hAnsi="Tahoma" w:cs="Tahoma"/>
                <w:color w:val="000000"/>
                <w:sz w:val="24"/>
                <w:szCs w:val="24"/>
                <w:lang w:eastAsia="es-CR"/>
              </w:rPr>
              <w:t>Circular N° 254-2020</w:t>
            </w:r>
            <w:r w:rsidRPr="001D3F24">
              <w:rPr>
                <w:rFonts w:ascii="Tahoma" w:hAnsi="Tahoma" w:cs="Tahoma"/>
                <w:i/>
                <w:iCs/>
                <w:color w:val="000000"/>
                <w:sz w:val="24"/>
                <w:szCs w:val="24"/>
                <w:lang w:eastAsia="es-CR"/>
              </w:rPr>
              <w:t xml:space="preserve"> “Protocolos que se requieren con motivo del abordaje de la emergencia nacional presentada por COVID-19</w:t>
            </w:r>
            <w:r>
              <w:rPr>
                <w:rFonts w:ascii="Tahoma" w:hAnsi="Tahoma" w:cs="Tahoma"/>
                <w:i/>
                <w:iCs/>
                <w:color w:val="000000"/>
                <w:sz w:val="24"/>
                <w:szCs w:val="24"/>
                <w:lang w:eastAsia="es-CR"/>
              </w:rPr>
              <w:t>.”</w:t>
            </w:r>
          </w:p>
          <w:p w:rsidR="00E60F0C" w:rsidRPr="006E19B8" w:rsidRDefault="00E60F0C" w:rsidP="009467EA">
            <w:pPr>
              <w:jc w:val="both"/>
              <w:rPr>
                <w:rFonts w:ascii="Tahoma" w:hAnsi="Tahoma" w:cs="Tahoma"/>
                <w:sz w:val="24"/>
                <w:szCs w:val="24"/>
              </w:rPr>
            </w:pPr>
          </w:p>
          <w:p w:rsidR="009467EA" w:rsidRPr="006E19B8" w:rsidRDefault="009467EA" w:rsidP="009467EA">
            <w:pPr>
              <w:jc w:val="both"/>
              <w:rPr>
                <w:rFonts w:ascii="Tahoma" w:hAnsi="Tahoma" w:cs="Tahoma"/>
                <w:b/>
                <w:bCs/>
                <w:sz w:val="24"/>
                <w:szCs w:val="24"/>
              </w:rPr>
            </w:pPr>
          </w:p>
          <w:p w:rsidR="009773DC" w:rsidRPr="006E19B8" w:rsidRDefault="009773DC" w:rsidP="009773DC">
            <w:pPr>
              <w:jc w:val="both"/>
              <w:rPr>
                <w:rFonts w:ascii="Tahoma" w:hAnsi="Tahoma" w:cs="Tahoma"/>
                <w:sz w:val="24"/>
                <w:szCs w:val="24"/>
              </w:rPr>
            </w:pPr>
          </w:p>
          <w:bookmarkStart w:id="2" w:name="_MON_1659254258"/>
          <w:bookmarkEnd w:id="2"/>
          <w:p w:rsidR="009773DC" w:rsidRPr="006E19B8" w:rsidRDefault="009773DC" w:rsidP="00BD5F75">
            <w:pPr>
              <w:widowControl w:val="0"/>
              <w:autoSpaceDE w:val="0"/>
              <w:autoSpaceDN w:val="0"/>
              <w:adjustRightInd w:val="0"/>
              <w:jc w:val="center"/>
              <w:rPr>
                <w:rFonts w:ascii="Tahoma" w:eastAsia="Times New Roman" w:hAnsi="Tahoma" w:cs="Tahoma"/>
                <w:sz w:val="24"/>
                <w:szCs w:val="24"/>
                <w:lang w:eastAsia="zh-CN" w:bidi="hi-IN"/>
              </w:rPr>
            </w:pPr>
            <w:r w:rsidRPr="006E19B8">
              <w:rPr>
                <w:rFonts w:ascii="Tahoma" w:eastAsia="Times New Roman" w:hAnsi="Tahoma" w:cs="Tahoma"/>
                <w:sz w:val="24"/>
                <w:szCs w:val="24"/>
                <w:lang w:eastAsia="zh-CN" w:bidi="hi-IN"/>
              </w:rPr>
              <w:object w:dxaOrig="2117" w:dyaOrig="1383" w14:anchorId="5E2FD34B">
                <v:shape id="_x0000_i1029" type="#_x0000_t75" style="width:105pt;height:69pt" o:ole="">
                  <v:imagedata r:id="rId34" o:title=""/>
                </v:shape>
                <o:OLEObject Type="Embed" ProgID="Word.Document.12" ShapeID="_x0000_i1029" DrawAspect="Icon" ObjectID="_1672118019" r:id="rId35">
                  <o:FieldCodes>\s</o:FieldCodes>
                </o:OLEObject>
              </w:object>
            </w:r>
            <w:bookmarkStart w:id="3" w:name="_MON_1666509680"/>
            <w:bookmarkEnd w:id="3"/>
            <w:r w:rsidRPr="006E19B8">
              <w:rPr>
                <w:rFonts w:ascii="Tahoma" w:eastAsia="Times New Roman" w:hAnsi="Tahoma" w:cs="Tahoma"/>
                <w:sz w:val="24"/>
                <w:szCs w:val="24"/>
                <w:lang w:eastAsia="zh-CN" w:bidi="hi-IN"/>
              </w:rPr>
              <w:object w:dxaOrig="1534" w:dyaOrig="997" w14:anchorId="6BC9CEDE">
                <v:shape id="_x0000_i1030" type="#_x0000_t75" style="width:76.5pt;height:49.5pt" o:ole="">
                  <v:imagedata r:id="rId36" o:title=""/>
                </v:shape>
                <o:OLEObject Type="Embed" ProgID="Word.Document.12" ShapeID="_x0000_i1030" DrawAspect="Icon" ObjectID="_1672118020" r:id="rId37">
                  <o:FieldCodes>\s</o:FieldCodes>
                </o:OLEObject>
              </w:object>
            </w:r>
            <w:bookmarkStart w:id="4" w:name="_MON_1659254270"/>
            <w:bookmarkEnd w:id="4"/>
            <w:r w:rsidRPr="006E19B8">
              <w:rPr>
                <w:rFonts w:ascii="Tahoma" w:eastAsia="Times New Roman" w:hAnsi="Tahoma" w:cs="Tahoma"/>
                <w:sz w:val="24"/>
                <w:szCs w:val="24"/>
                <w:lang w:eastAsia="zh-CN" w:bidi="hi-IN"/>
              </w:rPr>
              <w:object w:dxaOrig="2117" w:dyaOrig="1383" w14:anchorId="381206B2">
                <v:shape id="_x0000_i1031" type="#_x0000_t75" style="width:105pt;height:69pt" o:ole="">
                  <v:imagedata r:id="rId21" o:title=""/>
                </v:shape>
                <o:OLEObject Type="Embed" ProgID="Word.Document.12" ShapeID="_x0000_i1031" DrawAspect="Icon" ObjectID="_1672118021" r:id="rId38">
                  <o:FieldCodes>\s</o:FieldCodes>
                </o:OLEObject>
              </w:object>
            </w:r>
            <w:r w:rsidR="00BD5F75" w:rsidRPr="006C2CE9">
              <w:rPr>
                <w:b/>
                <w:bCs/>
              </w:rPr>
              <w:object w:dxaOrig="1508" w:dyaOrig="983" w14:anchorId="5582E131">
                <v:shape id="_x0000_i1032" type="#_x0000_t75" style="width:75pt;height:48.75pt" o:ole="">
                  <v:imagedata r:id="rId23" o:title=""/>
                </v:shape>
                <o:OLEObject Type="Embed" ProgID="Word.Document.12" ShapeID="_x0000_i1032" DrawAspect="Icon" ObjectID="_1672118022" r:id="rId39">
                  <o:FieldCodes>\s</o:FieldCodes>
                </o:OLEObject>
              </w:object>
            </w:r>
            <w:bookmarkStart w:id="5" w:name="_MON_1659263965"/>
            <w:bookmarkEnd w:id="5"/>
            <w:r w:rsidRPr="006E19B8">
              <w:rPr>
                <w:rFonts w:ascii="Tahoma" w:eastAsia="Times New Roman" w:hAnsi="Tahoma" w:cs="Tahoma"/>
                <w:sz w:val="24"/>
                <w:szCs w:val="24"/>
                <w:lang w:eastAsia="zh-CN" w:bidi="hi-IN"/>
              </w:rPr>
              <w:object w:dxaOrig="1534" w:dyaOrig="997" w14:anchorId="2697B1CF">
                <v:shape id="_x0000_i1033" type="#_x0000_t75" style="width:76.5pt;height:49.5pt" o:ole="">
                  <v:imagedata r:id="rId40" o:title=""/>
                </v:shape>
                <o:OLEObject Type="Embed" ProgID="Word.Document.12" ShapeID="_x0000_i1033" DrawAspect="Icon" ObjectID="_1672118023" r:id="rId41">
                  <o:FieldCodes>\s</o:FieldCodes>
                </o:OLEObject>
              </w:object>
            </w:r>
            <w:bookmarkStart w:id="6" w:name="_MON_1666510058"/>
            <w:bookmarkEnd w:id="6"/>
            <w:r w:rsidR="00BD5F75">
              <w:rPr>
                <w:rFonts w:ascii="Tahoma" w:hAnsi="Tahoma" w:cs="Tahoma"/>
                <w:sz w:val="24"/>
                <w:szCs w:val="24"/>
              </w:rPr>
              <w:object w:dxaOrig="1537" w:dyaOrig="997" w14:anchorId="15083616">
                <v:shape id="_x0000_i1034" type="#_x0000_t75" style="width:76.5pt;height:50.25pt" o:ole="">
                  <v:imagedata r:id="rId42" o:title=""/>
                </v:shape>
                <o:OLEObject Type="Embed" ProgID="Word.Document.12" ShapeID="_x0000_i1034" DrawAspect="Icon" ObjectID="_1672118024" r:id="rId43">
                  <o:FieldCodes>\s</o:FieldCodes>
                </o:OLEObject>
              </w:object>
            </w:r>
          </w:p>
          <w:p w:rsidR="009467EA" w:rsidRPr="006E19B8" w:rsidRDefault="009467EA" w:rsidP="00BD5F75">
            <w:pPr>
              <w:jc w:val="center"/>
              <w:rPr>
                <w:rFonts w:ascii="Tahoma" w:hAnsi="Tahoma" w:cs="Tahoma"/>
                <w:sz w:val="24"/>
                <w:szCs w:val="24"/>
              </w:rPr>
            </w:pPr>
          </w:p>
          <w:p w:rsidR="009467EA" w:rsidRPr="006E19B8" w:rsidRDefault="00BD5F75" w:rsidP="00BD5F75">
            <w:pPr>
              <w:jc w:val="center"/>
              <w:rPr>
                <w:rFonts w:ascii="Tahoma" w:hAnsi="Tahoma" w:cs="Tahoma"/>
                <w:sz w:val="24"/>
                <w:szCs w:val="24"/>
              </w:rPr>
            </w:pPr>
            <w:r w:rsidRPr="006C2CE9">
              <w:rPr>
                <w:b/>
                <w:bCs/>
              </w:rPr>
              <w:object w:dxaOrig="1508" w:dyaOrig="983" w14:anchorId="640A69E8">
                <v:shape id="_x0000_i1035" type="#_x0000_t75" style="width:75pt;height:48.75pt" o:ole="">
                  <v:imagedata r:id="rId27" o:title=""/>
                </v:shape>
                <o:OLEObject Type="Embed" ProgID="Word.Document.12" ShapeID="_x0000_i1035" DrawAspect="Icon" ObjectID="_1672118025" r:id="rId44">
                  <o:FieldCodes>\s</o:FieldCodes>
                </o:OLEObject>
              </w:object>
            </w:r>
          </w:p>
          <w:p w:rsidR="009467EA" w:rsidRPr="006E19B8" w:rsidRDefault="009467EA" w:rsidP="009467EA">
            <w:pPr>
              <w:widowControl w:val="0"/>
              <w:autoSpaceDE w:val="0"/>
              <w:autoSpaceDN w:val="0"/>
              <w:adjustRightInd w:val="0"/>
              <w:jc w:val="both"/>
              <w:rPr>
                <w:rFonts w:ascii="Tahoma" w:eastAsia="Times New Roman" w:hAnsi="Tahoma" w:cs="Tahoma"/>
                <w:sz w:val="24"/>
                <w:szCs w:val="24"/>
                <w:lang w:eastAsia="zh-CN" w:bidi="hi-IN"/>
              </w:rPr>
            </w:pP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sz w:val="24"/>
                <w:szCs w:val="24"/>
              </w:rPr>
            </w:pPr>
          </w:p>
          <w:p w:rsidR="009467EA" w:rsidRPr="006E19B8" w:rsidRDefault="009467EA" w:rsidP="00384BB9">
            <w:pPr>
              <w:jc w:val="center"/>
              <w:rPr>
                <w:rFonts w:ascii="Tahoma" w:hAnsi="Tahoma" w:cs="Tahoma"/>
                <w:sz w:val="24"/>
                <w:szCs w:val="24"/>
              </w:rPr>
            </w:pP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b/>
                <w:bCs/>
                <w:noProof/>
                <w:sz w:val="24"/>
                <w:szCs w:val="24"/>
              </w:rPr>
            </w:pPr>
          </w:p>
        </w:tc>
        <w:tc>
          <w:tcPr>
            <w:tcW w:w="5528" w:type="dxa"/>
          </w:tcPr>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 xml:space="preserve">1.1.- Asistencia a la oficina y atención de consultas de las personas usuarias: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1.1.1.-</w:t>
            </w:r>
            <w:r w:rsidRPr="006E19B8">
              <w:rPr>
                <w:rFonts w:ascii="Tahoma" w:eastAsia="Calibri" w:hAnsi="Tahoma" w:cs="Tahoma"/>
                <w:color w:val="000000"/>
                <w:sz w:val="24"/>
                <w:szCs w:val="24"/>
                <w:lang w:eastAsia="es-CR"/>
              </w:rPr>
              <w:t xml:space="preserve"> Las oficinas mantendrán la modalidad de teletrabajo en la mayor cantidad de personal posible y aquellas personas que laboren de forma presencial mantendrán el distanciamiento según los lineamientos del Ministerio de Salud. Cada oficina diariamente deberá tener un mínimo de personal que labore de forma presencial. Se entiende como personal mínimo la estructura conformada por: una persona juzgadora, una persona para la atención del público, una persona de servicios generales en caso de tenerlo y el personal técnico y/o Coordinador Judicial necesario para resolver, girar, realizar anotaciones, efectuar remates, asistir en audiencia u otras actividades que conforme los lineamientos se indicarán. Lo anterior sin dejar de considerar lo dispuesto en el punto 1.4.4 </w:t>
            </w:r>
            <w:r w:rsidR="00B00D3F" w:rsidRPr="006E19B8">
              <w:rPr>
                <w:rFonts w:ascii="Tahoma" w:eastAsia="Calibri" w:hAnsi="Tahoma" w:cs="Tahoma"/>
                <w:color w:val="000000"/>
                <w:sz w:val="24"/>
                <w:szCs w:val="24"/>
                <w:lang w:eastAsia="es-CR"/>
              </w:rPr>
              <w:t xml:space="preserve">de este mismo documento.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 xml:space="preserve">1.1.2.- </w:t>
            </w:r>
            <w:r w:rsidRPr="006E19B8">
              <w:rPr>
                <w:rFonts w:ascii="Tahoma" w:eastAsia="Calibri" w:hAnsi="Tahoma" w:cs="Tahoma"/>
                <w:color w:val="000000"/>
                <w:sz w:val="24"/>
                <w:szCs w:val="24"/>
                <w:lang w:eastAsia="es-CR"/>
              </w:rPr>
              <w:t xml:space="preserve">Deberá crear un rol de atención a la persona usuaria en el que participe </w:t>
            </w:r>
            <w:r w:rsidR="009F23DE" w:rsidRPr="006E19B8">
              <w:rPr>
                <w:rFonts w:ascii="Tahoma" w:eastAsia="Calibri" w:hAnsi="Tahoma" w:cs="Tahoma"/>
                <w:color w:val="000000"/>
                <w:sz w:val="24"/>
                <w:szCs w:val="24"/>
                <w:lang w:eastAsia="es-CR"/>
              </w:rPr>
              <w:t>el personal necesario</w:t>
            </w:r>
            <w:r w:rsidR="00426692" w:rsidRPr="006E19B8">
              <w:rPr>
                <w:rFonts w:ascii="Tahoma" w:eastAsia="Calibri" w:hAnsi="Tahoma" w:cs="Tahoma"/>
                <w:color w:val="000000"/>
                <w:sz w:val="24"/>
                <w:szCs w:val="24"/>
                <w:lang w:eastAsia="es-CR"/>
              </w:rPr>
              <w:t xml:space="preserve"> </w:t>
            </w:r>
            <w:r w:rsidRPr="006E19B8">
              <w:rPr>
                <w:rFonts w:ascii="Tahoma" w:eastAsia="Calibri" w:hAnsi="Tahoma" w:cs="Tahoma"/>
                <w:color w:val="000000"/>
                <w:sz w:val="24"/>
                <w:szCs w:val="24"/>
                <w:lang w:eastAsia="es-CR"/>
              </w:rPr>
              <w:t>para atender la cantidad de</w:t>
            </w:r>
            <w:r w:rsidR="009F23DE" w:rsidRPr="006E19B8">
              <w:rPr>
                <w:rFonts w:ascii="Tahoma" w:eastAsia="Calibri" w:hAnsi="Tahoma" w:cs="Tahoma"/>
                <w:color w:val="000000"/>
                <w:sz w:val="24"/>
                <w:szCs w:val="24"/>
                <w:lang w:eastAsia="es-CR"/>
              </w:rPr>
              <w:t xml:space="preserve"> personas</w:t>
            </w:r>
            <w:r w:rsidRPr="006E19B8">
              <w:rPr>
                <w:rFonts w:ascii="Tahoma" w:eastAsia="Calibri" w:hAnsi="Tahoma" w:cs="Tahoma"/>
                <w:color w:val="000000"/>
                <w:sz w:val="24"/>
                <w:szCs w:val="24"/>
                <w:lang w:eastAsia="es-CR"/>
              </w:rPr>
              <w:t xml:space="preserve"> usuari</w:t>
            </w:r>
            <w:r w:rsidR="009F23DE" w:rsidRPr="006E19B8">
              <w:rPr>
                <w:rFonts w:ascii="Tahoma" w:eastAsia="Calibri" w:hAnsi="Tahoma" w:cs="Tahoma"/>
                <w:color w:val="000000"/>
                <w:sz w:val="24"/>
                <w:szCs w:val="24"/>
                <w:lang w:eastAsia="es-CR"/>
              </w:rPr>
              <w:t>as</w:t>
            </w:r>
            <w:r w:rsidRPr="006E19B8">
              <w:rPr>
                <w:rFonts w:ascii="Tahoma" w:eastAsia="Calibri" w:hAnsi="Tahoma" w:cs="Tahoma"/>
                <w:color w:val="000000"/>
                <w:sz w:val="24"/>
                <w:szCs w:val="24"/>
                <w:lang w:eastAsia="es-CR"/>
              </w:rPr>
              <w:t xml:space="preserve"> que se presenten. Se excluye del rol a las personas que tengan condición de riesgo. Para todo lo anterior, deberá considerarse lo que más adelante se indicará. </w:t>
            </w:r>
          </w:p>
          <w:p w:rsidR="009467EA" w:rsidRPr="006E19B8" w:rsidRDefault="009467EA" w:rsidP="00CE324C">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 xml:space="preserve">1.1.3.- </w:t>
            </w:r>
            <w:r w:rsidRPr="006E19B8">
              <w:rPr>
                <w:rFonts w:ascii="Tahoma" w:eastAsia="Calibri" w:hAnsi="Tahoma" w:cs="Tahoma"/>
                <w:color w:val="000000"/>
                <w:sz w:val="24"/>
                <w:szCs w:val="24"/>
                <w:lang w:eastAsia="es-CR"/>
              </w:rPr>
              <w:t>La cantidad de equipos y personas que podrán asistir por cada día no deberá exceder de aquella necesaria para mantener un espacio de dos metros de distancia entre cada persona</w:t>
            </w:r>
          </w:p>
          <w:p w:rsidR="009467EA" w:rsidRPr="006E19B8" w:rsidRDefault="009467EA" w:rsidP="009467EA">
            <w:pPr>
              <w:spacing w:before="100" w:beforeAutospacing="1" w:after="160" w:line="256" w:lineRule="auto"/>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1.2.- Teletrabajo</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highlight w:val="yellow"/>
                <w:lang w:eastAsia="es-CR"/>
              </w:rPr>
            </w:pPr>
            <w:r w:rsidRPr="006E19B8">
              <w:rPr>
                <w:rFonts w:ascii="Tahoma" w:eastAsia="Calibri" w:hAnsi="Tahoma" w:cs="Tahoma"/>
                <w:color w:val="000000"/>
                <w:sz w:val="24"/>
                <w:szCs w:val="24"/>
                <w:lang w:eastAsia="es-CR"/>
              </w:rPr>
              <w:t>Se mantendrá la modalidad de teletrabajo por parte del personal juzgador en las siguientes condiciones: a) descargando los expedientes electrónicos en los despachos, utilizando memorias flash  conocidas como “llaves Maya” para el almacenamiento o bien la plataforma en la nube de Microsoft “OneDrive” y laborando en sus casas con equipo propio, para después proceder a incorporar las resoluciones presencialmente en el respectivo juzgado;  b) mediante el uso de la licencia VPN que es activada en equipos portátiles institucionales</w:t>
            </w:r>
            <w:r w:rsidR="009A22E7">
              <w:rPr>
                <w:rFonts w:ascii="Tahoma" w:eastAsia="Calibri" w:hAnsi="Tahoma" w:cs="Tahoma"/>
                <w:color w:val="000000"/>
                <w:sz w:val="24"/>
                <w:szCs w:val="24"/>
                <w:lang w:eastAsia="es-CR"/>
              </w:rPr>
              <w:t xml:space="preserve"> o bien en equipo de cómputo propio</w:t>
            </w:r>
            <w:r w:rsidRPr="006E19B8">
              <w:rPr>
                <w:rFonts w:ascii="Tahoma" w:eastAsia="Calibri" w:hAnsi="Tahoma" w:cs="Tahoma"/>
                <w:color w:val="000000"/>
                <w:sz w:val="24"/>
                <w:szCs w:val="24"/>
                <w:lang w:eastAsia="es-CR"/>
              </w:rPr>
              <w:t>. E</w:t>
            </w:r>
            <w:r w:rsidRPr="006E19B8">
              <w:rPr>
                <w:rFonts w:ascii="Tahoma" w:eastAsia="Calibri" w:hAnsi="Tahoma" w:cs="Tahoma"/>
                <w:sz w:val="24"/>
                <w:szCs w:val="24"/>
                <w:lang w:eastAsia="es-CR"/>
              </w:rPr>
              <w:t>n el caso del personal juzgador que no tiene asignado equipo institucional deberán trabajar con la licencia VDI</w:t>
            </w:r>
            <w:r w:rsidR="009A22E7">
              <w:rPr>
                <w:rFonts w:ascii="Tahoma" w:eastAsia="Calibri" w:hAnsi="Tahoma" w:cs="Tahoma"/>
                <w:sz w:val="24"/>
                <w:szCs w:val="24"/>
                <w:lang w:eastAsia="es-CR"/>
              </w:rPr>
              <w:t xml:space="preserve"> o VPN para equipos propios</w:t>
            </w:r>
            <w:r w:rsidRPr="006E19B8">
              <w:rPr>
                <w:rFonts w:ascii="Tahoma" w:eastAsia="Calibri" w:hAnsi="Tahoma" w:cs="Tahoma"/>
                <w:sz w:val="24"/>
                <w:szCs w:val="24"/>
                <w:lang w:eastAsia="es-CR"/>
              </w:rPr>
              <w:t>.</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1.3. - Pautas para resolver expedientes híbridos o físicos:</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Deberá</w:t>
            </w:r>
            <w:r w:rsidR="00005972" w:rsidRPr="006E19B8">
              <w:rPr>
                <w:rFonts w:ascii="Tahoma" w:eastAsia="Calibri" w:hAnsi="Tahoma" w:cs="Tahoma"/>
                <w:color w:val="000000"/>
                <w:sz w:val="24"/>
                <w:szCs w:val="24"/>
                <w:lang w:eastAsia="es-CR"/>
              </w:rPr>
              <w:t xml:space="preserve"> </w:t>
            </w:r>
            <w:r w:rsidRPr="006E19B8">
              <w:rPr>
                <w:rFonts w:ascii="Tahoma" w:eastAsia="Calibri" w:hAnsi="Tahoma" w:cs="Tahoma"/>
                <w:color w:val="000000"/>
                <w:sz w:val="24"/>
                <w:szCs w:val="24"/>
                <w:lang w:eastAsia="es-CR"/>
              </w:rPr>
              <w:t xml:space="preserve">crear un rol para que cada equipo conformado por la persona juzgadora y sus Técnicos Judiciales asistan al </w:t>
            </w:r>
            <w:r w:rsidR="00426692" w:rsidRPr="006E19B8">
              <w:rPr>
                <w:rFonts w:ascii="Tahoma" w:eastAsia="Calibri" w:hAnsi="Tahoma" w:cs="Tahoma"/>
                <w:color w:val="000000"/>
                <w:sz w:val="24"/>
                <w:szCs w:val="24"/>
                <w:lang w:eastAsia="es-CR"/>
              </w:rPr>
              <w:t>despacho al</w:t>
            </w:r>
            <w:r w:rsidRPr="006E19B8">
              <w:rPr>
                <w:rFonts w:ascii="Tahoma" w:eastAsia="Calibri" w:hAnsi="Tahoma" w:cs="Tahoma"/>
                <w:color w:val="000000"/>
                <w:sz w:val="24"/>
                <w:szCs w:val="24"/>
                <w:lang w:eastAsia="es-CR"/>
              </w:rPr>
              <w:t xml:space="preserve"> menos un día durante la semana en horario ordinario, estrictamente para resolver esos asuntos.</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 xml:space="preserve">1.4.- </w:t>
            </w:r>
            <w:r w:rsidRPr="006E19B8">
              <w:rPr>
                <w:rFonts w:ascii="Tahoma" w:eastAsia="Calibri" w:hAnsi="Tahoma" w:cs="Tahoma"/>
                <w:b/>
                <w:bCs/>
                <w:color w:val="000000"/>
                <w:sz w:val="24"/>
                <w:szCs w:val="24"/>
                <w:lang w:eastAsia="es-CR"/>
              </w:rPr>
              <w:tab/>
              <w:t>Pautas para resolver expedientes electrónicos 100%:</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1.4.1.-</w:t>
            </w:r>
            <w:r w:rsidRPr="006E19B8">
              <w:rPr>
                <w:rFonts w:ascii="Tahoma" w:eastAsia="Calibri" w:hAnsi="Tahoma" w:cs="Tahoma"/>
                <w:color w:val="000000"/>
                <w:sz w:val="24"/>
                <w:szCs w:val="24"/>
                <w:lang w:eastAsia="es-CR"/>
              </w:rPr>
              <w:t xml:space="preserve"> Las personas juzgadoras realizarán su labor mediante la modalidad de teletrabajo, para ello, utilizarán las computadoras portátiles institucionales.</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 xml:space="preserve">1.4.2.- </w:t>
            </w:r>
            <w:r w:rsidRPr="006E19B8">
              <w:rPr>
                <w:rFonts w:ascii="Tahoma" w:eastAsia="Calibri" w:hAnsi="Tahoma" w:cs="Tahoma"/>
                <w:color w:val="000000"/>
                <w:sz w:val="24"/>
                <w:szCs w:val="24"/>
                <w:lang w:eastAsia="es-CR"/>
              </w:rPr>
              <w:t>Las personas juzgadoras que no tengan un equipo portátil institucional, podrán laborar desde sus casas, con sus computadoras personales.</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1.4.3.-</w:t>
            </w:r>
            <w:r w:rsidRPr="006E19B8">
              <w:rPr>
                <w:rFonts w:ascii="Tahoma" w:eastAsia="Calibri" w:hAnsi="Tahoma" w:cs="Tahoma"/>
                <w:color w:val="000000"/>
                <w:sz w:val="24"/>
                <w:szCs w:val="24"/>
                <w:lang w:eastAsia="es-CR"/>
              </w:rPr>
              <w:t xml:space="preserve"> Estas personas continuarán con la asignación,</w:t>
            </w:r>
            <w:r w:rsidR="007B4FC8" w:rsidRPr="006E19B8">
              <w:rPr>
                <w:rFonts w:ascii="Tahoma" w:eastAsia="Calibri" w:hAnsi="Tahoma" w:cs="Tahoma"/>
                <w:color w:val="000000"/>
                <w:sz w:val="24"/>
                <w:szCs w:val="24"/>
                <w:lang w:eastAsia="es-CR"/>
              </w:rPr>
              <w:t xml:space="preserve"> </w:t>
            </w:r>
            <w:r w:rsidRPr="006E19B8">
              <w:rPr>
                <w:rFonts w:ascii="Tahoma" w:eastAsia="Calibri" w:hAnsi="Tahoma" w:cs="Tahoma"/>
                <w:color w:val="000000"/>
                <w:sz w:val="24"/>
                <w:szCs w:val="24"/>
                <w:lang w:eastAsia="es-CR"/>
              </w:rPr>
              <w:t xml:space="preserve">en la medida de las posibilidades, de las licencias VPN o VDI (Máquina Virtual) conforme la distribución de licencias y horarios que se definan.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 xml:space="preserve">Este horario no sustituirá la jornada ordinaria de trabajo, el mismo solo será para acceder virtualmente a los asuntos en trámite.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1.4.4.-</w:t>
            </w:r>
            <w:r w:rsidRPr="006E19B8">
              <w:rPr>
                <w:rFonts w:ascii="Tahoma" w:eastAsia="Calibri" w:hAnsi="Tahoma" w:cs="Tahoma"/>
                <w:color w:val="000000"/>
                <w:sz w:val="24"/>
                <w:szCs w:val="24"/>
                <w:lang w:eastAsia="es-CR"/>
              </w:rPr>
              <w:t xml:space="preserve"> En el horario de uso de la VPN o VDI (Máquina Virtual), el personal juzgador deberá; firmar los asuntos pendientes, aprobar giros, anotaciones en el SREM, incorporar y/o descargar los asuntos que requieran estudiar para el tiempo de no conexión a la VPN o VDI (Máquina Virtual), y demás actividades propias del cargo. Lo que no se logre realizar mediante esta vía se realizará en el horario presencial.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1.4.5.-</w:t>
            </w:r>
            <w:r w:rsidRPr="006E19B8">
              <w:rPr>
                <w:rFonts w:ascii="Tahoma" w:eastAsia="Calibri" w:hAnsi="Tahoma" w:cs="Tahoma"/>
                <w:color w:val="000000"/>
                <w:sz w:val="24"/>
                <w:szCs w:val="24"/>
                <w:lang w:eastAsia="es-CR"/>
              </w:rPr>
              <w:t xml:space="preserve"> Las personas que no cuenten con VPN o VDI (Máquina Virtual), descargarán y cargarán los archivos para trabajar desde la casa en el horario ordinario presencial, conforme corresponda, en los días que, por rol, deban asistir a la oficina.</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1.4.6.</w:t>
            </w:r>
            <w:r w:rsidRPr="006E19B8">
              <w:rPr>
                <w:rFonts w:ascii="Tahoma" w:eastAsia="Calibri" w:hAnsi="Tahoma" w:cs="Tahoma"/>
                <w:color w:val="000000"/>
                <w:sz w:val="24"/>
                <w:szCs w:val="24"/>
                <w:lang w:eastAsia="es-CR"/>
              </w:rPr>
              <w:t>- El personal técnico deberá cumplir con las anteriores indicaciones de la misma manera, incluido remitir a la imprenta las publicaciones que se ordenen, asignación de ejecutores y peritos, entre otros.</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1.5.-</w:t>
            </w:r>
            <w:r w:rsidRPr="006E19B8">
              <w:rPr>
                <w:rFonts w:ascii="Tahoma" w:eastAsia="Calibri" w:hAnsi="Tahoma" w:cs="Tahoma"/>
                <w:b/>
                <w:bCs/>
                <w:color w:val="000000"/>
                <w:sz w:val="24"/>
                <w:szCs w:val="24"/>
                <w:lang w:eastAsia="es-CR"/>
              </w:rPr>
              <w:tab/>
              <w:t>Reuniones presenciales:</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1.5.1.</w:t>
            </w:r>
            <w:r w:rsidRPr="006E19B8">
              <w:rPr>
                <w:rFonts w:ascii="Tahoma" w:eastAsia="Calibri" w:hAnsi="Tahoma" w:cs="Tahoma"/>
                <w:color w:val="000000"/>
                <w:sz w:val="24"/>
                <w:szCs w:val="24"/>
                <w:lang w:eastAsia="es-CR"/>
              </w:rPr>
              <w:t xml:space="preserve">- No deberán realizarse reuniones físicas con todo el personal.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1.5.2.-</w:t>
            </w:r>
            <w:r w:rsidRPr="006E19B8">
              <w:rPr>
                <w:rFonts w:ascii="Tahoma" w:eastAsia="Calibri" w:hAnsi="Tahoma" w:cs="Tahoma"/>
                <w:color w:val="000000"/>
                <w:sz w:val="24"/>
                <w:szCs w:val="24"/>
                <w:lang w:eastAsia="es-CR"/>
              </w:rPr>
              <w:t xml:space="preserve"> Las mismas serán virtuales en la medida de lo posible.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1.6.- Señalamientos para remate y comunicaciones a la Imprenta Nacional:</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1.6.1.-</w:t>
            </w:r>
            <w:r w:rsidRPr="006E19B8">
              <w:rPr>
                <w:rFonts w:ascii="Tahoma" w:eastAsia="Calibri" w:hAnsi="Tahoma" w:cs="Tahoma"/>
                <w:color w:val="000000"/>
                <w:sz w:val="24"/>
                <w:szCs w:val="24"/>
                <w:lang w:eastAsia="es-CR"/>
              </w:rPr>
              <w:t xml:space="preserve"> Deberá considerar la continuación de los señalamientos para remate.</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1.6.2.-</w:t>
            </w:r>
            <w:r w:rsidRPr="006E19B8">
              <w:rPr>
                <w:rFonts w:ascii="Tahoma" w:eastAsia="Calibri" w:hAnsi="Tahoma" w:cs="Tahoma"/>
                <w:color w:val="000000"/>
                <w:sz w:val="24"/>
                <w:szCs w:val="24"/>
                <w:lang w:eastAsia="es-CR"/>
              </w:rPr>
              <w:t xml:space="preserve"> Para ello, procurar</w:t>
            </w:r>
            <w:r w:rsidR="000D7421" w:rsidRPr="006E19B8">
              <w:rPr>
                <w:rFonts w:ascii="Tahoma" w:eastAsia="Calibri" w:hAnsi="Tahoma" w:cs="Tahoma"/>
                <w:color w:val="000000"/>
                <w:sz w:val="24"/>
                <w:szCs w:val="24"/>
                <w:lang w:eastAsia="es-CR"/>
              </w:rPr>
              <w:t>á</w:t>
            </w:r>
            <w:r w:rsidRPr="006E19B8">
              <w:rPr>
                <w:rFonts w:ascii="Tahoma" w:eastAsia="Calibri" w:hAnsi="Tahoma" w:cs="Tahoma"/>
                <w:color w:val="000000"/>
                <w:sz w:val="24"/>
                <w:szCs w:val="24"/>
                <w:lang w:eastAsia="es-CR"/>
              </w:rPr>
              <w:t xml:space="preserve"> que los mismos se comiencen a señalar con normalidad.</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1.7.- Celebración de remates:</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1.7.1.-</w:t>
            </w:r>
            <w:r w:rsidRPr="006E19B8">
              <w:rPr>
                <w:rFonts w:ascii="Tahoma" w:eastAsia="Calibri" w:hAnsi="Tahoma" w:cs="Tahoma"/>
                <w:color w:val="000000"/>
                <w:sz w:val="24"/>
                <w:szCs w:val="24"/>
                <w:lang w:eastAsia="es-CR"/>
              </w:rPr>
              <w:t xml:space="preserve"> Los remates señalados deben realizarse siempre y cuando la oficina cuente con un espacio para albergar a todas las personas interesadas en participar y que mantengan un espacio mínimo de un metro ochenta entre cada uno de ellos. Lo anterior se verificará en el momento de realizarse la subasta.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 xml:space="preserve">Cada oficina coordinará con la Administración Regional respectiva para la realización de los remates, utilizando las salas de audiencia.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1.7.2.</w:t>
            </w:r>
            <w:r w:rsidRPr="006E19B8">
              <w:rPr>
                <w:rFonts w:ascii="Tahoma" w:eastAsia="Calibri" w:hAnsi="Tahoma" w:cs="Tahoma"/>
                <w:color w:val="000000"/>
                <w:sz w:val="24"/>
                <w:szCs w:val="24"/>
                <w:lang w:eastAsia="es-CR"/>
              </w:rPr>
              <w:t>- De no ser posible lo anterior, la subasta deberá de suspenderse</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1.7.3.-</w:t>
            </w:r>
            <w:r w:rsidRPr="006E19B8">
              <w:rPr>
                <w:rFonts w:ascii="Tahoma" w:eastAsia="Calibri" w:hAnsi="Tahoma" w:cs="Tahoma"/>
                <w:color w:val="000000"/>
                <w:sz w:val="24"/>
                <w:szCs w:val="24"/>
                <w:lang w:eastAsia="es-CR"/>
              </w:rPr>
              <w:t xml:space="preserve"> Cada despacho debe</w:t>
            </w:r>
            <w:r w:rsidR="007D1ADF" w:rsidRPr="006E19B8">
              <w:rPr>
                <w:rFonts w:ascii="Tahoma" w:eastAsia="Calibri" w:hAnsi="Tahoma" w:cs="Tahoma"/>
                <w:color w:val="000000"/>
                <w:sz w:val="24"/>
                <w:szCs w:val="24"/>
                <w:lang w:eastAsia="es-CR"/>
              </w:rPr>
              <w:t>rá</w:t>
            </w:r>
            <w:r w:rsidRPr="006E19B8">
              <w:rPr>
                <w:rFonts w:ascii="Tahoma" w:eastAsia="Calibri" w:hAnsi="Tahoma" w:cs="Tahoma"/>
                <w:color w:val="000000"/>
                <w:sz w:val="24"/>
                <w:szCs w:val="24"/>
                <w:lang w:eastAsia="es-CR"/>
              </w:rPr>
              <w:t xml:space="preserve"> de organizar</w:t>
            </w:r>
            <w:r w:rsidR="00621818" w:rsidRPr="006E19B8">
              <w:rPr>
                <w:rFonts w:ascii="Tahoma" w:eastAsia="Calibri" w:hAnsi="Tahoma" w:cs="Tahoma"/>
                <w:color w:val="000000"/>
                <w:sz w:val="24"/>
                <w:szCs w:val="24"/>
                <w:lang w:eastAsia="es-CR"/>
              </w:rPr>
              <w:t>se</w:t>
            </w:r>
            <w:r w:rsidRPr="006E19B8">
              <w:rPr>
                <w:rFonts w:ascii="Tahoma" w:eastAsia="Calibri" w:hAnsi="Tahoma" w:cs="Tahoma"/>
                <w:color w:val="000000"/>
                <w:sz w:val="24"/>
                <w:szCs w:val="24"/>
                <w:lang w:eastAsia="es-CR"/>
              </w:rPr>
              <w:t>,</w:t>
            </w:r>
            <w:r w:rsidR="00621818" w:rsidRPr="006E19B8">
              <w:rPr>
                <w:rFonts w:ascii="Tahoma" w:eastAsia="Calibri" w:hAnsi="Tahoma" w:cs="Tahoma"/>
                <w:color w:val="000000"/>
                <w:sz w:val="24"/>
                <w:szCs w:val="24"/>
                <w:lang w:eastAsia="es-CR"/>
              </w:rPr>
              <w:t xml:space="preserve"> </w:t>
            </w:r>
            <w:r w:rsidRPr="006E19B8">
              <w:rPr>
                <w:rFonts w:ascii="Tahoma" w:eastAsia="Calibri" w:hAnsi="Tahoma" w:cs="Tahoma"/>
                <w:color w:val="000000"/>
                <w:sz w:val="24"/>
                <w:szCs w:val="24"/>
                <w:lang w:eastAsia="es-CR"/>
              </w:rPr>
              <w:t>con la finalidad que el equipo de trabajo presente</w:t>
            </w:r>
            <w:r w:rsidR="008E2354" w:rsidRPr="006E19B8">
              <w:rPr>
                <w:rFonts w:ascii="Tahoma" w:eastAsia="Calibri" w:hAnsi="Tahoma" w:cs="Tahoma"/>
                <w:color w:val="000000"/>
                <w:sz w:val="24"/>
                <w:szCs w:val="24"/>
                <w:lang w:eastAsia="es-CR"/>
              </w:rPr>
              <w:t xml:space="preserve"> </w:t>
            </w:r>
            <w:r w:rsidRPr="006E19B8">
              <w:rPr>
                <w:rFonts w:ascii="Tahoma" w:eastAsia="Calibri" w:hAnsi="Tahoma" w:cs="Tahoma"/>
                <w:color w:val="000000"/>
                <w:sz w:val="24"/>
                <w:szCs w:val="24"/>
                <w:lang w:eastAsia="es-CR"/>
              </w:rPr>
              <w:t xml:space="preserve">para la atención al público </w:t>
            </w:r>
            <w:r w:rsidR="00604629" w:rsidRPr="006E19B8">
              <w:rPr>
                <w:rFonts w:ascii="Tahoma" w:eastAsia="Calibri" w:hAnsi="Tahoma" w:cs="Tahoma"/>
                <w:color w:val="000000"/>
                <w:sz w:val="24"/>
                <w:szCs w:val="24"/>
                <w:lang w:eastAsia="es-CR"/>
              </w:rPr>
              <w:t xml:space="preserve">o </w:t>
            </w:r>
            <w:r w:rsidR="004D6EC1" w:rsidRPr="006E19B8">
              <w:rPr>
                <w:rFonts w:ascii="Tahoma" w:eastAsia="Calibri" w:hAnsi="Tahoma" w:cs="Tahoma"/>
                <w:color w:val="000000"/>
                <w:sz w:val="24"/>
                <w:szCs w:val="24"/>
                <w:lang w:eastAsia="es-CR"/>
              </w:rPr>
              <w:t xml:space="preserve">bien los que </w:t>
            </w:r>
            <w:r w:rsidR="0054410F" w:rsidRPr="006E19B8">
              <w:rPr>
                <w:rFonts w:ascii="Tahoma" w:eastAsia="Calibri" w:hAnsi="Tahoma" w:cs="Tahoma"/>
                <w:color w:val="000000"/>
                <w:sz w:val="24"/>
                <w:szCs w:val="24"/>
                <w:lang w:eastAsia="es-CR"/>
              </w:rPr>
              <w:t xml:space="preserve">resuelvan </w:t>
            </w:r>
            <w:r w:rsidRPr="006E19B8">
              <w:rPr>
                <w:rFonts w:ascii="Tahoma" w:eastAsia="Calibri" w:hAnsi="Tahoma" w:cs="Tahoma"/>
                <w:color w:val="000000"/>
                <w:sz w:val="24"/>
                <w:szCs w:val="24"/>
                <w:lang w:eastAsia="es-CR"/>
              </w:rPr>
              <w:t xml:space="preserve">asuntos híbridos o físicos, atiendan los remates señalados, según lo que anteriormente se indicó.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1.7.4.-</w:t>
            </w:r>
            <w:r w:rsidRPr="006E19B8">
              <w:rPr>
                <w:rFonts w:ascii="Tahoma" w:eastAsia="Calibri" w:hAnsi="Tahoma" w:cs="Tahoma"/>
                <w:color w:val="000000"/>
                <w:sz w:val="24"/>
                <w:szCs w:val="24"/>
                <w:lang w:eastAsia="es-CR"/>
              </w:rPr>
              <w:t xml:space="preserve"> En caso de que la persona técnica judicial deba recibir dinero u otros títulos de valor,</w:t>
            </w:r>
            <w:r w:rsidR="00BD1DF7" w:rsidRPr="006E19B8">
              <w:rPr>
                <w:rFonts w:ascii="Tahoma" w:eastAsia="Calibri" w:hAnsi="Tahoma" w:cs="Tahoma"/>
                <w:color w:val="000000"/>
                <w:sz w:val="24"/>
                <w:szCs w:val="24"/>
                <w:lang w:eastAsia="es-CR"/>
              </w:rPr>
              <w:t xml:space="preserve"> </w:t>
            </w:r>
            <w:r w:rsidRPr="006E19B8">
              <w:rPr>
                <w:rFonts w:ascii="Tahoma" w:eastAsia="Calibri" w:hAnsi="Tahoma" w:cs="Tahoma"/>
                <w:color w:val="000000"/>
                <w:sz w:val="24"/>
                <w:szCs w:val="24"/>
                <w:lang w:eastAsia="es-CR"/>
              </w:rPr>
              <w:t>deberá seguir las instrucciones emitidas por el Ministerio de Salud, respecto a las normas de sanidad. De ser posible utilizará guantes y alcohol en gel, entre otros.</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1.8.- Realización de giros de dinero:</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1.8.1.-</w:t>
            </w:r>
            <w:r w:rsidRPr="006E19B8">
              <w:rPr>
                <w:rFonts w:ascii="Tahoma" w:eastAsia="Calibri" w:hAnsi="Tahoma" w:cs="Tahoma"/>
                <w:color w:val="000000"/>
                <w:sz w:val="24"/>
                <w:szCs w:val="24"/>
                <w:lang w:eastAsia="es-CR"/>
              </w:rPr>
              <w:t xml:space="preserve"> De</w:t>
            </w:r>
            <w:r w:rsidR="00BD1DF7" w:rsidRPr="006E19B8">
              <w:rPr>
                <w:rFonts w:ascii="Tahoma" w:eastAsia="Calibri" w:hAnsi="Tahoma" w:cs="Tahoma"/>
                <w:color w:val="000000"/>
                <w:sz w:val="24"/>
                <w:szCs w:val="24"/>
                <w:lang w:eastAsia="es-CR"/>
              </w:rPr>
              <w:t>b</w:t>
            </w:r>
            <w:r w:rsidRPr="006E19B8">
              <w:rPr>
                <w:rFonts w:ascii="Tahoma" w:eastAsia="Calibri" w:hAnsi="Tahoma" w:cs="Tahoma"/>
                <w:color w:val="000000"/>
                <w:sz w:val="24"/>
                <w:szCs w:val="24"/>
                <w:lang w:eastAsia="es-CR"/>
              </w:rPr>
              <w:t xml:space="preserve">erá de continuarse efectuando en los horarios establecidos para la VPN o VDI (Máquina </w:t>
            </w:r>
            <w:r w:rsidR="005033B4" w:rsidRPr="006E19B8">
              <w:rPr>
                <w:rFonts w:ascii="Tahoma" w:eastAsia="Calibri" w:hAnsi="Tahoma" w:cs="Tahoma"/>
                <w:color w:val="000000"/>
                <w:sz w:val="24"/>
                <w:szCs w:val="24"/>
                <w:lang w:eastAsia="es-CR"/>
              </w:rPr>
              <w:t>v</w:t>
            </w:r>
            <w:r w:rsidRPr="006E19B8">
              <w:rPr>
                <w:rFonts w:ascii="Tahoma" w:eastAsia="Calibri" w:hAnsi="Tahoma" w:cs="Tahoma"/>
                <w:color w:val="000000"/>
                <w:sz w:val="24"/>
                <w:szCs w:val="24"/>
                <w:lang w:eastAsia="es-CR"/>
              </w:rPr>
              <w:t>irtual), además de forma presencial según el rol establecido.</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1.8.2.-</w:t>
            </w:r>
            <w:r w:rsidRPr="006E19B8">
              <w:rPr>
                <w:rFonts w:ascii="Tahoma" w:eastAsia="Calibri" w:hAnsi="Tahoma" w:cs="Tahoma"/>
                <w:color w:val="000000"/>
                <w:sz w:val="24"/>
                <w:szCs w:val="24"/>
                <w:lang w:eastAsia="es-CR"/>
              </w:rPr>
              <w:t xml:space="preserve"> En todo caso los giros no se suspenderán.</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1.8.3.-</w:t>
            </w:r>
            <w:r w:rsidRPr="006E19B8">
              <w:rPr>
                <w:rFonts w:ascii="Tahoma" w:eastAsia="Calibri" w:hAnsi="Tahoma" w:cs="Tahoma"/>
                <w:color w:val="000000"/>
                <w:sz w:val="24"/>
                <w:szCs w:val="24"/>
                <w:lang w:eastAsia="es-CR"/>
              </w:rPr>
              <w:t xml:space="preserve"> En los casos que no puedan hacer</w:t>
            </w:r>
            <w:r w:rsidR="004531CF" w:rsidRPr="006E19B8">
              <w:rPr>
                <w:rFonts w:ascii="Tahoma" w:eastAsia="Calibri" w:hAnsi="Tahoma" w:cs="Tahoma"/>
                <w:color w:val="000000"/>
                <w:sz w:val="24"/>
                <w:szCs w:val="24"/>
                <w:lang w:eastAsia="es-CR"/>
              </w:rPr>
              <w:t>se</w:t>
            </w:r>
            <w:r w:rsidRPr="006E19B8">
              <w:rPr>
                <w:rFonts w:ascii="Tahoma" w:eastAsia="Calibri" w:hAnsi="Tahoma" w:cs="Tahoma"/>
                <w:color w:val="000000"/>
                <w:sz w:val="24"/>
                <w:szCs w:val="24"/>
                <w:lang w:eastAsia="es-CR"/>
              </w:rPr>
              <w:t xml:space="preserve"> a través de las herramientas tecnológicas indicadas en el punto 7.1., y resulte necesario, podrá coordinar con las personas del rol presencial establecido.</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1.9.- Confección y materialización de anotaciones en SREM:</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1.9.1.-</w:t>
            </w:r>
            <w:r w:rsidRPr="006E19B8">
              <w:rPr>
                <w:rFonts w:ascii="Tahoma" w:eastAsia="Calibri" w:hAnsi="Tahoma" w:cs="Tahoma"/>
                <w:color w:val="000000"/>
                <w:sz w:val="24"/>
                <w:szCs w:val="24"/>
                <w:lang w:eastAsia="es-CR"/>
              </w:rPr>
              <w:t xml:space="preserve"> Deberá de continuarse efectuando en los horarios establecidos para la VPN o VDI (Máquina </w:t>
            </w:r>
            <w:r w:rsidR="0015189D" w:rsidRPr="006E19B8">
              <w:rPr>
                <w:rFonts w:ascii="Tahoma" w:eastAsia="Calibri" w:hAnsi="Tahoma" w:cs="Tahoma"/>
                <w:color w:val="000000"/>
                <w:sz w:val="24"/>
                <w:szCs w:val="24"/>
                <w:lang w:eastAsia="es-CR"/>
              </w:rPr>
              <w:t>v</w:t>
            </w:r>
            <w:r w:rsidRPr="006E19B8">
              <w:rPr>
                <w:rFonts w:ascii="Tahoma" w:eastAsia="Calibri" w:hAnsi="Tahoma" w:cs="Tahoma"/>
                <w:color w:val="000000"/>
                <w:sz w:val="24"/>
                <w:szCs w:val="24"/>
                <w:lang w:eastAsia="es-CR"/>
              </w:rPr>
              <w:t>irtual), además de forma presencial según el rol establecido.</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1.9.2.</w:t>
            </w:r>
            <w:r w:rsidRPr="006E19B8">
              <w:rPr>
                <w:rFonts w:ascii="Tahoma" w:eastAsia="Calibri" w:hAnsi="Tahoma" w:cs="Tahoma"/>
                <w:color w:val="000000"/>
                <w:sz w:val="24"/>
                <w:szCs w:val="24"/>
                <w:lang w:eastAsia="es-CR"/>
              </w:rPr>
              <w:t>- En todo caso las anotaciones en el SREM no se suspenderán.</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1.9.3.-</w:t>
            </w:r>
            <w:r w:rsidRPr="006E19B8">
              <w:rPr>
                <w:rFonts w:ascii="Tahoma" w:eastAsia="Calibri" w:hAnsi="Tahoma" w:cs="Tahoma"/>
                <w:color w:val="000000"/>
                <w:sz w:val="24"/>
                <w:szCs w:val="24"/>
                <w:lang w:eastAsia="es-CR"/>
              </w:rPr>
              <w:t xml:space="preserve"> En los casos que no se puedan hacerse a través de las herramientas tecnológicas indicadas en el punto 8.1., y</w:t>
            </w:r>
            <w:r w:rsidR="0015189D" w:rsidRPr="006E19B8">
              <w:rPr>
                <w:rFonts w:ascii="Tahoma" w:eastAsia="Calibri" w:hAnsi="Tahoma" w:cs="Tahoma"/>
                <w:color w:val="000000"/>
                <w:sz w:val="24"/>
                <w:szCs w:val="24"/>
                <w:lang w:eastAsia="es-CR"/>
              </w:rPr>
              <w:t xml:space="preserve"> </w:t>
            </w:r>
            <w:r w:rsidRPr="006E19B8">
              <w:rPr>
                <w:rFonts w:ascii="Tahoma" w:eastAsia="Calibri" w:hAnsi="Tahoma" w:cs="Tahoma"/>
                <w:color w:val="000000"/>
                <w:sz w:val="24"/>
                <w:szCs w:val="24"/>
                <w:lang w:eastAsia="es-CR"/>
              </w:rPr>
              <w:t>resulte necesario, podrá coordinarse con las personas del rol presencial establecido.</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1.10.- Pautas relacionadas con la celebración de audiencias:</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1.10.1</w:t>
            </w:r>
            <w:r w:rsidRPr="006E19B8">
              <w:rPr>
                <w:rFonts w:ascii="Tahoma" w:eastAsia="Calibri" w:hAnsi="Tahoma" w:cs="Tahoma"/>
                <w:color w:val="000000"/>
                <w:sz w:val="24"/>
                <w:szCs w:val="24"/>
                <w:lang w:eastAsia="es-CR"/>
              </w:rPr>
              <w:t>.-</w:t>
            </w:r>
            <w:r w:rsidRPr="006E19B8">
              <w:rPr>
                <w:rFonts w:ascii="Tahoma" w:eastAsia="Calibri" w:hAnsi="Tahoma" w:cs="Tahoma"/>
                <w:b/>
                <w:bCs/>
                <w:color w:val="000000"/>
                <w:sz w:val="24"/>
                <w:szCs w:val="24"/>
                <w:lang w:eastAsia="es-CR"/>
              </w:rPr>
              <w:t xml:space="preserve"> </w:t>
            </w:r>
            <w:r w:rsidRPr="006E19B8">
              <w:rPr>
                <w:rFonts w:ascii="Tahoma" w:eastAsia="Calibri" w:hAnsi="Tahoma" w:cs="Tahoma"/>
                <w:b/>
                <w:bCs/>
                <w:color w:val="000000"/>
                <w:sz w:val="24"/>
                <w:szCs w:val="24"/>
                <w:lang w:eastAsia="es-CR"/>
              </w:rPr>
              <w:tab/>
              <w:t>Disposiciones generales para la celebración de las audiencias híbridas:</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1.10.1.1.</w:t>
            </w:r>
            <w:r w:rsidRPr="006E19B8">
              <w:rPr>
                <w:rFonts w:ascii="Tahoma" w:eastAsia="Calibri" w:hAnsi="Tahoma" w:cs="Tahoma"/>
                <w:color w:val="000000"/>
                <w:sz w:val="24"/>
                <w:szCs w:val="24"/>
                <w:lang w:eastAsia="es-CR"/>
              </w:rPr>
              <w:t>- En todos los casos, deberá existir una distancia mínima de metro ochenta entre cada persona participante que asista de forma presencial.</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1.10.1.2.</w:t>
            </w:r>
            <w:r w:rsidRPr="006E19B8">
              <w:rPr>
                <w:rFonts w:ascii="Tahoma" w:eastAsia="Calibri" w:hAnsi="Tahoma" w:cs="Tahoma"/>
                <w:color w:val="000000"/>
                <w:sz w:val="24"/>
                <w:szCs w:val="24"/>
                <w:lang w:eastAsia="es-CR"/>
              </w:rPr>
              <w:t>- Los micrófonos deberán contar con algún material (por ejemplo: plástico) que permita su desecho posterior.</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0F4443">
              <w:rPr>
                <w:rFonts w:ascii="Tahoma" w:eastAsia="Calibri" w:hAnsi="Tahoma" w:cs="Tahoma"/>
                <w:b/>
                <w:bCs/>
                <w:color w:val="000000"/>
                <w:sz w:val="24"/>
                <w:szCs w:val="24"/>
                <w:lang w:eastAsia="es-CR"/>
              </w:rPr>
              <w:t>1.</w:t>
            </w:r>
            <w:r w:rsidRPr="006E19B8">
              <w:rPr>
                <w:rFonts w:ascii="Tahoma" w:eastAsia="Calibri" w:hAnsi="Tahoma" w:cs="Tahoma"/>
                <w:b/>
                <w:bCs/>
                <w:color w:val="000000"/>
                <w:sz w:val="24"/>
                <w:szCs w:val="24"/>
                <w:lang w:eastAsia="es-CR"/>
              </w:rPr>
              <w:t>10.1.3.-</w:t>
            </w:r>
            <w:r w:rsidRPr="006E19B8">
              <w:rPr>
                <w:rFonts w:ascii="Tahoma" w:eastAsia="Calibri" w:hAnsi="Tahoma" w:cs="Tahoma"/>
                <w:color w:val="000000"/>
                <w:sz w:val="24"/>
                <w:szCs w:val="24"/>
                <w:lang w:eastAsia="es-CR"/>
              </w:rPr>
              <w:t xml:space="preserve"> Previo a iniciar cada audiencia y después de la misma, deberá limpiarse adecuadamente el lugar.</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1.10.1.4.</w:t>
            </w:r>
            <w:r w:rsidRPr="006E19B8">
              <w:rPr>
                <w:rFonts w:ascii="Tahoma" w:eastAsia="Calibri" w:hAnsi="Tahoma" w:cs="Tahoma"/>
                <w:color w:val="000000"/>
                <w:sz w:val="24"/>
                <w:szCs w:val="24"/>
                <w:lang w:eastAsia="es-CR"/>
              </w:rPr>
              <w:t>- La entrega del carné y otros documentos, será restringido al mínimo requerido, según la situación particular.</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1.10.1.5.-</w:t>
            </w:r>
            <w:r w:rsidRPr="006E19B8">
              <w:rPr>
                <w:rFonts w:ascii="Tahoma" w:eastAsia="Calibri" w:hAnsi="Tahoma" w:cs="Tahoma"/>
                <w:color w:val="000000"/>
                <w:sz w:val="24"/>
                <w:szCs w:val="24"/>
                <w:lang w:eastAsia="es-CR"/>
              </w:rPr>
              <w:t xml:space="preserve"> Entre una audiencia y otra, deberá de respetarse estrictamente la limpieza del recinto, para ello se coordinará con la persona encargada de Servicios Generales o bien con la Administración Regional para que esta coordine a su vez con las empresas de limpieza contratadas. La cantidad de audiencia diarias deberán de realizarse según el rol que se determine a lo interno de la oficina.</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1.10.1.6.-</w:t>
            </w:r>
            <w:r w:rsidRPr="006E19B8">
              <w:rPr>
                <w:rFonts w:ascii="Tahoma" w:eastAsia="Calibri" w:hAnsi="Tahoma" w:cs="Tahoma"/>
                <w:color w:val="000000"/>
                <w:sz w:val="24"/>
                <w:szCs w:val="24"/>
                <w:lang w:eastAsia="es-CR"/>
              </w:rPr>
              <w:t xml:space="preserve"> En caso de detectarse alguna persona con síntomas, esta no ingresará a la sala. De ser necesario, deberá de suspenderse</w:t>
            </w:r>
            <w:r w:rsidR="00D874D8" w:rsidRPr="006E19B8">
              <w:rPr>
                <w:rFonts w:ascii="Tahoma" w:eastAsia="Calibri" w:hAnsi="Tahoma" w:cs="Tahoma"/>
                <w:color w:val="000000"/>
                <w:sz w:val="24"/>
                <w:szCs w:val="24"/>
                <w:lang w:eastAsia="es-CR"/>
              </w:rPr>
              <w:t xml:space="preserve"> </w:t>
            </w:r>
            <w:r w:rsidRPr="006E19B8">
              <w:rPr>
                <w:rFonts w:ascii="Tahoma" w:eastAsia="Calibri" w:hAnsi="Tahoma" w:cs="Tahoma"/>
                <w:color w:val="000000"/>
                <w:sz w:val="24"/>
                <w:szCs w:val="24"/>
                <w:lang w:eastAsia="es-CR"/>
              </w:rPr>
              <w:t>la audiencia.</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1.10.1.7.</w:t>
            </w:r>
            <w:r w:rsidRPr="006E19B8">
              <w:rPr>
                <w:rFonts w:ascii="Tahoma" w:eastAsia="Calibri" w:hAnsi="Tahoma" w:cs="Tahoma"/>
                <w:color w:val="000000"/>
                <w:sz w:val="24"/>
                <w:szCs w:val="24"/>
                <w:lang w:eastAsia="es-CR"/>
              </w:rPr>
              <w:t xml:space="preserve">- </w:t>
            </w:r>
            <w:r w:rsidRPr="006E19B8">
              <w:rPr>
                <w:rFonts w:ascii="Tahoma" w:eastAsia="Calibri" w:hAnsi="Tahoma" w:cs="Tahoma"/>
                <w:sz w:val="24"/>
                <w:szCs w:val="24"/>
                <w:lang w:eastAsia="es-CR"/>
              </w:rPr>
              <w:t xml:space="preserve">Para las audiencias orales se aplicará </w:t>
            </w:r>
            <w:r w:rsidR="00426692" w:rsidRPr="006E19B8">
              <w:rPr>
                <w:rFonts w:ascii="Tahoma" w:eastAsia="Calibri" w:hAnsi="Tahoma" w:cs="Tahoma"/>
                <w:sz w:val="24"/>
                <w:szCs w:val="24"/>
                <w:lang w:eastAsia="es-CR"/>
              </w:rPr>
              <w:t xml:space="preserve">el Protocolo </w:t>
            </w:r>
            <w:r w:rsidRPr="006E19B8">
              <w:rPr>
                <w:rFonts w:ascii="Tahoma" w:eastAsia="Calibri" w:hAnsi="Tahoma" w:cs="Tahoma"/>
                <w:sz w:val="24"/>
                <w:szCs w:val="24"/>
                <w:lang w:eastAsia="es-CR"/>
              </w:rPr>
              <w:t>de audiencias orales por medios tecnológicos aprobados para la Jurisdicción Civil y comunicado por medio de la Circular 93-2020</w:t>
            </w:r>
            <w:r w:rsidRPr="006E19B8">
              <w:rPr>
                <w:rFonts w:ascii="Tahoma" w:eastAsia="Calibri" w:hAnsi="Tahoma" w:cs="Tahoma"/>
                <w:color w:val="000000"/>
                <w:sz w:val="24"/>
                <w:szCs w:val="24"/>
                <w:lang w:eastAsia="es-CR"/>
              </w:rPr>
              <w:t>.</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1.11.-</w:t>
            </w:r>
            <w:r w:rsidRPr="006E19B8">
              <w:rPr>
                <w:rFonts w:ascii="Tahoma" w:eastAsia="Calibri" w:hAnsi="Tahoma" w:cs="Tahoma"/>
                <w:color w:val="000000"/>
                <w:sz w:val="24"/>
                <w:szCs w:val="24"/>
                <w:lang w:eastAsia="es-CR"/>
              </w:rPr>
              <w:t xml:space="preserve"> </w:t>
            </w:r>
            <w:r w:rsidRPr="006E19B8">
              <w:rPr>
                <w:rFonts w:ascii="Tahoma" w:eastAsia="Calibri" w:hAnsi="Tahoma" w:cs="Tahoma"/>
                <w:b/>
                <w:bCs/>
                <w:color w:val="000000"/>
                <w:sz w:val="24"/>
                <w:szCs w:val="24"/>
                <w:lang w:eastAsia="es-CR"/>
              </w:rPr>
              <w:t>Otros tipos de actos procesales a realizar</w:t>
            </w:r>
            <w:r w:rsidRPr="006E19B8">
              <w:rPr>
                <w:rFonts w:ascii="Tahoma" w:eastAsia="Calibri" w:hAnsi="Tahoma" w:cs="Tahoma"/>
                <w:color w:val="000000"/>
                <w:sz w:val="24"/>
                <w:szCs w:val="24"/>
                <w:lang w:eastAsia="es-CR"/>
              </w:rPr>
              <w:t>:</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P</w:t>
            </w:r>
            <w:r w:rsidRPr="006E19B8">
              <w:rPr>
                <w:rFonts w:ascii="Tahoma" w:eastAsia="Calibri" w:hAnsi="Tahoma" w:cs="Tahoma"/>
                <w:sz w:val="24"/>
                <w:szCs w:val="24"/>
                <w:lang w:eastAsia="es-CR"/>
              </w:rPr>
              <w:t xml:space="preserve">ara el caso de todas aquellas diligencias que requieran de realizarse; reconocimientos Judiciales, desalojos presenciales, apersonamiento de las autoridades judiciales al lugar del conflicto en el caso de los procesos sumarios Interdictales, allanamientos civiles, aseguramientos de bienes o práctica de prueba en el lugar de los hechos que incluye la reconstrucción de hechos y cualquier otro asunto donde se requiera la salida del personal de la oficina, la persona o personas juzgadoras a cargo de la diligencia deberán tomar las medidas correspondientes para que la misma sea llevada a cabo con el respeto a los protocolos fijados por el Ministerio de Salud y </w:t>
            </w:r>
            <w:r w:rsidR="00221C7D">
              <w:rPr>
                <w:rFonts w:ascii="Tahoma" w:eastAsia="Calibri" w:hAnsi="Tahoma" w:cs="Tahoma"/>
              </w:rPr>
              <w:t xml:space="preserve"> lo dispuesto en el Protocolo </w:t>
            </w:r>
            <w:r w:rsidR="00221C7D" w:rsidRPr="009C445E">
              <w:rPr>
                <w:rFonts w:ascii="Tahoma" w:eastAsia="Calibri" w:hAnsi="Tahoma" w:cs="Tahoma"/>
                <w:i/>
                <w:iCs/>
              </w:rPr>
              <w:t>“DGH-011: Implementación de turnos de trabajo y lineamientos sanitarios para personas que efectúan labores fuera de instalaciones judiciales en el ámbito administrativo y jurisdiccional”</w:t>
            </w:r>
            <w:r w:rsidR="00221C7D">
              <w:rPr>
                <w:rFonts w:ascii="Tahoma" w:eastAsia="Calibri" w:hAnsi="Tahoma" w:cs="Tahoma"/>
              </w:rPr>
              <w:t xml:space="preserve">  aprobado por el Consejo Superior y comunicado mediante la Circular 254-2020 de la Secretaría General de la Corte.</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 xml:space="preserve">1.12.- </w:t>
            </w:r>
            <w:r w:rsidRPr="006E19B8">
              <w:rPr>
                <w:rFonts w:ascii="Tahoma" w:eastAsia="Calibri" w:hAnsi="Tahoma" w:cs="Tahoma"/>
                <w:b/>
                <w:bCs/>
                <w:color w:val="000000"/>
                <w:sz w:val="24"/>
                <w:szCs w:val="24"/>
                <w:lang w:eastAsia="es-CR"/>
              </w:rPr>
              <w:tab/>
              <w:t>Pautas para atender situaciones especiales:</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1.12.1.- Personas que no tienen equipo de cómputo ni otras condiciones básicas necesarias para teletrabajar:</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1.12.1.1.</w:t>
            </w:r>
            <w:r w:rsidRPr="006E19B8">
              <w:rPr>
                <w:rFonts w:ascii="Tahoma" w:eastAsia="Calibri" w:hAnsi="Tahoma" w:cs="Tahoma"/>
                <w:color w:val="000000"/>
                <w:sz w:val="24"/>
                <w:szCs w:val="24"/>
                <w:lang w:eastAsia="es-CR"/>
              </w:rPr>
              <w:t>-</w:t>
            </w:r>
            <w:r w:rsidRPr="006E19B8">
              <w:rPr>
                <w:rFonts w:ascii="Tahoma" w:eastAsia="Calibri" w:hAnsi="Tahoma" w:cs="Tahoma"/>
                <w:b/>
                <w:bCs/>
                <w:color w:val="000000"/>
                <w:sz w:val="24"/>
                <w:szCs w:val="24"/>
                <w:lang w:eastAsia="es-CR"/>
              </w:rPr>
              <w:t xml:space="preserve"> </w:t>
            </w:r>
            <w:r w:rsidRPr="006E19B8">
              <w:rPr>
                <w:rFonts w:ascii="Tahoma" w:eastAsia="Calibri" w:hAnsi="Tahoma" w:cs="Tahoma"/>
                <w:color w:val="000000"/>
                <w:sz w:val="24"/>
                <w:szCs w:val="24"/>
                <w:lang w:eastAsia="es-CR"/>
              </w:rPr>
              <w:t>Aquellas personas que no cuenten con los materiales necesarios para su labor en teletrabajo, integrarán de forma preferencial el rol presencial arriba indicado. Será responsabilidad de la persona juzgadora</w:t>
            </w:r>
            <w:r w:rsidR="0054410F" w:rsidRPr="006E19B8">
              <w:rPr>
                <w:rFonts w:ascii="Tahoma" w:eastAsia="Calibri" w:hAnsi="Tahoma" w:cs="Tahoma"/>
                <w:color w:val="000000"/>
                <w:sz w:val="24"/>
                <w:szCs w:val="24"/>
                <w:lang w:eastAsia="es-CR"/>
              </w:rPr>
              <w:t xml:space="preserve"> Coordinadora</w:t>
            </w:r>
            <w:r w:rsidRPr="006E19B8">
              <w:rPr>
                <w:rFonts w:ascii="Tahoma" w:eastAsia="Calibri" w:hAnsi="Tahoma" w:cs="Tahoma"/>
                <w:color w:val="000000"/>
                <w:sz w:val="24"/>
                <w:szCs w:val="24"/>
                <w:lang w:eastAsia="es-CR"/>
              </w:rPr>
              <w:t xml:space="preserve"> asignar las labores a cada una de esas personas según corresponda.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1.12.1.2- La jefatura de cada oficina judicial deberá</w:t>
            </w:r>
            <w:r w:rsidR="00856677" w:rsidRPr="006E19B8">
              <w:rPr>
                <w:rFonts w:ascii="Tahoma" w:eastAsia="Calibri" w:hAnsi="Tahoma" w:cs="Tahoma"/>
                <w:b/>
                <w:bCs/>
                <w:color w:val="000000"/>
                <w:sz w:val="24"/>
                <w:szCs w:val="24"/>
                <w:lang w:eastAsia="es-CR"/>
              </w:rPr>
              <w:t xml:space="preserve"> </w:t>
            </w:r>
            <w:r w:rsidRPr="006E19B8">
              <w:rPr>
                <w:rFonts w:ascii="Tahoma" w:eastAsia="Calibri" w:hAnsi="Tahoma" w:cs="Tahoma"/>
                <w:color w:val="000000"/>
                <w:sz w:val="24"/>
                <w:szCs w:val="24"/>
                <w:lang w:eastAsia="es-CR"/>
              </w:rPr>
              <w:t>valorar la posibilidad de asignar labores de inventario al personal que no reúne las condiciones para teletrabajar, previa coordinación con las Administraciones Regionales respectivas.</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1.12.2.- Personas en condición de riesgo:</w:t>
            </w:r>
          </w:p>
          <w:p w:rsidR="009467EA" w:rsidRPr="006E19B8" w:rsidRDefault="009467EA" w:rsidP="009467EA">
            <w:pPr>
              <w:spacing w:before="100" w:beforeAutospacing="1" w:after="160" w:line="256" w:lineRule="auto"/>
              <w:jc w:val="both"/>
              <w:rPr>
                <w:rFonts w:ascii="Tahoma" w:eastAsia="Calibri" w:hAnsi="Tahoma" w:cs="Tahoma"/>
                <w:strike/>
                <w:sz w:val="24"/>
                <w:szCs w:val="24"/>
                <w:lang w:eastAsia="es-CR"/>
              </w:rPr>
            </w:pPr>
            <w:r w:rsidRPr="006E19B8">
              <w:rPr>
                <w:rFonts w:ascii="Tahoma" w:eastAsia="Calibri" w:hAnsi="Tahoma" w:cs="Tahoma"/>
                <w:b/>
                <w:bCs/>
                <w:color w:val="000000"/>
                <w:sz w:val="24"/>
                <w:szCs w:val="24"/>
                <w:lang w:eastAsia="es-CR"/>
              </w:rPr>
              <w:t xml:space="preserve">1.12.2.1.- </w:t>
            </w:r>
            <w:r w:rsidRPr="006E19B8">
              <w:rPr>
                <w:rFonts w:ascii="Tahoma" w:eastAsia="Calibri" w:hAnsi="Tahoma" w:cs="Tahoma"/>
                <w:color w:val="000000"/>
                <w:sz w:val="24"/>
                <w:szCs w:val="24"/>
                <w:lang w:eastAsia="es-CR"/>
              </w:rPr>
              <w:t xml:space="preserve">Para estos casos, las personas deberán </w:t>
            </w:r>
            <w:r w:rsidRPr="006E19B8">
              <w:rPr>
                <w:rFonts w:ascii="Tahoma" w:eastAsia="Calibri" w:hAnsi="Tahoma" w:cs="Tahoma"/>
                <w:sz w:val="24"/>
                <w:szCs w:val="24"/>
                <w:lang w:eastAsia="es-CR"/>
              </w:rPr>
              <w:t>realizar preferiblemente teletrabajo, en caso de que sea posible.</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 xml:space="preserve">1.12.2.2.- </w:t>
            </w:r>
            <w:r w:rsidRPr="006E19B8">
              <w:rPr>
                <w:rFonts w:ascii="Tahoma" w:eastAsia="Calibri" w:hAnsi="Tahoma" w:cs="Tahoma"/>
                <w:color w:val="000000"/>
                <w:sz w:val="24"/>
                <w:szCs w:val="24"/>
                <w:lang w:eastAsia="es-CR"/>
              </w:rPr>
              <w:t>El punto 1.1 no será aplicable a las personas que tengan condición de riesgo.</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 xml:space="preserve">1.12.2.3.- </w:t>
            </w:r>
            <w:r w:rsidRPr="006E19B8">
              <w:rPr>
                <w:rFonts w:ascii="Tahoma" w:eastAsia="Calibri" w:hAnsi="Tahoma" w:cs="Tahoma"/>
                <w:color w:val="000000"/>
                <w:sz w:val="24"/>
                <w:szCs w:val="24"/>
                <w:lang w:eastAsia="es-CR"/>
              </w:rPr>
              <w:t xml:space="preserve">Para este último caso, si la persona no tiene condiciones para poder teletrabajar, se procederá a otorgarles vacaciones.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 xml:space="preserve">1.13.- Planes de trabajo y cuotas: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 xml:space="preserve">1.13.1.- </w:t>
            </w:r>
            <w:r w:rsidRPr="006E19B8">
              <w:rPr>
                <w:rFonts w:ascii="Tahoma" w:eastAsia="Calibri" w:hAnsi="Tahoma" w:cs="Tahoma"/>
                <w:color w:val="000000"/>
                <w:sz w:val="24"/>
                <w:szCs w:val="24"/>
                <w:lang w:eastAsia="es-CR"/>
              </w:rPr>
              <w:t xml:space="preserve">Los planes de trabajo asignados y cuotas de cada una de las oficinas serán variados en lo que estrictamente sea necesario. Deberá procurar en lo posible mantener las cuotas establecidas por la Dirección de Planificación.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1.13.2.-</w:t>
            </w:r>
            <w:r w:rsidRPr="006E19B8">
              <w:rPr>
                <w:rFonts w:ascii="Tahoma" w:eastAsia="Calibri" w:hAnsi="Tahoma" w:cs="Tahoma"/>
                <w:color w:val="000000"/>
                <w:sz w:val="24"/>
                <w:szCs w:val="24"/>
                <w:lang w:eastAsia="es-CR"/>
              </w:rPr>
              <w:t xml:space="preserve"> Lo anterior deberá justificarse en los indicadores de gestión correspondiente y</w:t>
            </w:r>
            <w:r w:rsidR="00B636A7" w:rsidRPr="006E19B8">
              <w:rPr>
                <w:rFonts w:ascii="Tahoma" w:eastAsia="Calibri" w:hAnsi="Tahoma" w:cs="Tahoma"/>
                <w:color w:val="000000"/>
                <w:sz w:val="24"/>
                <w:szCs w:val="24"/>
                <w:lang w:eastAsia="es-CR"/>
              </w:rPr>
              <w:t xml:space="preserve"> </w:t>
            </w:r>
            <w:r w:rsidRPr="006E19B8">
              <w:rPr>
                <w:rFonts w:ascii="Tahoma" w:eastAsia="Calibri" w:hAnsi="Tahoma" w:cs="Tahoma"/>
                <w:color w:val="000000"/>
                <w:sz w:val="24"/>
                <w:szCs w:val="24"/>
                <w:lang w:eastAsia="es-CR"/>
              </w:rPr>
              <w:t>además, informar al Centro de Apoyo, Coordinación y Mejoramiento de la Función Jurisdiccional al correo: centro_gestion_juris@poder-judicial.go.cr</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1.13.3.-</w:t>
            </w:r>
            <w:r w:rsidRPr="006E19B8">
              <w:rPr>
                <w:rFonts w:ascii="Tahoma" w:eastAsia="Calibri" w:hAnsi="Tahoma" w:cs="Tahoma"/>
                <w:color w:val="000000"/>
                <w:sz w:val="24"/>
                <w:szCs w:val="24"/>
                <w:lang w:eastAsia="es-CR"/>
              </w:rPr>
              <w:t xml:space="preserve"> Salvo las prioridades establecidas, en lo posible, se resolverá por orden de antigüedad.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 xml:space="preserve">1.13.4.- </w:t>
            </w:r>
            <w:r w:rsidRPr="006E19B8">
              <w:rPr>
                <w:rFonts w:ascii="Tahoma" w:eastAsia="Calibri" w:hAnsi="Tahoma" w:cs="Tahoma"/>
                <w:color w:val="000000"/>
                <w:sz w:val="24"/>
                <w:szCs w:val="24"/>
                <w:lang w:eastAsia="es-CR"/>
              </w:rPr>
              <w:t xml:space="preserve">Cada oficina coordinará con la Administración Regional la realización de los inventarios anuales de expedientes, en cuyos casos cuenten con la posibilidad de hacerlo. Deberá </w:t>
            </w:r>
            <w:r w:rsidR="00426692" w:rsidRPr="006E19B8">
              <w:rPr>
                <w:rFonts w:ascii="Tahoma" w:eastAsia="Calibri" w:hAnsi="Tahoma" w:cs="Tahoma"/>
                <w:color w:val="000000"/>
                <w:sz w:val="24"/>
                <w:szCs w:val="24"/>
                <w:lang w:eastAsia="es-CR"/>
              </w:rPr>
              <w:t>considerar que</w:t>
            </w:r>
            <w:r w:rsidRPr="006E19B8">
              <w:rPr>
                <w:rFonts w:ascii="Tahoma" w:eastAsia="Calibri" w:hAnsi="Tahoma" w:cs="Tahoma"/>
                <w:color w:val="000000"/>
                <w:sz w:val="24"/>
                <w:szCs w:val="24"/>
                <w:lang w:eastAsia="es-CR"/>
              </w:rPr>
              <w:t xml:space="preserve"> la prioridad es resolver las gestiones pendientes.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 xml:space="preserve">1.14.- Seguimiento: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 xml:space="preserve">Los planes de trabajo formulados, conforme lo dispuesto por los Órganos Superiores, deben de ser remitidos obligatoriamente por los despachos civiles </w:t>
            </w:r>
            <w:r w:rsidR="00426692" w:rsidRPr="006E19B8">
              <w:rPr>
                <w:rFonts w:ascii="Tahoma" w:eastAsia="Calibri" w:hAnsi="Tahoma" w:cs="Tahoma"/>
                <w:color w:val="000000"/>
                <w:sz w:val="24"/>
                <w:szCs w:val="24"/>
                <w:lang w:eastAsia="es-CR"/>
              </w:rPr>
              <w:t>y cobratorios</w:t>
            </w:r>
            <w:r w:rsidRPr="006E19B8">
              <w:rPr>
                <w:rFonts w:ascii="Tahoma" w:eastAsia="Calibri" w:hAnsi="Tahoma" w:cs="Tahoma"/>
                <w:color w:val="000000"/>
                <w:sz w:val="24"/>
                <w:szCs w:val="24"/>
                <w:lang w:eastAsia="es-CR"/>
              </w:rPr>
              <w:t xml:space="preserve"> al Centro de Apoyo, Coordinación y Mejoramiento de la Función Jurisdiccional, mediante la plantilla facilitada por esta oficina</w:t>
            </w:r>
            <w:r w:rsidR="00F56877" w:rsidRPr="006E19B8">
              <w:rPr>
                <w:rFonts w:ascii="Tahoma" w:eastAsia="Calibri" w:hAnsi="Tahoma" w:cs="Tahoma"/>
                <w:color w:val="000000"/>
                <w:sz w:val="24"/>
                <w:szCs w:val="24"/>
                <w:lang w:eastAsia="es-CR"/>
              </w:rPr>
              <w:t>.</w:t>
            </w:r>
          </w:p>
          <w:p w:rsidR="009467EA" w:rsidRPr="006E19B8" w:rsidRDefault="009467EA" w:rsidP="00FE551A">
            <w:pPr>
              <w:spacing w:before="100" w:beforeAutospacing="1" w:after="160" w:line="256" w:lineRule="auto"/>
              <w:jc w:val="both"/>
              <w:rPr>
                <w:rFonts w:ascii="Tahoma" w:eastAsia="Calibri" w:hAnsi="Tahoma" w:cs="Tahoma"/>
                <w:b/>
                <w:bCs/>
                <w:sz w:val="24"/>
                <w:szCs w:val="24"/>
                <w:lang w:eastAsia="es-CR"/>
              </w:rPr>
            </w:pPr>
            <w:r w:rsidRPr="006E19B8">
              <w:rPr>
                <w:rFonts w:ascii="Tahoma" w:eastAsia="Calibri" w:hAnsi="Tahoma" w:cs="Tahoma"/>
                <w:color w:val="000000"/>
                <w:sz w:val="24"/>
                <w:szCs w:val="24"/>
                <w:lang w:eastAsia="es-CR"/>
              </w:rPr>
              <w:t>Asimismo, los despachos judiciales continuarán presentando los reportes semanales al Centro de Apoyo, Coordinación y Mejoramiento de la Función Jurisdiccional por medio de la matriz compartida en la plataforma OneDrive.</w:t>
            </w:r>
          </w:p>
        </w:tc>
      </w:tr>
      <w:tr w:rsidR="009467EA" w:rsidRPr="006E19B8" w:rsidTr="00A4754C">
        <w:tc>
          <w:tcPr>
            <w:tcW w:w="4254" w:type="dxa"/>
          </w:tcPr>
          <w:p w:rsidR="006C6DF2" w:rsidRPr="006E19B8" w:rsidRDefault="006C6DF2" w:rsidP="009467EA">
            <w:pPr>
              <w:jc w:val="center"/>
              <w:rPr>
                <w:rFonts w:ascii="Tahoma" w:hAnsi="Tahoma" w:cs="Tahoma"/>
                <w:b/>
                <w:bCs/>
                <w:sz w:val="24"/>
                <w:szCs w:val="24"/>
              </w:rPr>
            </w:pPr>
            <w:r w:rsidRPr="006E19B8">
              <w:rPr>
                <w:rFonts w:ascii="Tahoma" w:hAnsi="Tahoma" w:cs="Tahoma"/>
                <w:b/>
                <w:bCs/>
                <w:noProof/>
                <w:sz w:val="24"/>
                <w:szCs w:val="24"/>
              </w:rPr>
              <w:drawing>
                <wp:anchor distT="0" distB="0" distL="114300" distR="114300" simplePos="0" relativeHeight="251658242" behindDoc="1" locked="0" layoutInCell="1" allowOverlap="1" wp14:anchorId="7E72F5A6" wp14:editId="2821D610">
                  <wp:simplePos x="0" y="0"/>
                  <wp:positionH relativeFrom="column">
                    <wp:posOffset>421107</wp:posOffset>
                  </wp:positionH>
                  <wp:positionV relativeFrom="paragraph">
                    <wp:posOffset>185420</wp:posOffset>
                  </wp:positionV>
                  <wp:extent cx="1668780" cy="1098550"/>
                  <wp:effectExtent l="0" t="0" r="0" b="6350"/>
                  <wp:wrapTight wrapText="bothSides">
                    <wp:wrapPolygon edited="0">
                      <wp:start x="10110" y="0"/>
                      <wp:lineTo x="5425" y="1498"/>
                      <wp:lineTo x="4438" y="2622"/>
                      <wp:lineTo x="4438" y="5993"/>
                      <wp:lineTo x="3452" y="10488"/>
                      <wp:lineTo x="3452" y="11986"/>
                      <wp:lineTo x="4438" y="17979"/>
                      <wp:lineTo x="4438" y="19477"/>
                      <wp:lineTo x="7890" y="21350"/>
                      <wp:lineTo x="10110" y="21350"/>
                      <wp:lineTo x="11342" y="21350"/>
                      <wp:lineTo x="13562" y="21350"/>
                      <wp:lineTo x="17260" y="19103"/>
                      <wp:lineTo x="17014" y="17979"/>
                      <wp:lineTo x="18247" y="11986"/>
                      <wp:lineTo x="18000" y="9364"/>
                      <wp:lineTo x="17014" y="5993"/>
                      <wp:lineTo x="17507" y="2997"/>
                      <wp:lineTo x="16027" y="1498"/>
                      <wp:lineTo x="11342" y="0"/>
                      <wp:lineTo x="10110" y="0"/>
                    </wp:wrapPolygon>
                  </wp:wrapTight>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margin">
                    <wp14:pctWidth>0</wp14:pctWidth>
                  </wp14:sizeRelH>
                  <wp14:sizeRelV relativeFrom="margin">
                    <wp14:pctHeight>0</wp14:pctHeight>
                  </wp14:sizeRelV>
                </wp:anchor>
              </w:drawing>
            </w:r>
          </w:p>
          <w:p w:rsidR="006C6DF2" w:rsidRPr="006E19B8" w:rsidRDefault="006C6DF2" w:rsidP="009467EA">
            <w:pPr>
              <w:jc w:val="center"/>
              <w:rPr>
                <w:rFonts w:ascii="Tahoma" w:hAnsi="Tahoma" w:cs="Tahoma"/>
                <w:b/>
                <w:bCs/>
                <w:sz w:val="24"/>
                <w:szCs w:val="24"/>
              </w:rPr>
            </w:pPr>
          </w:p>
          <w:p w:rsidR="006C6DF2" w:rsidRPr="006E19B8" w:rsidRDefault="006C6DF2" w:rsidP="009467EA">
            <w:pPr>
              <w:jc w:val="center"/>
              <w:rPr>
                <w:rFonts w:ascii="Tahoma" w:hAnsi="Tahoma" w:cs="Tahoma"/>
                <w:b/>
                <w:bCs/>
                <w:sz w:val="24"/>
                <w:szCs w:val="24"/>
              </w:rPr>
            </w:pPr>
          </w:p>
          <w:p w:rsidR="006C6DF2" w:rsidRPr="006E19B8" w:rsidRDefault="006C6DF2" w:rsidP="009467EA">
            <w:pPr>
              <w:jc w:val="center"/>
              <w:rPr>
                <w:rFonts w:ascii="Tahoma" w:hAnsi="Tahoma" w:cs="Tahoma"/>
                <w:b/>
                <w:bCs/>
                <w:sz w:val="24"/>
                <w:szCs w:val="24"/>
              </w:rPr>
            </w:pPr>
          </w:p>
          <w:p w:rsidR="006C6DF2" w:rsidRPr="006E19B8" w:rsidRDefault="006C6DF2" w:rsidP="009467EA">
            <w:pPr>
              <w:jc w:val="center"/>
              <w:rPr>
                <w:rFonts w:ascii="Tahoma" w:hAnsi="Tahoma" w:cs="Tahoma"/>
                <w:b/>
                <w:bCs/>
                <w:sz w:val="24"/>
                <w:szCs w:val="24"/>
              </w:rPr>
            </w:pPr>
          </w:p>
          <w:p w:rsidR="006C6DF2" w:rsidRPr="006E19B8" w:rsidRDefault="006C6DF2" w:rsidP="009467EA">
            <w:pPr>
              <w:jc w:val="center"/>
              <w:rPr>
                <w:rFonts w:ascii="Tahoma" w:hAnsi="Tahoma" w:cs="Tahoma"/>
                <w:b/>
                <w:bCs/>
                <w:sz w:val="24"/>
                <w:szCs w:val="24"/>
              </w:rPr>
            </w:pPr>
          </w:p>
          <w:p w:rsidR="006C6DF2" w:rsidRPr="006E19B8" w:rsidRDefault="006C6DF2" w:rsidP="009467EA">
            <w:pPr>
              <w:jc w:val="center"/>
              <w:rPr>
                <w:rFonts w:ascii="Tahoma" w:hAnsi="Tahoma" w:cs="Tahoma"/>
                <w:b/>
                <w:bCs/>
                <w:sz w:val="24"/>
                <w:szCs w:val="24"/>
              </w:rPr>
            </w:pPr>
          </w:p>
          <w:p w:rsidR="006C6DF2" w:rsidRPr="006E19B8" w:rsidRDefault="006C6DF2" w:rsidP="00CE324C">
            <w:pPr>
              <w:rPr>
                <w:rFonts w:ascii="Tahoma" w:hAnsi="Tahoma" w:cs="Tahoma"/>
                <w:b/>
                <w:bCs/>
                <w:sz w:val="24"/>
                <w:szCs w:val="24"/>
              </w:rPr>
            </w:pPr>
          </w:p>
          <w:p w:rsidR="009467EA" w:rsidRPr="006E19B8" w:rsidRDefault="009467EA" w:rsidP="006A7DDC">
            <w:pPr>
              <w:jc w:val="center"/>
              <w:rPr>
                <w:rFonts w:ascii="Tahoma" w:hAnsi="Tahoma" w:cs="Tahoma"/>
                <w:b/>
                <w:bCs/>
                <w:sz w:val="24"/>
                <w:szCs w:val="24"/>
              </w:rPr>
            </w:pPr>
            <w:r w:rsidRPr="006E19B8">
              <w:rPr>
                <w:rFonts w:ascii="Tahoma" w:hAnsi="Tahoma" w:cs="Tahoma"/>
                <w:b/>
                <w:bCs/>
                <w:sz w:val="24"/>
                <w:szCs w:val="24"/>
              </w:rPr>
              <w:t xml:space="preserve">Fase </w:t>
            </w:r>
            <w:r w:rsidR="001429DF" w:rsidRPr="006E19B8">
              <w:rPr>
                <w:rFonts w:ascii="Tahoma" w:hAnsi="Tahoma" w:cs="Tahoma"/>
                <w:b/>
                <w:bCs/>
                <w:sz w:val="24"/>
                <w:szCs w:val="24"/>
              </w:rPr>
              <w:t>3</w:t>
            </w:r>
            <w:r w:rsidRPr="006E19B8">
              <w:rPr>
                <w:rFonts w:ascii="Tahoma" w:hAnsi="Tahoma" w:cs="Tahoma"/>
                <w:b/>
                <w:bCs/>
                <w:sz w:val="24"/>
                <w:szCs w:val="24"/>
              </w:rPr>
              <w:t>: Alerta Naranja</w:t>
            </w:r>
          </w:p>
          <w:p w:rsidR="006A7DDC" w:rsidRPr="006E19B8" w:rsidRDefault="006A7DDC" w:rsidP="00FE551A">
            <w:pPr>
              <w:jc w:val="center"/>
              <w:rPr>
                <w:rFonts w:ascii="Tahoma" w:hAnsi="Tahoma" w:cs="Tahoma"/>
                <w:b/>
                <w:bCs/>
                <w:sz w:val="24"/>
                <w:szCs w:val="24"/>
              </w:rPr>
            </w:pPr>
            <w:r w:rsidRPr="006E19B8">
              <w:rPr>
                <w:rFonts w:ascii="Tahoma" w:hAnsi="Tahoma" w:cs="Tahoma"/>
                <w:b/>
                <w:bCs/>
                <w:sz w:val="24"/>
                <w:szCs w:val="24"/>
              </w:rPr>
              <w:t>Grado de riesgo: alto.</w:t>
            </w: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sz w:val="24"/>
                <w:szCs w:val="24"/>
                <w:u w:val="single"/>
              </w:rPr>
            </w:pPr>
            <w:r w:rsidRPr="006E19B8">
              <w:rPr>
                <w:rFonts w:ascii="Tahoma" w:hAnsi="Tahoma" w:cs="Tahoma"/>
                <w:sz w:val="24"/>
                <w:szCs w:val="24"/>
                <w:u w:val="single"/>
              </w:rPr>
              <w:t>Cierre con atención de servicios mínimos esenciales.</w:t>
            </w: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sz w:val="24"/>
                <w:szCs w:val="24"/>
              </w:rPr>
            </w:pPr>
            <w:r w:rsidRPr="006E19B8">
              <w:rPr>
                <w:rFonts w:ascii="Tahoma" w:hAnsi="Tahoma" w:cs="Tahoma"/>
                <w:sz w:val="24"/>
                <w:szCs w:val="24"/>
              </w:rPr>
              <w:t>Circular</w:t>
            </w:r>
            <w:r w:rsidR="006A7DDC" w:rsidRPr="006E19B8">
              <w:rPr>
                <w:rFonts w:ascii="Tahoma" w:hAnsi="Tahoma" w:cs="Tahoma"/>
                <w:sz w:val="24"/>
                <w:szCs w:val="24"/>
              </w:rPr>
              <w:t xml:space="preserve"> N°</w:t>
            </w:r>
            <w:r w:rsidRPr="006E19B8">
              <w:rPr>
                <w:rFonts w:ascii="Tahoma" w:hAnsi="Tahoma" w:cs="Tahoma"/>
                <w:sz w:val="24"/>
                <w:szCs w:val="24"/>
              </w:rPr>
              <w:t xml:space="preserve">118-2020 </w:t>
            </w:r>
            <w:r w:rsidR="000034FA" w:rsidRPr="006E19B8">
              <w:rPr>
                <w:rFonts w:ascii="Tahoma" w:hAnsi="Tahoma" w:cs="Tahoma"/>
                <w:sz w:val="24"/>
                <w:szCs w:val="24"/>
              </w:rPr>
              <w:t xml:space="preserve"> </w:t>
            </w:r>
            <w:r w:rsidR="000034FA" w:rsidRPr="006E19B8">
              <w:rPr>
                <w:rFonts w:ascii="Tahoma" w:hAnsi="Tahoma" w:cs="Tahoma"/>
                <w:i/>
                <w:iCs/>
                <w:sz w:val="24"/>
                <w:szCs w:val="24"/>
              </w:rPr>
              <w:t>“Acuerdo de Corte Plena. Sesión N° 32-2020 del 8 de junio de 2020, en atención a la declaratoria de emergencia nacional, debido a la situación de emergencia sanitaria provocada por la enfermedad COVID-19.”</w:t>
            </w: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sz w:val="24"/>
                <w:szCs w:val="24"/>
              </w:rPr>
            </w:pPr>
            <w:r w:rsidRPr="006E19B8">
              <w:rPr>
                <w:rFonts w:ascii="Tahoma" w:hAnsi="Tahoma" w:cs="Tahoma"/>
                <w:sz w:val="24"/>
                <w:szCs w:val="24"/>
              </w:rPr>
              <w:t xml:space="preserve">Circular </w:t>
            </w:r>
            <w:r w:rsidR="006A7DDC" w:rsidRPr="006E19B8">
              <w:rPr>
                <w:rFonts w:ascii="Tahoma" w:hAnsi="Tahoma" w:cs="Tahoma"/>
                <w:sz w:val="24"/>
                <w:szCs w:val="24"/>
              </w:rPr>
              <w:t>N°</w:t>
            </w:r>
            <w:r w:rsidRPr="006E19B8">
              <w:rPr>
                <w:rFonts w:ascii="Tahoma" w:hAnsi="Tahoma" w:cs="Tahoma"/>
                <w:sz w:val="24"/>
                <w:szCs w:val="24"/>
              </w:rPr>
              <w:t xml:space="preserve">124-2020 </w:t>
            </w:r>
            <w:r w:rsidRPr="006E19B8">
              <w:rPr>
                <w:rFonts w:ascii="Tahoma" w:hAnsi="Tahoma" w:cs="Tahoma"/>
                <w:i/>
                <w:iCs/>
                <w:sz w:val="24"/>
                <w:szCs w:val="24"/>
              </w:rPr>
              <w:t>“Disposiciones para los despachos judiciales de Desamparados y Alajuelita ante la declaratoria de alerta naranja por parte del Ministerio de Salud”</w:t>
            </w:r>
            <w:r w:rsidRPr="006E19B8">
              <w:rPr>
                <w:rFonts w:ascii="Tahoma" w:hAnsi="Tahoma" w:cs="Tahoma"/>
                <w:sz w:val="24"/>
                <w:szCs w:val="24"/>
              </w:rPr>
              <w:t xml:space="preserve"> </w:t>
            </w: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i/>
                <w:iCs/>
                <w:color w:val="201F1E"/>
                <w:sz w:val="24"/>
                <w:szCs w:val="24"/>
                <w:bdr w:val="none" w:sz="0" w:space="0" w:color="auto" w:frame="1"/>
                <w:shd w:val="clear" w:color="auto" w:fill="FFFFFF"/>
              </w:rPr>
            </w:pPr>
            <w:r w:rsidRPr="006E19B8">
              <w:rPr>
                <w:rFonts w:ascii="Tahoma" w:hAnsi="Tahoma" w:cs="Tahoma"/>
                <w:sz w:val="24"/>
                <w:szCs w:val="24"/>
              </w:rPr>
              <w:t xml:space="preserve">Circular </w:t>
            </w:r>
            <w:r w:rsidR="006A7DDC" w:rsidRPr="006E19B8">
              <w:rPr>
                <w:rFonts w:ascii="Tahoma" w:hAnsi="Tahoma" w:cs="Tahoma"/>
                <w:sz w:val="24"/>
                <w:szCs w:val="24"/>
              </w:rPr>
              <w:t>N°</w:t>
            </w:r>
            <w:r w:rsidRPr="006E19B8">
              <w:rPr>
                <w:rFonts w:ascii="Tahoma" w:hAnsi="Tahoma" w:cs="Tahoma"/>
                <w:sz w:val="24"/>
                <w:szCs w:val="24"/>
              </w:rPr>
              <w:t xml:space="preserve">131-2020 que indica en su asunto: </w:t>
            </w:r>
            <w:r w:rsidRPr="006E19B8">
              <w:rPr>
                <w:rFonts w:ascii="Tahoma" w:hAnsi="Tahoma" w:cs="Tahoma"/>
                <w:i/>
                <w:iCs/>
                <w:sz w:val="24"/>
                <w:szCs w:val="24"/>
              </w:rPr>
              <w:t>“</w:t>
            </w:r>
            <w:r w:rsidRPr="006E19B8">
              <w:rPr>
                <w:rFonts w:ascii="Tahoma" w:hAnsi="Tahoma" w:cs="Tahoma"/>
                <w:i/>
                <w:iCs/>
                <w:color w:val="201F1E"/>
                <w:sz w:val="24"/>
                <w:szCs w:val="24"/>
                <w:shd w:val="clear" w:color="auto" w:fill="FFFFFF"/>
              </w:rPr>
              <w:t>Disposiciones para </w:t>
            </w:r>
            <w:bookmarkStart w:id="7" w:name="x__Hlk35780246"/>
            <w:r w:rsidRPr="006E19B8">
              <w:rPr>
                <w:rFonts w:ascii="Tahoma" w:hAnsi="Tahoma" w:cs="Tahoma"/>
                <w:i/>
                <w:iCs/>
                <w:color w:val="201F1E"/>
                <w:sz w:val="24"/>
                <w:szCs w:val="24"/>
                <w:bdr w:val="none" w:sz="0" w:space="0" w:color="auto" w:frame="1"/>
                <w:shd w:val="clear" w:color="auto" w:fill="FFFFFF"/>
              </w:rPr>
              <w:t>los despachos judiciales de Corredores y demás despachos todo el país, ante la declaratoria de alerta naranja por parte del Ministerio de Salud.</w:t>
            </w:r>
            <w:bookmarkEnd w:id="7"/>
            <w:r w:rsidRPr="006E19B8">
              <w:rPr>
                <w:rFonts w:ascii="Tahoma" w:hAnsi="Tahoma" w:cs="Tahoma"/>
                <w:i/>
                <w:iCs/>
                <w:color w:val="201F1E"/>
                <w:sz w:val="24"/>
                <w:szCs w:val="24"/>
                <w:bdr w:val="none" w:sz="0" w:space="0" w:color="auto" w:frame="1"/>
                <w:shd w:val="clear" w:color="auto" w:fill="FFFFFF"/>
              </w:rPr>
              <w:t>”</w:t>
            </w:r>
          </w:p>
          <w:p w:rsidR="009467EA" w:rsidRPr="006E19B8" w:rsidRDefault="009467EA" w:rsidP="009467EA">
            <w:pPr>
              <w:jc w:val="both"/>
              <w:rPr>
                <w:rFonts w:ascii="Tahoma" w:hAnsi="Tahoma" w:cs="Tahoma"/>
                <w:i/>
                <w:iCs/>
                <w:color w:val="201F1E"/>
                <w:sz w:val="24"/>
                <w:szCs w:val="24"/>
                <w:bdr w:val="none" w:sz="0" w:space="0" w:color="auto" w:frame="1"/>
                <w:shd w:val="clear" w:color="auto" w:fill="FFFFFF"/>
              </w:rPr>
            </w:pPr>
          </w:p>
          <w:p w:rsidR="006A7DDC" w:rsidRPr="006E19B8" w:rsidRDefault="006A7DDC" w:rsidP="006A7DDC">
            <w:pPr>
              <w:jc w:val="both"/>
              <w:rPr>
                <w:rFonts w:ascii="Tahoma" w:eastAsia="Calibri" w:hAnsi="Tahoma" w:cs="Tahoma"/>
                <w:sz w:val="24"/>
                <w:szCs w:val="24"/>
                <w:lang w:eastAsia="ar-SA"/>
              </w:rPr>
            </w:pPr>
            <w:r w:rsidRPr="006E19B8">
              <w:rPr>
                <w:rFonts w:ascii="Tahoma" w:hAnsi="Tahoma" w:cs="Tahoma"/>
                <w:sz w:val="24"/>
                <w:szCs w:val="24"/>
              </w:rPr>
              <w:t>Circular N° 146-</w:t>
            </w:r>
            <w:r w:rsidRPr="006E19B8">
              <w:rPr>
                <w:rFonts w:ascii="Tahoma" w:hAnsi="Tahoma" w:cs="Tahoma"/>
                <w:i/>
                <w:iCs/>
                <w:sz w:val="24"/>
                <w:szCs w:val="24"/>
              </w:rPr>
              <w:t>2020 “Acuerdo de Corte Plena. Sesión N° 40-2020 del 11 de julio de 2020, en atención a la declaratoria de emergencia nacional, debido a la situación de emergencia sanitaria provocada por la enfermedad COVID-19.”</w:t>
            </w:r>
          </w:p>
          <w:p w:rsidR="006A7DDC" w:rsidRPr="006E19B8" w:rsidRDefault="006A7DDC" w:rsidP="006A7DDC">
            <w:pPr>
              <w:jc w:val="both"/>
              <w:rPr>
                <w:rFonts w:ascii="Tahoma" w:hAnsi="Tahoma" w:cs="Tahoma"/>
                <w:sz w:val="24"/>
                <w:szCs w:val="24"/>
              </w:rPr>
            </w:pPr>
            <w:r w:rsidRPr="006E19B8">
              <w:rPr>
                <w:rFonts w:ascii="Tahoma" w:hAnsi="Tahoma" w:cs="Tahoma"/>
                <w:sz w:val="24"/>
                <w:szCs w:val="24"/>
              </w:rPr>
              <w:t xml:space="preserve"> </w:t>
            </w:r>
          </w:p>
          <w:p w:rsidR="006A7DDC" w:rsidRPr="006E19B8" w:rsidRDefault="006A7DDC" w:rsidP="006A7DDC">
            <w:pPr>
              <w:jc w:val="both"/>
              <w:rPr>
                <w:rFonts w:ascii="Tahoma" w:hAnsi="Tahoma" w:cs="Tahoma"/>
                <w:sz w:val="24"/>
                <w:szCs w:val="24"/>
              </w:rPr>
            </w:pPr>
            <w:r w:rsidRPr="006E19B8">
              <w:rPr>
                <w:rFonts w:ascii="Tahoma" w:hAnsi="Tahoma" w:cs="Tahoma"/>
                <w:sz w:val="24"/>
                <w:szCs w:val="24"/>
              </w:rPr>
              <w:t xml:space="preserve">Circular N° 152-2020 </w:t>
            </w:r>
            <w:r w:rsidRPr="006E19B8">
              <w:rPr>
                <w:rFonts w:ascii="Tahoma" w:hAnsi="Tahoma" w:cs="Tahoma"/>
                <w:i/>
                <w:iCs/>
                <w:sz w:val="24"/>
                <w:szCs w:val="24"/>
              </w:rPr>
              <w:t>“Acuerdo de Corte Plena. Sesión N° 41-2020 del 13 de julio de 2020, en atención a la declaratoria de emergencia nacional, debido a la situación de emergencia sanitaria provocada por la enfermedad COVID-19.”</w:t>
            </w:r>
          </w:p>
          <w:p w:rsidR="006A7DDC" w:rsidRPr="006E19B8" w:rsidRDefault="006A7DDC" w:rsidP="009467EA">
            <w:pPr>
              <w:jc w:val="both"/>
              <w:rPr>
                <w:rFonts w:ascii="Tahoma" w:hAnsi="Tahoma" w:cs="Tahoma"/>
                <w:sz w:val="24"/>
                <w:szCs w:val="24"/>
              </w:rPr>
            </w:pPr>
          </w:p>
          <w:p w:rsidR="009467EA" w:rsidRPr="006E19B8" w:rsidRDefault="009467EA" w:rsidP="009467EA">
            <w:pPr>
              <w:jc w:val="both"/>
              <w:rPr>
                <w:rFonts w:ascii="Tahoma" w:hAnsi="Tahoma" w:cs="Tahoma"/>
                <w:sz w:val="24"/>
                <w:szCs w:val="24"/>
              </w:rPr>
            </w:pPr>
          </w:p>
          <w:p w:rsidR="006A7DDC" w:rsidRDefault="006A7DDC" w:rsidP="009467EA">
            <w:pPr>
              <w:jc w:val="both"/>
              <w:rPr>
                <w:rFonts w:ascii="Tahoma" w:hAnsi="Tahoma" w:cs="Tahoma"/>
                <w:i/>
                <w:iCs/>
                <w:sz w:val="24"/>
                <w:szCs w:val="24"/>
              </w:rPr>
            </w:pPr>
            <w:r w:rsidRPr="006E19B8">
              <w:rPr>
                <w:rFonts w:ascii="Tahoma" w:eastAsia="Calibri" w:hAnsi="Tahoma" w:cs="Tahoma"/>
                <w:sz w:val="24"/>
                <w:szCs w:val="24"/>
                <w:lang w:eastAsia="es-CR"/>
              </w:rPr>
              <w:t xml:space="preserve">Circular </w:t>
            </w:r>
            <w:r w:rsidR="00186B46" w:rsidRPr="006E19B8">
              <w:rPr>
                <w:rFonts w:ascii="Tahoma" w:eastAsia="Calibri" w:hAnsi="Tahoma" w:cs="Tahoma"/>
                <w:sz w:val="24"/>
                <w:szCs w:val="24"/>
                <w:lang w:eastAsia="es-CR"/>
              </w:rPr>
              <w:t xml:space="preserve">N° </w:t>
            </w:r>
            <w:r w:rsidRPr="006E19B8">
              <w:rPr>
                <w:rFonts w:ascii="Tahoma" w:eastAsia="Calibri" w:hAnsi="Tahoma" w:cs="Tahoma"/>
                <w:sz w:val="24"/>
                <w:szCs w:val="24"/>
                <w:lang w:eastAsia="es-CR"/>
              </w:rPr>
              <w:t xml:space="preserve">93-2020 </w:t>
            </w:r>
            <w:r w:rsidRPr="006E19B8">
              <w:rPr>
                <w:rFonts w:ascii="Tahoma" w:hAnsi="Tahoma" w:cs="Tahoma"/>
                <w:i/>
                <w:iCs/>
                <w:sz w:val="24"/>
                <w:szCs w:val="24"/>
              </w:rPr>
              <w:t>“Protocolo para la realización de audiencias orales por medios tecnológicos en materia civil.</w:t>
            </w:r>
          </w:p>
          <w:p w:rsidR="001959BE" w:rsidRDefault="001959BE" w:rsidP="009467EA">
            <w:pPr>
              <w:jc w:val="both"/>
              <w:rPr>
                <w:rFonts w:ascii="Tahoma" w:hAnsi="Tahoma" w:cs="Tahoma"/>
                <w:i/>
                <w:iCs/>
                <w:sz w:val="24"/>
                <w:szCs w:val="24"/>
              </w:rPr>
            </w:pPr>
          </w:p>
          <w:p w:rsidR="001959BE" w:rsidRPr="00D23EFE" w:rsidRDefault="001959BE" w:rsidP="001959BE">
            <w:pPr>
              <w:jc w:val="both"/>
              <w:rPr>
                <w:rFonts w:ascii="Tahoma" w:hAnsi="Tahoma" w:cs="Tahoma"/>
                <w:i/>
                <w:iCs/>
                <w:color w:val="000000"/>
                <w:sz w:val="24"/>
                <w:szCs w:val="24"/>
                <w:lang w:eastAsia="es-CR"/>
              </w:rPr>
            </w:pPr>
            <w:r w:rsidRPr="000A7FFD">
              <w:rPr>
                <w:rFonts w:ascii="Tahoma" w:eastAsia="Calibri" w:hAnsi="Tahoma" w:cs="Tahoma"/>
                <w:sz w:val="24"/>
                <w:szCs w:val="24"/>
              </w:rPr>
              <w:t xml:space="preserve">Circular N° 97-2020 </w:t>
            </w:r>
            <w:r w:rsidRPr="005C3F49">
              <w:rPr>
                <w:rFonts w:ascii="Tahoma" w:eastAsia="Calibri" w:hAnsi="Tahoma" w:cs="Tahoma"/>
                <w:i/>
                <w:iCs/>
                <w:sz w:val="24"/>
                <w:szCs w:val="24"/>
              </w:rPr>
              <w:t>“Protocolos para la utilización de salas de juicio, ingreso de personas usuarias y limpieza de áreas.”</w:t>
            </w:r>
          </w:p>
          <w:p w:rsidR="00696736" w:rsidRDefault="00696736" w:rsidP="009467EA">
            <w:pPr>
              <w:jc w:val="both"/>
              <w:rPr>
                <w:rFonts w:ascii="Tahoma" w:hAnsi="Tahoma" w:cs="Tahoma"/>
                <w:i/>
                <w:iCs/>
                <w:sz w:val="24"/>
                <w:szCs w:val="24"/>
              </w:rPr>
            </w:pPr>
          </w:p>
          <w:p w:rsidR="00696736" w:rsidRDefault="00696736" w:rsidP="009467EA">
            <w:pPr>
              <w:jc w:val="both"/>
              <w:rPr>
                <w:rFonts w:ascii="Tahoma" w:hAnsi="Tahoma" w:cs="Tahoma"/>
                <w:i/>
                <w:iCs/>
                <w:sz w:val="24"/>
                <w:szCs w:val="24"/>
              </w:rPr>
            </w:pPr>
            <w:r>
              <w:rPr>
                <w:rFonts w:ascii="Tahoma" w:hAnsi="Tahoma" w:cs="Tahoma"/>
                <w:i/>
                <w:iCs/>
                <w:sz w:val="24"/>
                <w:szCs w:val="24"/>
              </w:rPr>
              <w:t xml:space="preserve">Circular N° </w:t>
            </w:r>
            <w:r w:rsidR="000E0633">
              <w:rPr>
                <w:rFonts w:ascii="Tahoma" w:hAnsi="Tahoma" w:cs="Tahoma"/>
                <w:i/>
                <w:iCs/>
                <w:sz w:val="24"/>
                <w:szCs w:val="24"/>
              </w:rPr>
              <w:t>231-2020 “</w:t>
            </w:r>
            <w:r w:rsidR="00573A74" w:rsidRPr="00573A74">
              <w:rPr>
                <w:rFonts w:ascii="Tahoma" w:hAnsi="Tahoma" w:cs="Tahoma"/>
                <w:i/>
                <w:iCs/>
                <w:sz w:val="24"/>
                <w:szCs w:val="24"/>
              </w:rPr>
              <w:t>Dejar sin efecto la circular N° 215-2020 del 30 de setiembre de 2020, en la que se autorizó a los despachos ubicados en los cantones en alerta naranja, a suspender los remates”</w:t>
            </w:r>
          </w:p>
          <w:p w:rsidR="006717CE" w:rsidRDefault="006717CE" w:rsidP="009467EA">
            <w:pPr>
              <w:jc w:val="both"/>
              <w:rPr>
                <w:rFonts w:ascii="Tahoma" w:hAnsi="Tahoma" w:cs="Tahoma"/>
                <w:i/>
                <w:iCs/>
                <w:sz w:val="24"/>
                <w:szCs w:val="24"/>
              </w:rPr>
            </w:pPr>
          </w:p>
          <w:p w:rsidR="006717CE" w:rsidRDefault="006717CE" w:rsidP="006717CE">
            <w:pPr>
              <w:jc w:val="both"/>
              <w:rPr>
                <w:rFonts w:ascii="Tahoma" w:hAnsi="Tahoma" w:cs="Tahoma"/>
                <w:i/>
                <w:iCs/>
                <w:color w:val="000000"/>
                <w:sz w:val="24"/>
                <w:szCs w:val="24"/>
                <w:lang w:eastAsia="es-CR"/>
              </w:rPr>
            </w:pPr>
            <w:r w:rsidRPr="00196173">
              <w:rPr>
                <w:rFonts w:ascii="Tahoma" w:hAnsi="Tahoma" w:cs="Tahoma"/>
                <w:sz w:val="24"/>
                <w:szCs w:val="24"/>
              </w:rPr>
              <w:t>C</w:t>
            </w:r>
            <w:r>
              <w:rPr>
                <w:rFonts w:ascii="Tahoma" w:hAnsi="Tahoma" w:cs="Tahoma"/>
                <w:sz w:val="24"/>
                <w:szCs w:val="24"/>
              </w:rPr>
              <w:t>ircular</w:t>
            </w:r>
            <w:r w:rsidRPr="00196173">
              <w:rPr>
                <w:rFonts w:ascii="Tahoma" w:hAnsi="Tahoma" w:cs="Tahoma"/>
                <w:sz w:val="24"/>
                <w:szCs w:val="24"/>
              </w:rPr>
              <w:t xml:space="preserve"> N° 244-2020</w:t>
            </w:r>
            <w:r w:rsidRPr="00C94CBC">
              <w:rPr>
                <w:rFonts w:ascii="Tahoma" w:hAnsi="Tahoma" w:cs="Tahoma"/>
                <w:b/>
                <w:bCs/>
                <w:color w:val="000000"/>
                <w:sz w:val="24"/>
                <w:szCs w:val="24"/>
                <w:lang w:eastAsia="es-CR"/>
              </w:rPr>
              <w:t xml:space="preserve"> </w:t>
            </w:r>
            <w:r w:rsidRPr="008F49FC">
              <w:rPr>
                <w:rFonts w:ascii="Tahoma" w:hAnsi="Tahoma" w:cs="Tahoma"/>
                <w:b/>
                <w:bCs/>
                <w:i/>
                <w:iCs/>
                <w:color w:val="000000"/>
                <w:sz w:val="24"/>
                <w:szCs w:val="24"/>
                <w:lang w:eastAsia="es-CR"/>
              </w:rPr>
              <w:t>“</w:t>
            </w:r>
            <w:r w:rsidRPr="008F49FC">
              <w:rPr>
                <w:rFonts w:ascii="Tahoma" w:hAnsi="Tahoma" w:cs="Tahoma"/>
                <w:i/>
                <w:iCs/>
                <w:color w:val="000000"/>
                <w:sz w:val="24"/>
                <w:szCs w:val="24"/>
                <w:lang w:eastAsia="es-CR"/>
              </w:rPr>
              <w:t>Acuerdo de Corte Plena. Sesión N° 64-2020 del 26 de octubre de 2020,</w:t>
            </w:r>
            <w:r w:rsidRPr="008F49FC">
              <w:rPr>
                <w:rFonts w:ascii="Tahoma" w:hAnsi="Tahoma" w:cs="Tahoma"/>
                <w:b/>
                <w:bCs/>
                <w:i/>
                <w:iCs/>
                <w:color w:val="000000"/>
                <w:sz w:val="24"/>
                <w:szCs w:val="24"/>
                <w:lang w:eastAsia="es-CR"/>
              </w:rPr>
              <w:t xml:space="preserve"> </w:t>
            </w:r>
            <w:r w:rsidRPr="008F49FC">
              <w:rPr>
                <w:rFonts w:ascii="Tahoma" w:hAnsi="Tahoma" w:cs="Tahoma"/>
                <w:i/>
                <w:iCs/>
                <w:color w:val="000000"/>
                <w:sz w:val="24"/>
                <w:szCs w:val="24"/>
                <w:lang w:eastAsia="es-CR"/>
              </w:rPr>
              <w:t>en atención a la declaratoria de emergencia nacional, debido a la situación de emergencia sanitaria provocada por la enfermedad COVID-19”</w:t>
            </w:r>
          </w:p>
          <w:p w:rsidR="001959BE" w:rsidRDefault="001959BE" w:rsidP="006717CE">
            <w:pPr>
              <w:jc w:val="both"/>
              <w:rPr>
                <w:rFonts w:ascii="Tahoma" w:hAnsi="Tahoma" w:cs="Tahoma"/>
                <w:b/>
                <w:bCs/>
                <w:i/>
                <w:iCs/>
                <w:color w:val="000000"/>
                <w:sz w:val="24"/>
                <w:szCs w:val="24"/>
                <w:u w:val="single"/>
                <w:lang w:eastAsia="es-CR"/>
              </w:rPr>
            </w:pPr>
          </w:p>
          <w:p w:rsidR="001959BE" w:rsidRDefault="001959BE" w:rsidP="001959BE">
            <w:pPr>
              <w:jc w:val="both"/>
              <w:rPr>
                <w:rFonts w:ascii="Tahoma" w:hAnsi="Tahoma" w:cs="Tahoma"/>
                <w:i/>
                <w:iCs/>
                <w:color w:val="000000"/>
                <w:sz w:val="24"/>
                <w:szCs w:val="24"/>
                <w:lang w:eastAsia="es-CR"/>
              </w:rPr>
            </w:pPr>
            <w:r w:rsidRPr="00252DE5">
              <w:rPr>
                <w:rFonts w:ascii="Tahoma" w:hAnsi="Tahoma" w:cs="Tahoma"/>
                <w:color w:val="000000"/>
                <w:sz w:val="24"/>
                <w:szCs w:val="24"/>
                <w:lang w:eastAsia="es-CR"/>
              </w:rPr>
              <w:t>Circular N° 254-2020</w:t>
            </w:r>
            <w:r w:rsidRPr="001D3F24">
              <w:rPr>
                <w:rFonts w:ascii="Tahoma" w:hAnsi="Tahoma" w:cs="Tahoma"/>
                <w:i/>
                <w:iCs/>
                <w:color w:val="000000"/>
                <w:sz w:val="24"/>
                <w:szCs w:val="24"/>
                <w:lang w:eastAsia="es-CR"/>
              </w:rPr>
              <w:t xml:space="preserve"> “Protocolos que se requieren con motivo del abordaje de la emergencia nacional presentada por COVID-19</w:t>
            </w:r>
            <w:r>
              <w:rPr>
                <w:rFonts w:ascii="Tahoma" w:hAnsi="Tahoma" w:cs="Tahoma"/>
                <w:i/>
                <w:iCs/>
                <w:color w:val="000000"/>
                <w:sz w:val="24"/>
                <w:szCs w:val="24"/>
                <w:lang w:eastAsia="es-CR"/>
              </w:rPr>
              <w:t>.”</w:t>
            </w:r>
          </w:p>
          <w:p w:rsidR="006717CE" w:rsidRPr="006E19B8" w:rsidRDefault="006717CE" w:rsidP="009467EA">
            <w:pPr>
              <w:jc w:val="both"/>
              <w:rPr>
                <w:rFonts w:ascii="Tahoma" w:hAnsi="Tahoma" w:cs="Tahoma"/>
                <w:i/>
                <w:iCs/>
                <w:sz w:val="24"/>
                <w:szCs w:val="24"/>
              </w:rPr>
            </w:pPr>
          </w:p>
          <w:p w:rsidR="006A7DDC" w:rsidRPr="006E19B8" w:rsidRDefault="006A7DDC" w:rsidP="009467EA">
            <w:pPr>
              <w:jc w:val="both"/>
              <w:rPr>
                <w:rFonts w:ascii="Tahoma" w:hAnsi="Tahoma" w:cs="Tahoma"/>
                <w:i/>
                <w:iCs/>
                <w:sz w:val="24"/>
                <w:szCs w:val="24"/>
              </w:rPr>
            </w:pPr>
          </w:p>
          <w:p w:rsidR="005B7915" w:rsidRPr="006E19B8" w:rsidRDefault="005B7915" w:rsidP="005B7915">
            <w:pPr>
              <w:jc w:val="center"/>
              <w:rPr>
                <w:rFonts w:ascii="Tahoma" w:hAnsi="Tahoma" w:cs="Tahoma"/>
                <w:sz w:val="24"/>
                <w:szCs w:val="24"/>
              </w:rPr>
            </w:pPr>
            <w:r w:rsidRPr="006E19B8">
              <w:rPr>
                <w:rFonts w:ascii="Tahoma" w:hAnsi="Tahoma" w:cs="Tahoma"/>
                <w:sz w:val="24"/>
                <w:szCs w:val="24"/>
              </w:rPr>
              <w:object w:dxaOrig="2117" w:dyaOrig="1383" w14:anchorId="1983228C">
                <v:shape id="_x0000_i1036" type="#_x0000_t75" style="width:106.5pt;height:69pt" o:ole="">
                  <v:imagedata r:id="rId50" o:title=""/>
                </v:shape>
                <o:OLEObject Type="Embed" ProgID="Word.Document.12" ShapeID="_x0000_i1036" DrawAspect="Icon" ObjectID="_1672118026" r:id="rId51">
                  <o:FieldCodes>\s</o:FieldCodes>
                </o:OLEObject>
              </w:object>
            </w:r>
            <w:r w:rsidR="001959BE" w:rsidRPr="006C2CE9">
              <w:rPr>
                <w:b/>
                <w:bCs/>
              </w:rPr>
              <w:object w:dxaOrig="1508" w:dyaOrig="983" w14:anchorId="4FFB3074">
                <v:shape id="_x0000_i1037" type="#_x0000_t75" style="width:75pt;height:48.75pt" o:ole="">
                  <v:imagedata r:id="rId23" o:title=""/>
                </v:shape>
                <o:OLEObject Type="Embed" ProgID="Word.Document.12" ShapeID="_x0000_i1037" DrawAspect="Icon" ObjectID="_1672118027" r:id="rId52">
                  <o:FieldCodes>\s</o:FieldCodes>
                </o:OLEObject>
              </w:object>
            </w:r>
            <w:bookmarkStart w:id="8" w:name="_MON_1659261453"/>
            <w:bookmarkEnd w:id="8"/>
            <w:r w:rsidRPr="006E19B8">
              <w:rPr>
                <w:rFonts w:ascii="Tahoma" w:hAnsi="Tahoma" w:cs="Tahoma"/>
                <w:sz w:val="24"/>
                <w:szCs w:val="24"/>
              </w:rPr>
              <w:object w:dxaOrig="1508" w:dyaOrig="983" w14:anchorId="7EC58E4C">
                <v:shape id="_x0000_i1038" type="#_x0000_t75" style="width:75pt;height:48.75pt" o:ole="">
                  <v:imagedata r:id="rId53" o:title=""/>
                </v:shape>
                <o:OLEObject Type="Embed" ProgID="Word.Document.12" ShapeID="_x0000_i1038" DrawAspect="Icon" ObjectID="_1672118028" r:id="rId54">
                  <o:FieldCodes>\s</o:FieldCodes>
                </o:OLEObject>
              </w:object>
            </w:r>
            <w:bookmarkStart w:id="9" w:name="_MON_1656777898"/>
            <w:bookmarkEnd w:id="9"/>
            <w:r w:rsidR="001959BE" w:rsidRPr="006E19B8">
              <w:rPr>
                <w:rFonts w:ascii="Tahoma" w:eastAsia="Times New Roman" w:hAnsi="Tahoma" w:cs="Tahoma"/>
                <w:color w:val="000000"/>
                <w:sz w:val="24"/>
                <w:szCs w:val="24"/>
                <w:lang w:eastAsia="zh-CN" w:bidi="hi-IN"/>
              </w:rPr>
              <w:object w:dxaOrig="1534" w:dyaOrig="997" w14:anchorId="356E7AB1">
                <v:shape id="_x0000_i1039" type="#_x0000_t75" style="width:76.5pt;height:49.5pt" o:ole="">
                  <v:imagedata r:id="rId55" o:title=""/>
                </v:shape>
                <o:OLEObject Type="Embed" ProgID="Word.Document.12" ShapeID="_x0000_i1039" DrawAspect="Icon" ObjectID="_1672118029" r:id="rId56">
                  <o:FieldCodes>\s</o:FieldCodes>
                </o:OLEObject>
              </w:object>
            </w:r>
          </w:p>
          <w:p w:rsidR="005B7915" w:rsidRPr="006E19B8" w:rsidRDefault="005B7915" w:rsidP="005B7915">
            <w:pPr>
              <w:jc w:val="center"/>
              <w:rPr>
                <w:rFonts w:ascii="Tahoma" w:hAnsi="Tahoma" w:cs="Tahoma"/>
                <w:b/>
                <w:bCs/>
                <w:sz w:val="24"/>
                <w:szCs w:val="24"/>
              </w:rPr>
            </w:pPr>
          </w:p>
          <w:p w:rsidR="005B7915" w:rsidRPr="006E19B8" w:rsidRDefault="005B7915" w:rsidP="005B7915">
            <w:pPr>
              <w:widowControl w:val="0"/>
              <w:autoSpaceDE w:val="0"/>
              <w:autoSpaceDN w:val="0"/>
              <w:adjustRightInd w:val="0"/>
              <w:spacing w:after="200" w:line="276" w:lineRule="auto"/>
              <w:jc w:val="center"/>
              <w:rPr>
                <w:rFonts w:ascii="Tahoma" w:eastAsia="Times New Roman" w:hAnsi="Tahoma" w:cs="Tahoma"/>
                <w:color w:val="000000"/>
                <w:sz w:val="24"/>
                <w:szCs w:val="24"/>
                <w:lang w:eastAsia="zh-CN" w:bidi="hi-IN"/>
              </w:rPr>
            </w:pPr>
            <w:r w:rsidRPr="006E19B8">
              <w:rPr>
                <w:rFonts w:ascii="Tahoma" w:hAnsi="Tahoma" w:cs="Tahoma"/>
                <w:sz w:val="24"/>
                <w:szCs w:val="24"/>
              </w:rPr>
              <w:object w:dxaOrig="2117" w:dyaOrig="1383" w14:anchorId="6F06D5C8">
                <v:shape id="_x0000_i1040" type="#_x0000_t75" style="width:106.5pt;height:69pt" o:ole="">
                  <v:imagedata r:id="rId57" o:title=""/>
                </v:shape>
                <o:OLEObject Type="Embed" ProgID="Word.Document.12" ShapeID="_x0000_i1040" DrawAspect="Icon" ObjectID="_1672118030" r:id="rId58">
                  <o:FieldCodes>\s</o:FieldCodes>
                </o:OLEObject>
              </w:object>
            </w:r>
            <w:bookmarkStart w:id="10" w:name="_MON_1656777930"/>
            <w:bookmarkEnd w:id="10"/>
            <w:r w:rsidRPr="006E19B8">
              <w:rPr>
                <w:rFonts w:ascii="Tahoma" w:eastAsia="Times New Roman" w:hAnsi="Tahoma" w:cs="Tahoma"/>
                <w:color w:val="000000"/>
                <w:sz w:val="24"/>
                <w:szCs w:val="24"/>
                <w:lang w:eastAsia="zh-CN" w:bidi="hi-IN"/>
              </w:rPr>
              <w:object w:dxaOrig="1534" w:dyaOrig="997" w14:anchorId="3B9DE50E">
                <v:shape id="_x0000_i1041" type="#_x0000_t75" style="width:76.5pt;height:49.5pt" o:ole="">
                  <v:imagedata r:id="rId59" o:title=""/>
                </v:shape>
                <o:OLEObject Type="Embed" ProgID="Word.Document.12" ShapeID="_x0000_i1041" DrawAspect="Icon" ObjectID="_1672118031" r:id="rId60">
                  <o:FieldCodes>\s</o:FieldCodes>
                </o:OLEObject>
              </w:object>
            </w:r>
            <w:bookmarkStart w:id="11" w:name="_MON_1656777939"/>
            <w:bookmarkEnd w:id="11"/>
            <w:r w:rsidRPr="006E19B8">
              <w:rPr>
                <w:rFonts w:ascii="Tahoma" w:eastAsia="Times New Roman" w:hAnsi="Tahoma" w:cs="Tahoma"/>
                <w:color w:val="000000"/>
                <w:sz w:val="24"/>
                <w:szCs w:val="24"/>
                <w:lang w:eastAsia="zh-CN" w:bidi="hi-IN"/>
              </w:rPr>
              <w:object w:dxaOrig="1534" w:dyaOrig="997" w14:anchorId="0159DFE1">
                <v:shape id="_x0000_i1042" type="#_x0000_t75" style="width:76.5pt;height:49.5pt" o:ole="">
                  <v:imagedata r:id="rId61" o:title=""/>
                </v:shape>
                <o:OLEObject Type="Embed" ProgID="Word.Document.12" ShapeID="_x0000_i1042" DrawAspect="Icon" ObjectID="_1672118032" r:id="rId62">
                  <o:FieldCodes>\s</o:FieldCodes>
                </o:OLEObject>
              </w:object>
            </w:r>
            <w:bookmarkStart w:id="12" w:name="_MON_1666506600"/>
            <w:bookmarkEnd w:id="12"/>
            <w:r w:rsidR="001959BE">
              <w:rPr>
                <w:rFonts w:ascii="Tahoma" w:hAnsi="Tahoma" w:cs="Tahoma"/>
                <w:b/>
                <w:bCs/>
                <w:sz w:val="24"/>
                <w:szCs w:val="24"/>
              </w:rPr>
              <w:object w:dxaOrig="1537" w:dyaOrig="997" w14:anchorId="64B1B96A">
                <v:shape id="_x0000_i1043" type="#_x0000_t75" style="width:76.5pt;height:50.25pt" o:ole="">
                  <v:imagedata r:id="rId63" o:title=""/>
                </v:shape>
                <o:OLEObject Type="Embed" ProgID="Word.Document.12" ShapeID="_x0000_i1043" DrawAspect="Icon" ObjectID="_1672118033" r:id="rId64">
                  <o:FieldCodes>\s</o:FieldCodes>
                </o:OLEObject>
              </w:object>
            </w:r>
          </w:p>
          <w:bookmarkStart w:id="13" w:name="_MON_1666510080"/>
          <w:bookmarkEnd w:id="13"/>
          <w:p w:rsidR="009467EA" w:rsidRPr="006E19B8" w:rsidRDefault="00384BB9" w:rsidP="00573A74">
            <w:pPr>
              <w:jc w:val="center"/>
              <w:rPr>
                <w:rFonts w:ascii="Tahoma" w:hAnsi="Tahoma" w:cs="Tahoma"/>
                <w:b/>
                <w:bCs/>
                <w:sz w:val="24"/>
                <w:szCs w:val="24"/>
              </w:rPr>
            </w:pPr>
            <w:r>
              <w:rPr>
                <w:rFonts w:ascii="Tahoma" w:hAnsi="Tahoma" w:cs="Tahoma"/>
                <w:b/>
                <w:bCs/>
                <w:sz w:val="24"/>
                <w:szCs w:val="24"/>
              </w:rPr>
              <w:object w:dxaOrig="1537" w:dyaOrig="997" w14:anchorId="243EA64A">
                <v:shape id="_x0000_i1044" type="#_x0000_t75" style="width:76.5pt;height:50.25pt" o:ole="">
                  <v:imagedata r:id="rId65" o:title=""/>
                </v:shape>
                <o:OLEObject Type="Embed" ProgID="Word.Document.12" ShapeID="_x0000_i1044" DrawAspect="Icon" ObjectID="_1672118034" r:id="rId66">
                  <o:FieldCodes>\s</o:FieldCodes>
                </o:OLEObject>
              </w:object>
            </w:r>
            <w:r w:rsidR="001959BE" w:rsidRPr="006C2CE9">
              <w:rPr>
                <w:b/>
                <w:bCs/>
              </w:rPr>
              <w:object w:dxaOrig="1508" w:dyaOrig="983" w14:anchorId="4A507EAF">
                <v:shape id="_x0000_i1045" type="#_x0000_t75" style="width:75pt;height:48.75pt" o:ole="">
                  <v:imagedata r:id="rId27" o:title=""/>
                </v:shape>
                <o:OLEObject Type="Embed" ProgID="Word.Document.12" ShapeID="_x0000_i1045" DrawAspect="Icon" ObjectID="_1672118035" r:id="rId67">
                  <o:FieldCodes>\s</o:FieldCodes>
                </o:OLEObject>
              </w:object>
            </w:r>
          </w:p>
        </w:tc>
        <w:tc>
          <w:tcPr>
            <w:tcW w:w="5528" w:type="dxa"/>
          </w:tcPr>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 xml:space="preserve">1.1.- Asistencia a la oficina y atención de consultas de las personas usuarias: </w:t>
            </w:r>
          </w:p>
          <w:p w:rsidR="009467EA" w:rsidRPr="006E19B8" w:rsidRDefault="009467EA" w:rsidP="009467EA">
            <w:pPr>
              <w:spacing w:before="100" w:beforeAutospacing="1" w:after="160" w:line="256" w:lineRule="auto"/>
              <w:jc w:val="both"/>
              <w:rPr>
                <w:rFonts w:ascii="Tahoma" w:eastAsia="Calibri" w:hAnsi="Tahoma" w:cs="Tahoma"/>
                <w:sz w:val="24"/>
                <w:szCs w:val="24"/>
                <w:lang w:eastAsia="es-CR"/>
              </w:rPr>
            </w:pPr>
            <w:r w:rsidRPr="006E19B8">
              <w:rPr>
                <w:rFonts w:ascii="Tahoma" w:eastAsia="Calibri" w:hAnsi="Tahoma" w:cs="Tahoma"/>
                <w:color w:val="000000"/>
                <w:sz w:val="24"/>
                <w:szCs w:val="24"/>
                <w:lang w:eastAsia="es-CR"/>
              </w:rPr>
              <w:t xml:space="preserve"> </w:t>
            </w:r>
            <w:r w:rsidRPr="006E19B8">
              <w:rPr>
                <w:rFonts w:ascii="Tahoma" w:eastAsia="Calibri" w:hAnsi="Tahoma" w:cs="Tahoma"/>
                <w:sz w:val="24"/>
                <w:szCs w:val="24"/>
                <w:lang w:eastAsia="es-CR"/>
              </w:rPr>
              <w:t>Mantener la prestación presencial de servicios con el personal mínimo indicado en la alerta amarilla, manteniendo las actividades y comunicaciones que sean necesarias para no afectar el interés público, con el debido cumplimiento del distanciamiento físico de 1.8 metros y las medidas establecidas por los Órganos Superiores y Ministerio de Salud emitidos por COVID-19.  Se deberá intensificar la utilización de medidas de protección para el personal judicial que labora en las zonas naranja.</w:t>
            </w:r>
          </w:p>
          <w:p w:rsidR="009467EA" w:rsidRPr="006E19B8" w:rsidRDefault="009467EA" w:rsidP="009467EA">
            <w:pPr>
              <w:spacing w:before="100" w:beforeAutospacing="1" w:after="160" w:line="256" w:lineRule="auto"/>
              <w:jc w:val="both"/>
              <w:rPr>
                <w:rFonts w:ascii="Tahoma" w:eastAsia="Calibri" w:hAnsi="Tahoma" w:cs="Tahoma"/>
                <w:sz w:val="24"/>
                <w:szCs w:val="24"/>
                <w:lang w:eastAsia="es-CR"/>
              </w:rPr>
            </w:pPr>
            <w:r w:rsidRPr="006E19B8">
              <w:rPr>
                <w:rFonts w:ascii="Tahoma" w:eastAsia="Calibri" w:hAnsi="Tahoma" w:cs="Tahoma"/>
                <w:sz w:val="24"/>
                <w:szCs w:val="24"/>
                <w:lang w:eastAsia="es-CR"/>
              </w:rPr>
              <w:t xml:space="preserve">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1.2.- Teletrabajo</w:t>
            </w:r>
          </w:p>
          <w:p w:rsidR="009467EA" w:rsidRPr="006E19B8" w:rsidRDefault="009467EA" w:rsidP="009467EA">
            <w:pPr>
              <w:shd w:val="clear" w:color="auto" w:fill="FFFFFF" w:themeFill="background1"/>
              <w:spacing w:before="100" w:beforeAutospacing="1" w:after="160" w:line="256" w:lineRule="auto"/>
              <w:contextualSpacing/>
              <w:jc w:val="both"/>
              <w:rPr>
                <w:rFonts w:ascii="Tahoma" w:eastAsia="Calibri" w:hAnsi="Tahoma" w:cs="Tahoma"/>
                <w:sz w:val="24"/>
                <w:szCs w:val="24"/>
                <w:lang w:eastAsia="es-CR"/>
              </w:rPr>
            </w:pPr>
            <w:r w:rsidRPr="006E19B8">
              <w:rPr>
                <w:rFonts w:ascii="Tahoma" w:eastAsia="Calibri" w:hAnsi="Tahoma" w:cs="Tahoma"/>
                <w:sz w:val="24"/>
                <w:szCs w:val="24"/>
                <w:lang w:eastAsia="es-CR"/>
              </w:rPr>
              <w:t xml:space="preserve">1..2.1. Las jefaturas deben organizar el trabajo en sus oficinas para que las personas servidoras de las zonas naranjas que teletrabajen, permanezcan laborando en sus casas mientras la alerta esté vigente, potenciando el teletrabajo. </w:t>
            </w:r>
            <w:r w:rsidRPr="006E19B8">
              <w:rPr>
                <w:rFonts w:ascii="Tahoma" w:eastAsia="Calibri" w:hAnsi="Tahoma" w:cs="Tahoma"/>
                <w:color w:val="000000"/>
                <w:sz w:val="24"/>
                <w:szCs w:val="24"/>
                <w:lang w:eastAsia="es-CR"/>
              </w:rPr>
              <w:t xml:space="preserve"> E</w:t>
            </w:r>
            <w:r w:rsidRPr="006E19B8">
              <w:rPr>
                <w:rFonts w:ascii="Tahoma" w:eastAsia="Calibri" w:hAnsi="Tahoma" w:cs="Tahoma"/>
                <w:sz w:val="24"/>
                <w:szCs w:val="24"/>
                <w:lang w:eastAsia="es-CR"/>
              </w:rPr>
              <w:t>n el caso del personal juzgador que no tiene asignado equipo institucional deberán trabajar con la licencia VDI</w:t>
            </w:r>
            <w:r w:rsidR="00C87B86">
              <w:rPr>
                <w:rFonts w:ascii="Tahoma" w:eastAsia="Calibri" w:hAnsi="Tahoma" w:cs="Tahoma"/>
                <w:sz w:val="24"/>
                <w:szCs w:val="24"/>
                <w:lang w:eastAsia="es-CR"/>
              </w:rPr>
              <w:t xml:space="preserve"> o VPN para equipo de cómputo personal</w:t>
            </w:r>
            <w:r w:rsidRPr="006E19B8">
              <w:rPr>
                <w:rFonts w:ascii="Tahoma" w:eastAsia="Calibri" w:hAnsi="Tahoma" w:cs="Tahoma"/>
                <w:sz w:val="24"/>
                <w:szCs w:val="24"/>
                <w:lang w:eastAsia="es-CR"/>
              </w:rPr>
              <w:t>.</w:t>
            </w:r>
          </w:p>
          <w:p w:rsidR="009467EA" w:rsidRPr="006E19B8" w:rsidRDefault="009467EA" w:rsidP="009467EA">
            <w:pPr>
              <w:shd w:val="clear" w:color="auto" w:fill="FFFFFF" w:themeFill="background1"/>
              <w:spacing w:before="100" w:beforeAutospacing="1" w:after="160" w:line="256" w:lineRule="auto"/>
              <w:contextualSpacing/>
              <w:jc w:val="both"/>
              <w:rPr>
                <w:rFonts w:ascii="Tahoma" w:eastAsia="Calibri" w:hAnsi="Tahoma" w:cs="Tahoma"/>
                <w:sz w:val="24"/>
                <w:szCs w:val="24"/>
                <w:lang w:eastAsia="es-CR"/>
              </w:rPr>
            </w:pPr>
          </w:p>
          <w:p w:rsidR="009467EA" w:rsidRPr="006E19B8" w:rsidRDefault="009467EA" w:rsidP="009467EA">
            <w:pPr>
              <w:shd w:val="clear" w:color="auto" w:fill="FFFFFF" w:themeFill="background1"/>
              <w:spacing w:before="100" w:beforeAutospacing="1" w:after="160" w:line="256" w:lineRule="auto"/>
              <w:contextualSpacing/>
              <w:jc w:val="both"/>
              <w:rPr>
                <w:rFonts w:ascii="Tahoma" w:eastAsia="Calibri" w:hAnsi="Tahoma" w:cs="Tahoma"/>
                <w:sz w:val="24"/>
                <w:szCs w:val="24"/>
                <w:lang w:eastAsia="es-CR"/>
              </w:rPr>
            </w:pPr>
            <w:r w:rsidRPr="006E19B8">
              <w:rPr>
                <w:rFonts w:ascii="Tahoma" w:eastAsia="Calibri" w:hAnsi="Tahoma" w:cs="Tahoma"/>
                <w:sz w:val="24"/>
                <w:szCs w:val="24"/>
                <w:lang w:eastAsia="es-CR"/>
              </w:rPr>
              <w:t>1.2.2. En el caso de las personas que no tengan asignadas licencias VDI</w:t>
            </w:r>
            <w:r w:rsidR="009A4F77">
              <w:rPr>
                <w:rFonts w:ascii="Tahoma" w:eastAsia="Calibri" w:hAnsi="Tahoma" w:cs="Tahoma"/>
                <w:sz w:val="24"/>
                <w:szCs w:val="24"/>
                <w:lang w:eastAsia="es-CR"/>
              </w:rPr>
              <w:t xml:space="preserve"> o VPN para equipo de cómputo personal</w:t>
            </w:r>
            <w:r w:rsidRPr="006E19B8">
              <w:rPr>
                <w:rFonts w:ascii="Tahoma" w:eastAsia="Calibri" w:hAnsi="Tahoma" w:cs="Tahoma"/>
                <w:sz w:val="24"/>
                <w:szCs w:val="24"/>
                <w:lang w:eastAsia="es-CR"/>
              </w:rPr>
              <w:t>, pero puedan laborar con equipo propio desde sus casas, podrán asistir una vez por semana al despacho, de acuerdo al rol que la jefatura deberá definir, con el fin de que puedan descargar los expedientes electrónicos en el despacho, utilizando memorias flash conocidas como “llaves Maya” para el almacenamiento o bien la plataforma en la nube de Microsoft “OneDrive”, para después poder proceder a incorporar las resoluciones presencialmente en el respectivo juzgado.</w:t>
            </w:r>
            <w:r w:rsidRPr="006E19B8">
              <w:rPr>
                <w:rFonts w:ascii="Tahoma" w:eastAsia="Calibri" w:hAnsi="Tahoma" w:cs="Tahoma"/>
                <w:sz w:val="24"/>
                <w:szCs w:val="24"/>
                <w:highlight w:val="yellow"/>
                <w:shd w:val="clear" w:color="auto" w:fill="F2F2F2" w:themeFill="background1" w:themeFillShade="F2"/>
                <w:lang w:eastAsia="es-CR"/>
              </w:rPr>
              <w:t xml:space="preserve">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 xml:space="preserve">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1.3. - Pautas para resolver expedientes híbridos o físicos:</w:t>
            </w:r>
          </w:p>
          <w:p w:rsidR="009467EA" w:rsidRPr="006E19B8" w:rsidRDefault="009467EA" w:rsidP="009467EA">
            <w:pPr>
              <w:spacing w:before="100" w:beforeAutospacing="1" w:after="160" w:line="256" w:lineRule="auto"/>
              <w:jc w:val="both"/>
              <w:rPr>
                <w:rFonts w:ascii="Tahoma" w:eastAsia="Calibri" w:hAnsi="Tahoma" w:cs="Tahoma"/>
                <w:sz w:val="24"/>
                <w:szCs w:val="24"/>
                <w:lang w:eastAsia="es-CR"/>
              </w:rPr>
            </w:pPr>
            <w:r w:rsidRPr="006E19B8">
              <w:rPr>
                <w:rFonts w:ascii="Tahoma" w:eastAsia="Calibri" w:hAnsi="Tahoma" w:cs="Tahoma"/>
                <w:sz w:val="24"/>
                <w:szCs w:val="24"/>
                <w:lang w:eastAsia="es-CR"/>
              </w:rPr>
              <w:t>Para la atención de expedientes híbridos o físicos se deberá crear un rol para que cada equipo conformado por la persona juzgadora y sus Técnicos Judiciales asistan al despacho al menos un día durante la semana en horario ordinario, estrictamente para resolver esos asuntos.</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 xml:space="preserve">1.4.- </w:t>
            </w:r>
            <w:r w:rsidRPr="006E19B8">
              <w:rPr>
                <w:rFonts w:ascii="Tahoma" w:eastAsia="Calibri" w:hAnsi="Tahoma" w:cs="Tahoma"/>
                <w:b/>
                <w:bCs/>
                <w:color w:val="000000"/>
                <w:sz w:val="24"/>
                <w:szCs w:val="24"/>
                <w:lang w:eastAsia="es-CR"/>
              </w:rPr>
              <w:tab/>
              <w:t>Pautas para resolver expedientes electrónicos 100%:</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1.4.1.-</w:t>
            </w:r>
            <w:r w:rsidRPr="006E19B8">
              <w:rPr>
                <w:rFonts w:ascii="Tahoma" w:eastAsia="Calibri" w:hAnsi="Tahoma" w:cs="Tahoma"/>
                <w:color w:val="000000"/>
                <w:sz w:val="24"/>
                <w:szCs w:val="24"/>
                <w:lang w:eastAsia="es-CR"/>
              </w:rPr>
              <w:t xml:space="preserve"> Las personas juzgadoras realizarán su labor mediante la modalidad de teletrabajo, para ello, utilizarán las computadoras portátiles institucionales.</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1.4.2.-</w:t>
            </w:r>
            <w:r w:rsidRPr="006E19B8">
              <w:rPr>
                <w:rFonts w:ascii="Tahoma" w:eastAsia="Calibri" w:hAnsi="Tahoma" w:cs="Tahoma"/>
                <w:color w:val="000000"/>
                <w:sz w:val="24"/>
                <w:szCs w:val="24"/>
                <w:lang w:eastAsia="es-CR"/>
              </w:rPr>
              <w:t xml:space="preserve"> Las personas juzgadoras que no tengan un equipo portátil institucional, podrán laborar desde sus casas, con sus computadoras personales.</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1.4.3.-</w:t>
            </w:r>
            <w:r w:rsidRPr="006E19B8">
              <w:rPr>
                <w:rFonts w:ascii="Tahoma" w:eastAsia="Calibri" w:hAnsi="Tahoma" w:cs="Tahoma"/>
                <w:color w:val="000000"/>
                <w:sz w:val="24"/>
                <w:szCs w:val="24"/>
                <w:lang w:eastAsia="es-CR"/>
              </w:rPr>
              <w:t xml:space="preserve"> Estas personas continuarán con la asignación, en la medida de las posibilidades, de las licencias VPN o VDI (Máquina Virtual) conforme la distribución de licencias y horarios que se definan.</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 xml:space="preserve"> Este horario no sustituirá la jornada ordinaria de trabajo, el mismo solo será para acceder virtualmente a los asuntos en trámite.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1.4.4.-</w:t>
            </w:r>
            <w:r w:rsidRPr="006E19B8">
              <w:rPr>
                <w:rFonts w:ascii="Tahoma" w:eastAsia="Calibri" w:hAnsi="Tahoma" w:cs="Tahoma"/>
                <w:color w:val="000000"/>
                <w:sz w:val="24"/>
                <w:szCs w:val="24"/>
                <w:lang w:eastAsia="es-CR"/>
              </w:rPr>
              <w:t xml:space="preserve"> En el horario de uso de la VPN o VDI (Máquina Virtual), el personal juzgador deberá; firmar los asuntos pendientes, aprobar giros, anotaciones en el SREM, incorporar y/o descargar los asuntos que requieran estudiar para el tiempo de no conexión a la VPN o VDI (Máquina Virtual), y demás actividades propias del cargo.</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1.4.5.-</w:t>
            </w:r>
            <w:r w:rsidRPr="006E19B8">
              <w:rPr>
                <w:rFonts w:ascii="Tahoma" w:eastAsia="Calibri" w:hAnsi="Tahoma" w:cs="Tahoma"/>
                <w:color w:val="000000"/>
                <w:sz w:val="24"/>
                <w:szCs w:val="24"/>
                <w:lang w:eastAsia="es-CR"/>
              </w:rPr>
              <w:t xml:space="preserve"> El personal técnico deberá cumplir con las anteriores indicaciones de la misma manera, incluido remitir a la imprenta las publicaciones que se ordenen, asignación de ejecutores y peritos, entre otros.</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color w:val="000000"/>
                <w:sz w:val="24"/>
                <w:szCs w:val="24"/>
                <w:lang w:eastAsia="es-CR"/>
              </w:rPr>
              <w:t xml:space="preserve"> </w:t>
            </w:r>
            <w:r w:rsidRPr="006E19B8">
              <w:rPr>
                <w:rFonts w:ascii="Tahoma" w:eastAsia="Calibri" w:hAnsi="Tahoma" w:cs="Tahoma"/>
                <w:b/>
                <w:bCs/>
                <w:color w:val="000000"/>
                <w:sz w:val="24"/>
                <w:szCs w:val="24"/>
                <w:lang w:eastAsia="es-CR"/>
              </w:rPr>
              <w:t>1.5.-</w:t>
            </w:r>
            <w:r w:rsidRPr="006E19B8">
              <w:rPr>
                <w:rFonts w:ascii="Tahoma" w:eastAsia="Calibri" w:hAnsi="Tahoma" w:cs="Tahoma"/>
                <w:b/>
                <w:bCs/>
                <w:color w:val="000000"/>
                <w:sz w:val="24"/>
                <w:szCs w:val="24"/>
                <w:lang w:eastAsia="es-CR"/>
              </w:rPr>
              <w:tab/>
              <w:t>Reuniones presenciales:</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1.5.1.-</w:t>
            </w:r>
            <w:r w:rsidRPr="006E19B8">
              <w:rPr>
                <w:rFonts w:ascii="Tahoma" w:eastAsia="Calibri" w:hAnsi="Tahoma" w:cs="Tahoma"/>
                <w:color w:val="000000"/>
                <w:sz w:val="24"/>
                <w:szCs w:val="24"/>
                <w:lang w:eastAsia="es-CR"/>
              </w:rPr>
              <w:t xml:space="preserve"> No deberán realizarse reuniones físicas.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1.5.2.-</w:t>
            </w:r>
            <w:r w:rsidRPr="006E19B8">
              <w:rPr>
                <w:rFonts w:ascii="Tahoma" w:eastAsia="Calibri" w:hAnsi="Tahoma" w:cs="Tahoma"/>
                <w:color w:val="000000"/>
                <w:sz w:val="24"/>
                <w:szCs w:val="24"/>
                <w:lang w:eastAsia="es-CR"/>
              </w:rPr>
              <w:t xml:space="preserve"> Las mismas serán virtuales en la medida de lo posible.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1.6.- Señalamientos para remate y comunicaciones a la Imprenta Nacional:</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 xml:space="preserve">Deberá de considerarse la continuación de las programaciones de remate dentro de las posibilidades.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1.7.- Celebración de remates:</w:t>
            </w:r>
          </w:p>
          <w:p w:rsidR="00696736" w:rsidRPr="006E19B8" w:rsidRDefault="00696736" w:rsidP="00696736">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1.7.1.-</w:t>
            </w:r>
            <w:r w:rsidRPr="006E19B8">
              <w:rPr>
                <w:rFonts w:ascii="Tahoma" w:eastAsia="Calibri" w:hAnsi="Tahoma" w:cs="Tahoma"/>
                <w:color w:val="000000"/>
                <w:sz w:val="24"/>
                <w:szCs w:val="24"/>
                <w:lang w:eastAsia="es-CR"/>
              </w:rPr>
              <w:t xml:space="preserve"> Los remates señalados deben realizarse siempre y cuando la oficina cuente con un espacio para albergar a todas las personas interesadas en participar y que mantengan un espacio mínimo de un metro ochenta entre cada uno de ellos. Lo anterior se verificará en el momento de realizarse la subasta. </w:t>
            </w:r>
          </w:p>
          <w:p w:rsidR="00696736" w:rsidRPr="006E19B8" w:rsidRDefault="00696736" w:rsidP="00696736">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 xml:space="preserve">Cada oficina coordinará con la Administración Regional respectiva para la realización de los remates, utilizando las salas de audiencia.  </w:t>
            </w:r>
          </w:p>
          <w:p w:rsidR="00696736" w:rsidRPr="006E19B8" w:rsidRDefault="00696736" w:rsidP="00696736">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1.7.2.</w:t>
            </w:r>
            <w:r w:rsidRPr="006E19B8">
              <w:rPr>
                <w:rFonts w:ascii="Tahoma" w:eastAsia="Calibri" w:hAnsi="Tahoma" w:cs="Tahoma"/>
                <w:color w:val="000000"/>
                <w:sz w:val="24"/>
                <w:szCs w:val="24"/>
                <w:lang w:eastAsia="es-CR"/>
              </w:rPr>
              <w:t>- De no ser posible lo anterior, la subasta deberá de suspenderse</w:t>
            </w:r>
          </w:p>
          <w:p w:rsidR="00696736" w:rsidRPr="006E19B8" w:rsidRDefault="00696736" w:rsidP="00696736">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1.7.3.-</w:t>
            </w:r>
            <w:r w:rsidRPr="006E19B8">
              <w:rPr>
                <w:rFonts w:ascii="Tahoma" w:eastAsia="Calibri" w:hAnsi="Tahoma" w:cs="Tahoma"/>
                <w:color w:val="000000"/>
                <w:sz w:val="24"/>
                <w:szCs w:val="24"/>
                <w:lang w:eastAsia="es-CR"/>
              </w:rPr>
              <w:t xml:space="preserve"> Cada despacho deberá de organizarse, con la finalidad que el equipo de trabajo presente para la atención al público o bien los que resuelvan asuntos híbridos o físicos, atiendan los remates señalados, según lo que anteriormente se indicó.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1.8.- Realización de giros de dinero:</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Times New Roman" w:hAnsi="Tahoma" w:cs="Tahoma"/>
                <w:sz w:val="24"/>
                <w:szCs w:val="24"/>
                <w:lang w:eastAsia="es-CR"/>
              </w:rPr>
              <w:t>Las oficinas continuarán efectuando los giros, en los horarios establecidos para la VPN o VDI (Máquina Virtual) en los casos en que se pueda realizar mediante teletrabajo.</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1.9.- Confección y materialización de anotaciones en el SREM:</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 xml:space="preserve">Los despachos continuarán efectuando en los horarios establecidos </w:t>
            </w:r>
            <w:r w:rsidR="004A50D2" w:rsidRPr="006E19B8">
              <w:rPr>
                <w:rFonts w:ascii="Tahoma" w:eastAsia="Calibri" w:hAnsi="Tahoma" w:cs="Tahoma"/>
                <w:color w:val="000000"/>
                <w:sz w:val="24"/>
                <w:szCs w:val="24"/>
                <w:lang w:eastAsia="es-CR"/>
              </w:rPr>
              <w:t>para la</w:t>
            </w:r>
            <w:r w:rsidRPr="006E19B8">
              <w:rPr>
                <w:rFonts w:ascii="Tahoma" w:eastAsia="Calibri" w:hAnsi="Tahoma" w:cs="Tahoma"/>
                <w:color w:val="000000"/>
                <w:sz w:val="24"/>
                <w:szCs w:val="24"/>
                <w:lang w:eastAsia="es-CR"/>
              </w:rPr>
              <w:t xml:space="preserve"> VPN o VDI (Máquina Virtual).</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1.10.- Audiencias:</w:t>
            </w:r>
          </w:p>
          <w:p w:rsidR="009467EA" w:rsidRPr="006E19B8" w:rsidRDefault="009467EA" w:rsidP="009467EA">
            <w:pPr>
              <w:spacing w:before="100" w:beforeAutospacing="1" w:after="160" w:line="256" w:lineRule="auto"/>
              <w:jc w:val="both"/>
              <w:rPr>
                <w:rFonts w:ascii="Tahoma" w:eastAsia="Calibri" w:hAnsi="Tahoma" w:cs="Tahoma"/>
                <w:sz w:val="24"/>
                <w:szCs w:val="24"/>
                <w:lang w:eastAsia="es-CR"/>
              </w:rPr>
            </w:pPr>
            <w:r w:rsidRPr="006E19B8">
              <w:rPr>
                <w:rFonts w:ascii="Tahoma" w:eastAsia="Calibri" w:hAnsi="Tahoma" w:cs="Tahoma"/>
                <w:sz w:val="24"/>
                <w:szCs w:val="24"/>
                <w:lang w:eastAsia="es-CR"/>
              </w:rPr>
              <w:t xml:space="preserve">Las audiencias orales por medios tecnológicos, se realizarán conforme el protocolo aprobado por Corte Plena y comunicado mediante Circular 93-2020, suspendiéndose la realización de audiencias híbridas y presenciales. </w:t>
            </w:r>
            <w:r w:rsidRPr="006E19B8">
              <w:rPr>
                <w:rFonts w:ascii="Tahoma" w:eastAsia="Times New Roman" w:hAnsi="Tahoma" w:cs="Tahoma"/>
                <w:sz w:val="24"/>
                <w:szCs w:val="24"/>
                <w:lang w:eastAsia="es-CR"/>
              </w:rPr>
              <w:t>No se recomienda la reprogramación de los señalamientos antes de un mes y medio a partir de que se decrete la alerta.</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 xml:space="preserve"> 1.11.-</w:t>
            </w:r>
            <w:r w:rsidRPr="006E19B8">
              <w:rPr>
                <w:rFonts w:ascii="Tahoma" w:eastAsia="Calibri" w:hAnsi="Tahoma" w:cs="Tahoma"/>
                <w:color w:val="000000"/>
                <w:sz w:val="24"/>
                <w:szCs w:val="24"/>
                <w:lang w:eastAsia="es-CR"/>
              </w:rPr>
              <w:t xml:space="preserve"> </w:t>
            </w:r>
            <w:r w:rsidRPr="006E19B8">
              <w:rPr>
                <w:rFonts w:ascii="Tahoma" w:eastAsia="Calibri" w:hAnsi="Tahoma" w:cs="Tahoma"/>
                <w:b/>
                <w:bCs/>
                <w:color w:val="000000"/>
                <w:sz w:val="24"/>
                <w:szCs w:val="24"/>
                <w:lang w:eastAsia="es-CR"/>
              </w:rPr>
              <w:t>Otros tipos de actos procesales a realizar</w:t>
            </w:r>
            <w:r w:rsidRPr="006E19B8">
              <w:rPr>
                <w:rFonts w:ascii="Tahoma" w:eastAsia="Calibri" w:hAnsi="Tahoma" w:cs="Tahoma"/>
                <w:color w:val="000000"/>
                <w:sz w:val="24"/>
                <w:szCs w:val="24"/>
                <w:lang w:eastAsia="es-CR"/>
              </w:rPr>
              <w:t>:</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P</w:t>
            </w:r>
            <w:r w:rsidRPr="006E19B8">
              <w:rPr>
                <w:rFonts w:ascii="Tahoma" w:eastAsia="Calibri" w:hAnsi="Tahoma" w:cs="Tahoma"/>
                <w:sz w:val="24"/>
                <w:szCs w:val="24"/>
                <w:lang w:eastAsia="es-CR"/>
              </w:rPr>
              <w:t xml:space="preserve">ara el caso de todas aquellas diligencias que requieren realizar reconocimientos Judiciales, desalojos presenciales, apersonamiento de las autoridades judiciales al lugar del conflicto en el caso de los procesos sumarios Interdictales, allanamientos civiles, aseguramientos de bienes, o práctica de prueba en el lugar de los hechos que incluye la reconstrucción de hechos y cualquier otro asunto donde se requiera la salida de personal de la oficina, la persona o personas juzgadoras a cargo de la diligencia, deberán tomar las medidas correspondientes para llevarla a cabo conforme a los protocolos fijados por el Ministerio de Salud </w:t>
            </w:r>
            <w:r w:rsidR="00F92214">
              <w:rPr>
                <w:rFonts w:ascii="Tahoma" w:eastAsia="Calibri" w:hAnsi="Tahoma" w:cs="Tahoma"/>
              </w:rPr>
              <w:t xml:space="preserve"> lo dispuesto en el Protocolo </w:t>
            </w:r>
            <w:r w:rsidR="00F92214" w:rsidRPr="009C445E">
              <w:rPr>
                <w:rFonts w:ascii="Tahoma" w:eastAsia="Calibri" w:hAnsi="Tahoma" w:cs="Tahoma"/>
                <w:i/>
                <w:iCs/>
              </w:rPr>
              <w:t>“DGH-011: Implementación de turnos de trabajo y lineamientos sanitarios para personas que efectúan labores fuera de instalaciones judiciales en el ámbito administrativo y jurisdiccional”</w:t>
            </w:r>
            <w:r w:rsidR="00F92214">
              <w:rPr>
                <w:rFonts w:ascii="Tahoma" w:eastAsia="Calibri" w:hAnsi="Tahoma" w:cs="Tahoma"/>
              </w:rPr>
              <w:t xml:space="preserve">  aprobado por el Consejo Superior y comunicado mediante la Circular 254-2020 de la Secretaría General de la Corte.</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 xml:space="preserve">1.12.- </w:t>
            </w:r>
            <w:r w:rsidRPr="006E19B8">
              <w:rPr>
                <w:rFonts w:ascii="Tahoma" w:eastAsia="Calibri" w:hAnsi="Tahoma" w:cs="Tahoma"/>
                <w:b/>
                <w:bCs/>
                <w:color w:val="000000"/>
                <w:sz w:val="24"/>
                <w:szCs w:val="24"/>
                <w:lang w:eastAsia="es-CR"/>
              </w:rPr>
              <w:tab/>
              <w:t>Pautas para atender situaciones especiales:</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1.12.1.- Personas que no tienen equipo de cómputo ni otras condiciones básicas necesarias para teletrabajar:</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1.12.1.1.</w:t>
            </w:r>
            <w:r w:rsidRPr="006E19B8">
              <w:rPr>
                <w:rFonts w:ascii="Tahoma" w:eastAsia="Calibri" w:hAnsi="Tahoma" w:cs="Tahoma"/>
                <w:color w:val="000000"/>
                <w:sz w:val="24"/>
                <w:szCs w:val="24"/>
                <w:lang w:eastAsia="es-CR"/>
              </w:rPr>
              <w:t>-</w:t>
            </w:r>
            <w:r w:rsidRPr="006E19B8">
              <w:rPr>
                <w:rFonts w:ascii="Tahoma" w:eastAsia="Calibri" w:hAnsi="Tahoma" w:cs="Tahoma"/>
                <w:b/>
                <w:bCs/>
                <w:color w:val="000000"/>
                <w:sz w:val="24"/>
                <w:szCs w:val="24"/>
                <w:lang w:eastAsia="es-CR"/>
              </w:rPr>
              <w:t xml:space="preserve"> </w:t>
            </w:r>
            <w:r w:rsidRPr="006E19B8">
              <w:rPr>
                <w:rFonts w:ascii="Tahoma" w:eastAsia="Calibri" w:hAnsi="Tahoma" w:cs="Tahoma"/>
                <w:color w:val="000000"/>
                <w:sz w:val="24"/>
                <w:szCs w:val="24"/>
                <w:lang w:eastAsia="es-CR"/>
              </w:rPr>
              <w:t>Aquellas personas que no cuenten con los materiales necesarios para su labor en teletrabajo, integrarán de forma preferencial el rol presencial arriba indicado. Será responsabilidad de la persona juzgadora</w:t>
            </w:r>
            <w:r w:rsidR="00110BCF" w:rsidRPr="006E19B8">
              <w:rPr>
                <w:rFonts w:ascii="Tahoma" w:eastAsia="Calibri" w:hAnsi="Tahoma" w:cs="Tahoma"/>
                <w:color w:val="000000"/>
                <w:sz w:val="24"/>
                <w:szCs w:val="24"/>
                <w:lang w:eastAsia="es-CR"/>
              </w:rPr>
              <w:t xml:space="preserve"> Coordinadora</w:t>
            </w:r>
            <w:r w:rsidRPr="006E19B8">
              <w:rPr>
                <w:rFonts w:ascii="Tahoma" w:eastAsia="Calibri" w:hAnsi="Tahoma" w:cs="Tahoma"/>
                <w:color w:val="000000"/>
                <w:sz w:val="24"/>
                <w:szCs w:val="24"/>
                <w:lang w:eastAsia="es-CR"/>
              </w:rPr>
              <w:t xml:space="preserve"> asignar las labores a cada una de esas personas según corresponda.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 xml:space="preserve"> </w:t>
            </w:r>
            <w:r w:rsidRPr="006E19B8">
              <w:rPr>
                <w:rFonts w:ascii="Tahoma" w:eastAsia="Calibri" w:hAnsi="Tahoma" w:cs="Tahoma"/>
                <w:b/>
                <w:bCs/>
                <w:color w:val="000000"/>
                <w:sz w:val="24"/>
                <w:szCs w:val="24"/>
                <w:lang w:eastAsia="es-CR"/>
              </w:rPr>
              <w:t>1.12.2.- Personas en condición de riesgo:</w:t>
            </w:r>
          </w:p>
          <w:p w:rsidR="009467EA" w:rsidRPr="006E19B8" w:rsidRDefault="009467EA" w:rsidP="009467EA">
            <w:pPr>
              <w:spacing w:before="100" w:beforeAutospacing="1" w:after="160" w:line="256" w:lineRule="auto"/>
              <w:jc w:val="both"/>
              <w:rPr>
                <w:rFonts w:ascii="Tahoma" w:eastAsia="Calibri" w:hAnsi="Tahoma" w:cs="Tahoma"/>
                <w:strike/>
                <w:sz w:val="24"/>
                <w:szCs w:val="24"/>
                <w:lang w:eastAsia="es-CR"/>
              </w:rPr>
            </w:pPr>
            <w:r w:rsidRPr="006E19B8">
              <w:rPr>
                <w:rFonts w:ascii="Tahoma" w:eastAsia="Calibri" w:hAnsi="Tahoma" w:cs="Tahoma"/>
                <w:b/>
                <w:bCs/>
                <w:color w:val="000000"/>
                <w:sz w:val="24"/>
                <w:szCs w:val="24"/>
                <w:lang w:eastAsia="es-CR"/>
              </w:rPr>
              <w:t xml:space="preserve">1.12.2.1.- </w:t>
            </w:r>
            <w:r w:rsidRPr="006E19B8">
              <w:rPr>
                <w:rFonts w:ascii="Tahoma" w:eastAsia="Calibri" w:hAnsi="Tahoma" w:cs="Tahoma"/>
                <w:color w:val="000000"/>
                <w:sz w:val="24"/>
                <w:szCs w:val="24"/>
                <w:lang w:eastAsia="es-CR"/>
              </w:rPr>
              <w:t xml:space="preserve">Para estos casos, las personas deberán </w:t>
            </w:r>
            <w:r w:rsidRPr="006E19B8">
              <w:rPr>
                <w:rFonts w:ascii="Tahoma" w:eastAsia="Calibri" w:hAnsi="Tahoma" w:cs="Tahoma"/>
                <w:sz w:val="24"/>
                <w:szCs w:val="24"/>
                <w:lang w:eastAsia="es-CR"/>
              </w:rPr>
              <w:t>realizar preferiblemente teletrabajo, en caso de que sea posible.</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1.12.2.2.</w:t>
            </w:r>
            <w:r w:rsidRPr="006E19B8">
              <w:rPr>
                <w:rFonts w:ascii="Tahoma" w:eastAsia="Calibri" w:hAnsi="Tahoma" w:cs="Tahoma"/>
                <w:color w:val="000000"/>
                <w:sz w:val="24"/>
                <w:szCs w:val="24"/>
                <w:lang w:eastAsia="es-CR"/>
              </w:rPr>
              <w:t>-</w:t>
            </w:r>
            <w:r w:rsidRPr="006E19B8">
              <w:rPr>
                <w:rFonts w:ascii="Tahoma" w:eastAsia="Calibri" w:hAnsi="Tahoma" w:cs="Tahoma"/>
                <w:b/>
                <w:bCs/>
                <w:color w:val="000000"/>
                <w:sz w:val="24"/>
                <w:szCs w:val="24"/>
                <w:lang w:eastAsia="es-CR"/>
              </w:rPr>
              <w:t xml:space="preserve"> </w:t>
            </w:r>
            <w:r w:rsidRPr="006E19B8">
              <w:rPr>
                <w:rFonts w:ascii="Tahoma" w:eastAsia="Calibri" w:hAnsi="Tahoma" w:cs="Tahoma"/>
                <w:color w:val="000000"/>
                <w:sz w:val="24"/>
                <w:szCs w:val="24"/>
                <w:lang w:eastAsia="es-CR"/>
              </w:rPr>
              <w:t>El punto 1.1 no será aplicable a las personas que tengan condición de riesgo.</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b/>
                <w:bCs/>
                <w:color w:val="000000"/>
                <w:sz w:val="24"/>
                <w:szCs w:val="24"/>
                <w:lang w:eastAsia="es-CR"/>
              </w:rPr>
              <w:t>1.12.2.3.</w:t>
            </w:r>
            <w:r w:rsidRPr="006E19B8">
              <w:rPr>
                <w:rFonts w:ascii="Tahoma" w:eastAsia="Calibri" w:hAnsi="Tahoma" w:cs="Tahoma"/>
                <w:color w:val="000000"/>
                <w:sz w:val="24"/>
                <w:szCs w:val="24"/>
                <w:lang w:eastAsia="es-CR"/>
              </w:rPr>
              <w:t>-</w:t>
            </w:r>
            <w:r w:rsidRPr="006E19B8">
              <w:rPr>
                <w:rFonts w:ascii="Tahoma" w:eastAsia="Calibri" w:hAnsi="Tahoma" w:cs="Tahoma"/>
                <w:b/>
                <w:bCs/>
                <w:color w:val="000000"/>
                <w:sz w:val="24"/>
                <w:szCs w:val="24"/>
                <w:lang w:eastAsia="es-CR"/>
              </w:rPr>
              <w:t xml:space="preserve"> </w:t>
            </w:r>
            <w:r w:rsidRPr="006E19B8">
              <w:rPr>
                <w:rFonts w:ascii="Tahoma" w:eastAsia="Calibri" w:hAnsi="Tahoma" w:cs="Tahoma"/>
                <w:color w:val="000000"/>
                <w:sz w:val="24"/>
                <w:szCs w:val="24"/>
                <w:lang w:eastAsia="es-CR"/>
              </w:rPr>
              <w:t xml:space="preserve">Para este último caso, si la persona no tiene condiciones para poder teletrabajar, se procederá a otorgarles vacaciones.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 xml:space="preserve">1.13.- Planes de trabajo y cuotas: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color w:val="000000"/>
                <w:sz w:val="24"/>
                <w:szCs w:val="24"/>
                <w:lang w:eastAsia="es-CR"/>
              </w:rPr>
              <w:t xml:space="preserve">1.13.1.- Los planes de trabajo asignados y cuotas de cada una de las oficinas serán variados en lo que estrictamente sea necesario. Deberá procurar en lo posible mantener las cuotas establecidas por la Dirección de Planificación. </w:t>
            </w:r>
            <w:r w:rsidRPr="006E19B8">
              <w:rPr>
                <w:rFonts w:ascii="Tahoma" w:eastAsia="Calibri" w:hAnsi="Tahoma" w:cs="Tahoma"/>
                <w:sz w:val="24"/>
                <w:szCs w:val="24"/>
                <w:lang w:eastAsia="es-CR"/>
              </w:rPr>
              <w:t>En aquellos casos que por motivo de la emergencia, los planes de trabajo deban ser modificados deberá ser considerado por la jefatura del despacho para modificar las funciones del personal a su cargo.</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1.13.2.- Lo anterior deberá justificarse en los indicadores de gestión correspondiente</w:t>
            </w:r>
            <w:r w:rsidR="00363DA1" w:rsidRPr="006E19B8">
              <w:rPr>
                <w:rFonts w:ascii="Tahoma" w:eastAsia="Calibri" w:hAnsi="Tahoma" w:cs="Tahoma"/>
                <w:color w:val="000000"/>
                <w:sz w:val="24"/>
                <w:szCs w:val="24"/>
                <w:lang w:eastAsia="es-CR"/>
              </w:rPr>
              <w:t xml:space="preserve"> e</w:t>
            </w:r>
            <w:r w:rsidRPr="006E19B8">
              <w:rPr>
                <w:rFonts w:ascii="Tahoma" w:eastAsia="Calibri" w:hAnsi="Tahoma" w:cs="Tahoma"/>
                <w:color w:val="000000"/>
                <w:sz w:val="24"/>
                <w:szCs w:val="24"/>
                <w:lang w:eastAsia="es-CR"/>
              </w:rPr>
              <w:t xml:space="preserve"> informar al Centro de Apoyo, Coordinación y Mejoramiento de la Función Jurisdiccional mediante el correo: centro_gestion_juris@poder-judicial.go.cr</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 xml:space="preserve">1.13.3.- Salvo las prioridades establecidas, en lo posible, se resolverá por orden de antigüedad. </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 xml:space="preserve">1.14.- Seguimiento: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El seguimiento de los planes de trabajo conforme a lo dispuesto en estas directrices, deben de ser remitidos obligatoriamente por los despachos civiles y</w:t>
            </w:r>
            <w:r w:rsidR="006D3D99" w:rsidRPr="006E19B8">
              <w:rPr>
                <w:rFonts w:ascii="Tahoma" w:eastAsia="Calibri" w:hAnsi="Tahoma" w:cs="Tahoma"/>
                <w:color w:val="000000"/>
                <w:sz w:val="24"/>
                <w:szCs w:val="24"/>
                <w:lang w:eastAsia="es-CR"/>
              </w:rPr>
              <w:t xml:space="preserve"> </w:t>
            </w:r>
            <w:r w:rsidRPr="006E19B8">
              <w:rPr>
                <w:rFonts w:ascii="Tahoma" w:eastAsia="Calibri" w:hAnsi="Tahoma" w:cs="Tahoma"/>
                <w:color w:val="000000"/>
                <w:sz w:val="24"/>
                <w:szCs w:val="24"/>
                <w:lang w:eastAsia="es-CR"/>
              </w:rPr>
              <w:t xml:space="preserve">cobratorios al Centro de Apoyo, Coordinación y Mejoramiento de la Función Jurisdiccional, mediante la plantilla facilitada por esta oficina en correo del 17 de julio pasado </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color w:val="000000"/>
                <w:sz w:val="24"/>
                <w:szCs w:val="24"/>
                <w:lang w:eastAsia="es-CR"/>
              </w:rPr>
              <w:t>Asimismo, los despachos judiciales continuarán presentando los reportes semanales al Centro de Apoyo, Coordinación y Mejoramiento de la Función Jurisdiccional por medio de la matriz compartida en la plataforma OneDrive.</w:t>
            </w:r>
          </w:p>
          <w:p w:rsidR="009467EA" w:rsidRPr="006E19B8" w:rsidRDefault="009467EA" w:rsidP="009467EA">
            <w:pPr>
              <w:spacing w:before="100" w:beforeAutospacing="1" w:after="160" w:line="256" w:lineRule="auto"/>
              <w:jc w:val="both"/>
              <w:rPr>
                <w:rFonts w:ascii="Tahoma" w:eastAsia="Calibri" w:hAnsi="Tahoma" w:cs="Tahoma"/>
                <w:b/>
                <w:bCs/>
                <w:color w:val="000000"/>
                <w:sz w:val="24"/>
                <w:szCs w:val="24"/>
                <w:lang w:eastAsia="es-CR"/>
              </w:rPr>
            </w:pPr>
            <w:r w:rsidRPr="006E19B8">
              <w:rPr>
                <w:rFonts w:ascii="Tahoma" w:eastAsia="Calibri" w:hAnsi="Tahoma" w:cs="Tahoma"/>
                <w:b/>
                <w:bCs/>
                <w:color w:val="000000"/>
                <w:sz w:val="24"/>
                <w:szCs w:val="24"/>
                <w:lang w:eastAsia="es-CR"/>
              </w:rPr>
              <w:t>1.15- Prioridad para resolver</w:t>
            </w:r>
          </w:p>
          <w:p w:rsidR="009467EA" w:rsidRPr="006E19B8" w:rsidRDefault="009467EA" w:rsidP="009467EA">
            <w:pPr>
              <w:spacing w:before="100" w:beforeAutospacing="1" w:after="160" w:line="256" w:lineRule="auto"/>
              <w:jc w:val="both"/>
              <w:rPr>
                <w:rFonts w:ascii="Tahoma" w:eastAsia="Calibri" w:hAnsi="Tahoma" w:cs="Tahoma"/>
                <w:color w:val="000000"/>
                <w:sz w:val="24"/>
                <w:szCs w:val="24"/>
                <w:lang w:eastAsia="es-CR"/>
              </w:rPr>
            </w:pPr>
            <w:r w:rsidRPr="006E19B8">
              <w:rPr>
                <w:rFonts w:ascii="Tahoma" w:eastAsia="Calibri" w:hAnsi="Tahoma" w:cs="Tahoma"/>
                <w:sz w:val="24"/>
                <w:szCs w:val="24"/>
                <w:lang w:eastAsia="es-CR"/>
              </w:rPr>
              <w:t>Deberá brindar prioridad a la atención de asuntos de pruebas anticipadas, medidas cautelas o de prevención en asuntos que pongan en riesgo la seguridad de las personas o derechos fundamentales y todas aquellas gestiones que disponga el Código Procesal Civil de atención prioritaria. En el caso de ser necesario la atención de estos asuntos de forma presencial se deberá de respetar las medidas de distanciamiento social, así como las normas de higiene y desinfección necesaria.</w:t>
            </w:r>
          </w:p>
          <w:p w:rsidR="009467EA" w:rsidRPr="006E19B8" w:rsidRDefault="009467EA" w:rsidP="009467EA">
            <w:pPr>
              <w:jc w:val="both"/>
              <w:rPr>
                <w:rFonts w:ascii="Tahoma" w:hAnsi="Tahoma" w:cs="Tahoma"/>
                <w:sz w:val="24"/>
                <w:szCs w:val="24"/>
              </w:rPr>
            </w:pPr>
          </w:p>
          <w:p w:rsidR="009467EA" w:rsidRPr="006E19B8" w:rsidRDefault="009467EA" w:rsidP="009467EA">
            <w:pPr>
              <w:jc w:val="both"/>
              <w:rPr>
                <w:rFonts w:ascii="Tahoma" w:hAnsi="Tahoma" w:cs="Tahoma"/>
                <w:sz w:val="24"/>
                <w:szCs w:val="24"/>
              </w:rPr>
            </w:pPr>
          </w:p>
        </w:tc>
      </w:tr>
      <w:tr w:rsidR="009467EA" w:rsidRPr="006E19B8" w:rsidTr="00A4754C">
        <w:tc>
          <w:tcPr>
            <w:tcW w:w="4254" w:type="dxa"/>
          </w:tcPr>
          <w:p w:rsidR="009467EA" w:rsidRPr="006E19B8" w:rsidRDefault="009467EA" w:rsidP="009467EA">
            <w:pPr>
              <w:jc w:val="both"/>
              <w:rPr>
                <w:rFonts w:ascii="Tahoma" w:hAnsi="Tahoma" w:cs="Tahoma"/>
                <w:b/>
                <w:bCs/>
                <w:sz w:val="24"/>
                <w:szCs w:val="24"/>
              </w:rPr>
            </w:pPr>
            <w:r w:rsidRPr="006E19B8">
              <w:rPr>
                <w:rFonts w:ascii="Tahoma" w:hAnsi="Tahoma" w:cs="Tahoma"/>
                <w:b/>
                <w:bCs/>
                <w:noProof/>
                <w:sz w:val="24"/>
                <w:szCs w:val="24"/>
              </w:rPr>
              <w:drawing>
                <wp:anchor distT="0" distB="0" distL="114300" distR="114300" simplePos="0" relativeHeight="251658241" behindDoc="1" locked="0" layoutInCell="1" allowOverlap="1" wp14:anchorId="30CBF194" wp14:editId="7E794DBC">
                  <wp:simplePos x="0" y="0"/>
                  <wp:positionH relativeFrom="column">
                    <wp:posOffset>841375</wp:posOffset>
                  </wp:positionH>
                  <wp:positionV relativeFrom="paragraph">
                    <wp:posOffset>142240</wp:posOffset>
                  </wp:positionV>
                  <wp:extent cx="1148715" cy="897255"/>
                  <wp:effectExtent l="0" t="0" r="0" b="0"/>
                  <wp:wrapTight wrapText="bothSides">
                    <wp:wrapPolygon edited="0">
                      <wp:start x="9672" y="0"/>
                      <wp:lineTo x="4299" y="1834"/>
                      <wp:lineTo x="3224" y="3210"/>
                      <wp:lineTo x="2149" y="10089"/>
                      <wp:lineTo x="3582" y="19261"/>
                      <wp:lineTo x="5373" y="21096"/>
                      <wp:lineTo x="9672" y="21096"/>
                      <wp:lineTo x="11821" y="21096"/>
                      <wp:lineTo x="16478" y="21096"/>
                      <wp:lineTo x="18627" y="18803"/>
                      <wp:lineTo x="19343" y="10089"/>
                      <wp:lineTo x="18627" y="3210"/>
                      <wp:lineTo x="17194" y="1376"/>
                      <wp:lineTo x="11821" y="0"/>
                      <wp:lineTo x="9672" y="0"/>
                    </wp:wrapPolygon>
                  </wp:wrapTight>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14:sizeRelH relativeFrom="margin">
                    <wp14:pctWidth>0</wp14:pctWidth>
                  </wp14:sizeRelH>
                  <wp14:sizeRelV relativeFrom="margin">
                    <wp14:pctHeight>0</wp14:pctHeight>
                  </wp14:sizeRelV>
                </wp:anchor>
              </w:drawing>
            </w: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b/>
                <w:bCs/>
                <w:sz w:val="24"/>
                <w:szCs w:val="24"/>
              </w:rPr>
            </w:pPr>
          </w:p>
          <w:p w:rsidR="009467EA" w:rsidRPr="006E19B8" w:rsidRDefault="009467EA" w:rsidP="00CE324C">
            <w:pPr>
              <w:rPr>
                <w:rFonts w:ascii="Tahoma" w:hAnsi="Tahoma" w:cs="Tahoma"/>
                <w:b/>
                <w:bCs/>
                <w:sz w:val="24"/>
                <w:szCs w:val="24"/>
              </w:rPr>
            </w:pPr>
          </w:p>
          <w:p w:rsidR="009467EA" w:rsidRPr="006E19B8" w:rsidRDefault="009467EA" w:rsidP="009467EA">
            <w:pPr>
              <w:jc w:val="center"/>
              <w:rPr>
                <w:rFonts w:ascii="Tahoma" w:hAnsi="Tahoma" w:cs="Tahoma"/>
                <w:b/>
                <w:bCs/>
                <w:sz w:val="24"/>
                <w:szCs w:val="24"/>
              </w:rPr>
            </w:pPr>
          </w:p>
          <w:p w:rsidR="009467EA" w:rsidRPr="006E19B8" w:rsidRDefault="009467EA" w:rsidP="009467EA">
            <w:pPr>
              <w:jc w:val="center"/>
              <w:rPr>
                <w:rFonts w:ascii="Tahoma" w:hAnsi="Tahoma" w:cs="Tahoma"/>
                <w:b/>
                <w:bCs/>
                <w:sz w:val="24"/>
                <w:szCs w:val="24"/>
              </w:rPr>
            </w:pPr>
            <w:r w:rsidRPr="006E19B8">
              <w:rPr>
                <w:rFonts w:ascii="Tahoma" w:hAnsi="Tahoma" w:cs="Tahoma"/>
                <w:b/>
                <w:bCs/>
                <w:sz w:val="24"/>
                <w:szCs w:val="24"/>
              </w:rPr>
              <w:t xml:space="preserve">Fase </w:t>
            </w:r>
            <w:r w:rsidR="00882567" w:rsidRPr="006E19B8">
              <w:rPr>
                <w:rFonts w:ascii="Tahoma" w:hAnsi="Tahoma" w:cs="Tahoma"/>
                <w:b/>
                <w:bCs/>
                <w:sz w:val="24"/>
                <w:szCs w:val="24"/>
              </w:rPr>
              <w:t>4</w:t>
            </w:r>
            <w:r w:rsidRPr="006E19B8">
              <w:rPr>
                <w:rFonts w:ascii="Tahoma" w:hAnsi="Tahoma" w:cs="Tahoma"/>
                <w:b/>
                <w:bCs/>
                <w:sz w:val="24"/>
                <w:szCs w:val="24"/>
              </w:rPr>
              <w:t>: Alerta Roja</w:t>
            </w:r>
          </w:p>
          <w:p w:rsidR="007866A3" w:rsidRPr="006E19B8" w:rsidRDefault="00371548" w:rsidP="007866A3">
            <w:pPr>
              <w:jc w:val="both"/>
              <w:rPr>
                <w:rFonts w:ascii="Tahoma" w:hAnsi="Tahoma" w:cs="Tahoma"/>
                <w:b/>
                <w:bCs/>
                <w:sz w:val="24"/>
                <w:szCs w:val="24"/>
              </w:rPr>
            </w:pPr>
            <w:r w:rsidRPr="006E19B8">
              <w:rPr>
                <w:rFonts w:ascii="Tahoma" w:hAnsi="Tahoma" w:cs="Tahoma"/>
                <w:b/>
                <w:bCs/>
                <w:sz w:val="24"/>
                <w:szCs w:val="24"/>
              </w:rPr>
              <w:tab/>
            </w:r>
            <w:r w:rsidR="007866A3" w:rsidRPr="006E19B8">
              <w:rPr>
                <w:rFonts w:ascii="Tahoma" w:hAnsi="Tahoma" w:cs="Tahoma"/>
                <w:b/>
                <w:bCs/>
                <w:sz w:val="24"/>
                <w:szCs w:val="24"/>
              </w:rPr>
              <w:t>Grado de riego: extremo.</w:t>
            </w:r>
          </w:p>
          <w:p w:rsidR="009467EA" w:rsidRPr="006E19B8" w:rsidRDefault="009467EA" w:rsidP="00371548">
            <w:pPr>
              <w:tabs>
                <w:tab w:val="left" w:pos="1155"/>
              </w:tabs>
              <w:rPr>
                <w:rFonts w:ascii="Tahoma" w:hAnsi="Tahoma" w:cs="Tahoma"/>
                <w:b/>
                <w:bCs/>
                <w:sz w:val="24"/>
                <w:szCs w:val="24"/>
              </w:rPr>
            </w:pPr>
          </w:p>
          <w:p w:rsidR="009467EA" w:rsidRPr="006E19B8" w:rsidRDefault="009467EA" w:rsidP="009467EA">
            <w:pPr>
              <w:jc w:val="both"/>
              <w:rPr>
                <w:rFonts w:ascii="Tahoma" w:hAnsi="Tahoma" w:cs="Tahoma"/>
                <w:sz w:val="24"/>
                <w:szCs w:val="24"/>
                <w:u w:val="single"/>
              </w:rPr>
            </w:pPr>
            <w:r w:rsidRPr="006E19B8">
              <w:rPr>
                <w:rFonts w:ascii="Tahoma" w:hAnsi="Tahoma" w:cs="Tahoma"/>
                <w:sz w:val="24"/>
                <w:szCs w:val="24"/>
                <w:u w:val="single"/>
              </w:rPr>
              <w:t>Cierre total del servicio, atención mínimos esenciales.</w:t>
            </w:r>
          </w:p>
          <w:p w:rsidR="009467EA" w:rsidRPr="006E19B8" w:rsidRDefault="009467EA" w:rsidP="009467EA">
            <w:pPr>
              <w:jc w:val="both"/>
              <w:rPr>
                <w:rFonts w:ascii="Tahoma" w:hAnsi="Tahoma" w:cs="Tahoma"/>
                <w:b/>
                <w:bCs/>
                <w:sz w:val="24"/>
                <w:szCs w:val="24"/>
              </w:rPr>
            </w:pPr>
          </w:p>
          <w:p w:rsidR="00A47429" w:rsidRDefault="00A47429" w:rsidP="00A47429">
            <w:pPr>
              <w:jc w:val="both"/>
              <w:rPr>
                <w:rFonts w:ascii="Tahoma" w:hAnsi="Tahoma" w:cs="Tahoma"/>
                <w:i/>
                <w:iCs/>
                <w:sz w:val="24"/>
                <w:szCs w:val="24"/>
              </w:rPr>
            </w:pPr>
            <w:r w:rsidRPr="006E19B8">
              <w:rPr>
                <w:rFonts w:ascii="Tahoma" w:eastAsia="Calibri" w:hAnsi="Tahoma" w:cs="Tahoma"/>
                <w:sz w:val="24"/>
                <w:szCs w:val="24"/>
                <w:lang w:eastAsia="es-CR"/>
              </w:rPr>
              <w:t xml:space="preserve">Circular N° 93-2020 </w:t>
            </w:r>
            <w:r w:rsidRPr="006E19B8">
              <w:rPr>
                <w:rFonts w:ascii="Tahoma" w:hAnsi="Tahoma" w:cs="Tahoma"/>
                <w:i/>
                <w:iCs/>
                <w:sz w:val="24"/>
                <w:szCs w:val="24"/>
              </w:rPr>
              <w:t>“Protocolo para la realización de audiencias orales por medios tecnológicos en materia civil.”</w:t>
            </w:r>
          </w:p>
          <w:p w:rsidR="00A47429" w:rsidRDefault="00A47429" w:rsidP="00A93DC2">
            <w:pPr>
              <w:jc w:val="both"/>
              <w:rPr>
                <w:rFonts w:ascii="Tahoma" w:hAnsi="Tahoma" w:cs="Tahoma"/>
                <w:color w:val="000000"/>
                <w:sz w:val="24"/>
                <w:szCs w:val="24"/>
                <w:lang w:eastAsia="es-CR"/>
              </w:rPr>
            </w:pPr>
          </w:p>
          <w:p w:rsidR="00A93DC2" w:rsidRPr="003D0724" w:rsidRDefault="00A93DC2" w:rsidP="00A93DC2">
            <w:pPr>
              <w:jc w:val="both"/>
              <w:rPr>
                <w:rFonts w:ascii="Tahoma" w:hAnsi="Tahoma" w:cs="Tahoma"/>
                <w:i/>
                <w:iCs/>
                <w:color w:val="000000"/>
                <w:sz w:val="24"/>
                <w:szCs w:val="24"/>
                <w:lang w:eastAsia="es-CR"/>
              </w:rPr>
            </w:pPr>
            <w:r w:rsidRPr="001B0A63">
              <w:rPr>
                <w:rFonts w:ascii="Tahoma" w:hAnsi="Tahoma" w:cs="Tahoma"/>
                <w:color w:val="000000"/>
                <w:sz w:val="24"/>
                <w:szCs w:val="24"/>
                <w:lang w:eastAsia="es-CR"/>
              </w:rPr>
              <w:t>Circular N° 97-2020</w:t>
            </w:r>
            <w:r w:rsidRPr="003D0724">
              <w:rPr>
                <w:rFonts w:ascii="Tahoma" w:hAnsi="Tahoma" w:cs="Tahoma"/>
                <w:i/>
                <w:iCs/>
                <w:color w:val="000000"/>
                <w:sz w:val="24"/>
                <w:szCs w:val="24"/>
                <w:lang w:eastAsia="es-CR"/>
              </w:rPr>
              <w:t xml:space="preserve"> “Protocolos para la utilización de salas de juicio, ingreso de personas usuarias y limpieza de áreas.”</w:t>
            </w:r>
          </w:p>
          <w:p w:rsidR="00A93DC2" w:rsidRDefault="00A93DC2" w:rsidP="00A93DC2">
            <w:pPr>
              <w:rPr>
                <w:rFonts w:ascii="Tahoma" w:eastAsia="Calibri" w:hAnsi="Tahoma" w:cs="Tahoma"/>
                <w:i/>
                <w:iCs/>
                <w:sz w:val="24"/>
                <w:szCs w:val="24"/>
              </w:rPr>
            </w:pPr>
          </w:p>
          <w:p w:rsidR="00A93DC2" w:rsidRPr="001D3F24" w:rsidRDefault="00A93DC2" w:rsidP="00A93DC2">
            <w:pPr>
              <w:jc w:val="both"/>
              <w:rPr>
                <w:rFonts w:ascii="Tahoma" w:hAnsi="Tahoma" w:cs="Tahoma"/>
                <w:i/>
                <w:iCs/>
                <w:color w:val="000000"/>
                <w:sz w:val="24"/>
                <w:szCs w:val="24"/>
                <w:lang w:eastAsia="es-CR"/>
              </w:rPr>
            </w:pPr>
            <w:r w:rsidRPr="001D3F24">
              <w:rPr>
                <w:rFonts w:ascii="Tahoma" w:hAnsi="Tahoma" w:cs="Tahoma"/>
                <w:i/>
                <w:iCs/>
                <w:color w:val="000000"/>
                <w:sz w:val="24"/>
                <w:szCs w:val="24"/>
                <w:lang w:eastAsia="es-CR"/>
              </w:rPr>
              <w:t>Circular N° 254-2020 “Protocolos que se requieren con motivo del abordaje de la emergencia nacional presentada por COVID-19</w:t>
            </w:r>
            <w:r>
              <w:rPr>
                <w:rFonts w:ascii="Tahoma" w:hAnsi="Tahoma" w:cs="Tahoma"/>
                <w:i/>
                <w:iCs/>
                <w:color w:val="000000"/>
                <w:sz w:val="24"/>
                <w:szCs w:val="24"/>
                <w:lang w:eastAsia="es-CR"/>
              </w:rPr>
              <w:t>.”</w:t>
            </w:r>
          </w:p>
          <w:p w:rsidR="00A93DC2" w:rsidRPr="00D23EFE" w:rsidRDefault="00A93DC2" w:rsidP="00A93DC2">
            <w:pPr>
              <w:rPr>
                <w:rFonts w:ascii="Tahoma" w:hAnsi="Tahoma" w:cs="Tahoma"/>
                <w:i/>
                <w:iCs/>
                <w:color w:val="000000"/>
                <w:sz w:val="24"/>
                <w:szCs w:val="24"/>
                <w:lang w:eastAsia="es-CR"/>
              </w:rPr>
            </w:pPr>
          </w:p>
          <w:p w:rsidR="00A93DC2" w:rsidRPr="00492CA0" w:rsidRDefault="00A47429" w:rsidP="00A93DC2">
            <w:pPr>
              <w:jc w:val="center"/>
              <w:rPr>
                <w:rFonts w:ascii="Tahoma" w:hAnsi="Tahoma" w:cs="Tahoma"/>
                <w:sz w:val="24"/>
                <w:szCs w:val="24"/>
              </w:rPr>
            </w:pPr>
            <w:r w:rsidRPr="006E19B8">
              <w:rPr>
                <w:rFonts w:ascii="Tahoma" w:eastAsia="Times New Roman" w:hAnsi="Tahoma" w:cs="Tahoma"/>
                <w:sz w:val="24"/>
                <w:szCs w:val="24"/>
                <w:lang w:eastAsia="zh-CN" w:bidi="hi-IN"/>
              </w:rPr>
              <w:object w:dxaOrig="2117" w:dyaOrig="1383" w14:anchorId="21D88A4B">
                <v:shape id="_x0000_i1046" type="#_x0000_t75" style="width:105pt;height:69pt" o:ole="">
                  <v:imagedata r:id="rId21" o:title=""/>
                </v:shape>
                <o:OLEObject Type="Embed" ProgID="Word.Document.12" ShapeID="_x0000_i1046" DrawAspect="Icon" ObjectID="_1672118036" r:id="rId73">
                  <o:FieldCodes>\s</o:FieldCodes>
                </o:OLEObject>
              </w:object>
            </w:r>
            <w:r w:rsidR="00A93DC2">
              <w:object w:dxaOrig="1508" w:dyaOrig="983" w14:anchorId="6401544A">
                <v:shape id="_x0000_i1047" type="#_x0000_t75" style="width:75pt;height:48.75pt" o:ole="">
                  <v:imagedata r:id="rId23" o:title=""/>
                </v:shape>
                <o:OLEObject Type="Embed" ProgID="Word.Document.12" ShapeID="_x0000_i1047" DrawAspect="Icon" ObjectID="_1672118037" r:id="rId74">
                  <o:FieldCodes>\s</o:FieldCodes>
                </o:OLEObject>
              </w:object>
            </w:r>
            <w:r w:rsidR="00A93DC2">
              <w:object w:dxaOrig="1508" w:dyaOrig="983" w14:anchorId="220B983D">
                <v:shape id="_x0000_i1048" type="#_x0000_t75" style="width:75pt;height:48.75pt" o:ole="">
                  <v:imagedata r:id="rId75" o:title=""/>
                </v:shape>
                <o:OLEObject Type="Embed" ProgID="Word.Document.12" ShapeID="_x0000_i1048" DrawAspect="Icon" ObjectID="_1672118038" r:id="rId76">
                  <o:FieldCodes>\s</o:FieldCodes>
                </o:OLEObject>
              </w:object>
            </w:r>
          </w:p>
          <w:p w:rsidR="009467EA" w:rsidRPr="006E19B8" w:rsidRDefault="009467EA" w:rsidP="009467EA">
            <w:pPr>
              <w:jc w:val="both"/>
              <w:rPr>
                <w:rFonts w:ascii="Tahoma" w:hAnsi="Tahoma" w:cs="Tahoma"/>
                <w:b/>
                <w:bCs/>
                <w:sz w:val="24"/>
                <w:szCs w:val="24"/>
              </w:rPr>
            </w:pPr>
          </w:p>
          <w:p w:rsidR="009467EA" w:rsidRPr="006E19B8" w:rsidRDefault="009467EA" w:rsidP="009467EA">
            <w:pPr>
              <w:jc w:val="both"/>
              <w:rPr>
                <w:rFonts w:ascii="Tahoma" w:hAnsi="Tahoma" w:cs="Tahoma"/>
                <w:sz w:val="24"/>
                <w:szCs w:val="24"/>
              </w:rPr>
            </w:pPr>
          </w:p>
        </w:tc>
        <w:tc>
          <w:tcPr>
            <w:tcW w:w="5528" w:type="dxa"/>
          </w:tcPr>
          <w:p w:rsidR="009467EA" w:rsidRPr="006E19B8" w:rsidRDefault="009467EA" w:rsidP="009467EA">
            <w:pPr>
              <w:spacing w:before="100" w:beforeAutospacing="1" w:after="160" w:line="256" w:lineRule="auto"/>
              <w:rPr>
                <w:rFonts w:ascii="Tahoma" w:eastAsia="Calibri" w:hAnsi="Tahoma" w:cs="Tahoma"/>
                <w:b/>
                <w:bCs/>
                <w:sz w:val="24"/>
                <w:szCs w:val="24"/>
                <w:lang w:eastAsia="es-CR"/>
              </w:rPr>
            </w:pPr>
            <w:r w:rsidRPr="006E19B8">
              <w:rPr>
                <w:rFonts w:ascii="Tahoma" w:eastAsia="Calibri" w:hAnsi="Tahoma" w:cs="Tahoma"/>
                <w:b/>
                <w:bCs/>
                <w:sz w:val="24"/>
                <w:szCs w:val="24"/>
                <w:lang w:eastAsia="es-CR"/>
              </w:rPr>
              <w:t xml:space="preserve">Escenario ante un cierre total sin teletrabajo y con rol de disponibilidad: </w:t>
            </w:r>
          </w:p>
          <w:p w:rsidR="009467EA" w:rsidRPr="00182CC1" w:rsidRDefault="009467EA" w:rsidP="009467EA">
            <w:pPr>
              <w:numPr>
                <w:ilvl w:val="0"/>
                <w:numId w:val="17"/>
              </w:numPr>
              <w:spacing w:before="100" w:beforeAutospacing="1" w:after="160" w:line="256" w:lineRule="auto"/>
              <w:ind w:left="457"/>
              <w:contextualSpacing/>
              <w:rPr>
                <w:rFonts w:ascii="Tahoma" w:eastAsia="Times New Roman" w:hAnsi="Tahoma" w:cs="Tahoma"/>
                <w:b/>
                <w:bCs/>
                <w:sz w:val="24"/>
                <w:szCs w:val="24"/>
                <w:lang w:eastAsia="es-CR"/>
              </w:rPr>
            </w:pPr>
            <w:r w:rsidRPr="00182CC1">
              <w:rPr>
                <w:rFonts w:ascii="Tahoma" w:eastAsia="Times New Roman" w:hAnsi="Tahoma" w:cs="Tahoma"/>
                <w:b/>
                <w:bCs/>
                <w:sz w:val="24"/>
                <w:szCs w:val="24"/>
                <w:lang w:eastAsia="es-CR"/>
              </w:rPr>
              <w:t xml:space="preserve">Actividades que </w:t>
            </w:r>
            <w:r w:rsidR="00D96B9F" w:rsidRPr="00182CC1">
              <w:rPr>
                <w:rFonts w:ascii="Tahoma" w:eastAsia="Times New Roman" w:hAnsi="Tahoma" w:cs="Tahoma"/>
                <w:b/>
                <w:bCs/>
                <w:sz w:val="24"/>
                <w:szCs w:val="24"/>
                <w:lang w:eastAsia="es-CR"/>
              </w:rPr>
              <w:t>deberán realizar</w:t>
            </w:r>
            <w:r w:rsidRPr="00182CC1">
              <w:rPr>
                <w:rFonts w:ascii="Tahoma" w:eastAsia="Times New Roman" w:hAnsi="Tahoma" w:cs="Tahoma"/>
                <w:b/>
                <w:bCs/>
                <w:sz w:val="24"/>
                <w:szCs w:val="24"/>
                <w:lang w:eastAsia="es-CR"/>
              </w:rPr>
              <w:t xml:space="preserve"> con disponibilidad durante la emergencia: </w:t>
            </w:r>
          </w:p>
          <w:p w:rsidR="009467EA" w:rsidRPr="006E19B8" w:rsidRDefault="009467EA" w:rsidP="009467EA">
            <w:pPr>
              <w:numPr>
                <w:ilvl w:val="0"/>
                <w:numId w:val="18"/>
              </w:numPr>
              <w:spacing w:before="100" w:beforeAutospacing="1" w:after="160" w:line="256" w:lineRule="auto"/>
              <w:ind w:left="321" w:hanging="284"/>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Solamente y en caso de excepción, el personal judicial mínimo deberá apersonarse al respectivo despacho, para atender aquellas situaciones en donde de forma clara y acreditada, sea necesario resolver para evitar un daño a la vida a la salud, libertad de movimiento o seguridad de las personas, así como medidas cautelares, modificaciones o levantamientos, en asuntos patrimoniales en caso en los cuales se pueden causar daños de difícil o imposible reparación (Aseguramiento de bienes en sucesiones).</w:t>
            </w:r>
          </w:p>
          <w:p w:rsidR="009467EA" w:rsidRPr="006E19B8" w:rsidRDefault="009467EA" w:rsidP="009467EA">
            <w:pPr>
              <w:numPr>
                <w:ilvl w:val="0"/>
                <w:numId w:val="19"/>
              </w:numPr>
              <w:spacing w:before="100" w:beforeAutospacing="1" w:after="160" w:line="256" w:lineRule="auto"/>
              <w:ind w:left="315" w:hanging="31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Para ello, la persona interesada deberá informar a la Contraloría de Servicios (correo de despacho habilitado, o a quien se designe), sobre la situación de urgencia. </w:t>
            </w:r>
          </w:p>
          <w:p w:rsidR="009467EA" w:rsidRPr="006E19B8" w:rsidRDefault="009467EA" w:rsidP="009467EA">
            <w:pPr>
              <w:numPr>
                <w:ilvl w:val="0"/>
                <w:numId w:val="19"/>
              </w:numPr>
              <w:spacing w:before="100" w:beforeAutospacing="1" w:after="160" w:line="256" w:lineRule="auto"/>
              <w:ind w:left="31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Los despachos deberán indicar a la Contraloría de Servicios (correo de despacho habilitado o a quien se designe), el número de teléfono de contacto de una persona juzgadora que se encuentre disponible y pueda valorar si la situación. </w:t>
            </w:r>
          </w:p>
          <w:p w:rsidR="009467EA" w:rsidRPr="006E19B8" w:rsidRDefault="009467EA" w:rsidP="009467EA">
            <w:pPr>
              <w:spacing w:before="100" w:beforeAutospacing="1" w:after="160" w:line="256" w:lineRule="auto"/>
              <w:jc w:val="both"/>
              <w:textAlignment w:val="baseline"/>
              <w:rPr>
                <w:rFonts w:ascii="Tahoma" w:eastAsia="Times New Roman" w:hAnsi="Tahoma" w:cs="Tahoma"/>
                <w:b/>
                <w:bCs/>
                <w:sz w:val="24"/>
                <w:szCs w:val="24"/>
                <w:lang w:eastAsia="es-CR"/>
              </w:rPr>
            </w:pPr>
            <w:r w:rsidRPr="006E19B8">
              <w:rPr>
                <w:rFonts w:ascii="Tahoma" w:eastAsia="Times New Roman" w:hAnsi="Tahoma" w:cs="Tahoma"/>
                <w:b/>
                <w:bCs/>
                <w:sz w:val="24"/>
                <w:szCs w:val="24"/>
                <w:lang w:eastAsia="es-CR"/>
              </w:rPr>
              <w:t xml:space="preserve">Escenario con cierre total con posibilidad de teletrabajo  </w:t>
            </w:r>
          </w:p>
          <w:p w:rsidR="009467EA" w:rsidRPr="006E19B8" w:rsidRDefault="009467EA" w:rsidP="009467EA">
            <w:pPr>
              <w:numPr>
                <w:ilvl w:val="0"/>
                <w:numId w:val="20"/>
              </w:numPr>
              <w:spacing w:before="100" w:beforeAutospacing="1" w:after="160" w:line="256" w:lineRule="auto"/>
              <w:ind w:left="179" w:hanging="179"/>
              <w:contextualSpacing/>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 En el presente caso, aplicarán las mismas disposiciones del “</w:t>
            </w:r>
            <w:r w:rsidRPr="006E19B8">
              <w:rPr>
                <w:rFonts w:ascii="Tahoma" w:eastAsia="Calibri" w:hAnsi="Tahoma" w:cs="Tahoma"/>
                <w:b/>
                <w:bCs/>
                <w:i/>
                <w:iCs/>
                <w:sz w:val="24"/>
                <w:szCs w:val="24"/>
                <w:lang w:eastAsia="es-CR"/>
              </w:rPr>
              <w:t>Escenario</w:t>
            </w:r>
            <w:r w:rsidRPr="006E19B8">
              <w:rPr>
                <w:rFonts w:ascii="Tahoma" w:eastAsia="Times New Roman" w:hAnsi="Tahoma" w:cs="Tahoma"/>
                <w:i/>
                <w:iCs/>
                <w:sz w:val="24"/>
                <w:szCs w:val="24"/>
                <w:lang w:eastAsia="es-CR"/>
              </w:rPr>
              <w:t xml:space="preserve"> </w:t>
            </w:r>
            <w:r w:rsidRPr="006E19B8">
              <w:rPr>
                <w:rFonts w:ascii="Tahoma" w:eastAsia="Calibri" w:hAnsi="Tahoma" w:cs="Tahoma"/>
                <w:b/>
                <w:bCs/>
                <w:i/>
                <w:iCs/>
                <w:sz w:val="24"/>
                <w:szCs w:val="24"/>
                <w:lang w:eastAsia="es-CR"/>
              </w:rPr>
              <w:t>ante un cierre total sin teletrabajo y con rol de disponibilidad”</w:t>
            </w:r>
            <w:r w:rsidRPr="006E19B8">
              <w:rPr>
                <w:rFonts w:ascii="Tahoma" w:eastAsia="Times New Roman" w:hAnsi="Tahoma" w:cs="Tahoma"/>
                <w:sz w:val="24"/>
                <w:szCs w:val="24"/>
                <w:lang w:eastAsia="es-CR"/>
              </w:rPr>
              <w:t xml:space="preserve">, con la aclaración de que el correo electrónico oficial de cada una de las oficinas sea direccionado al Coordinador Judicial o bien a la persona que designe la respectiva jefatura, con el fin de que proceda a la revisión de los asuntos urgentes que puedan presentarse al despacho. </w:t>
            </w:r>
          </w:p>
          <w:p w:rsidR="009467EA" w:rsidRPr="006E19B8" w:rsidRDefault="009467EA" w:rsidP="009467EA">
            <w:pPr>
              <w:numPr>
                <w:ilvl w:val="0"/>
                <w:numId w:val="20"/>
              </w:numPr>
              <w:spacing w:before="100" w:beforeAutospacing="1" w:after="160" w:line="256" w:lineRule="auto"/>
              <w:ind w:left="179" w:hanging="179"/>
              <w:contextualSpacing/>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En el caso de que se deba de atender excepcionalmente una diligencia o audiencia presencial, una vez finalizada la misma, se continuará laborando en la modalidad de teletrabajo.</w:t>
            </w:r>
          </w:p>
          <w:p w:rsidR="009467EA" w:rsidRPr="006E19B8" w:rsidRDefault="009467EA" w:rsidP="009467EA">
            <w:pPr>
              <w:numPr>
                <w:ilvl w:val="0"/>
                <w:numId w:val="20"/>
              </w:numPr>
              <w:spacing w:before="100" w:beforeAutospacing="1" w:after="160" w:line="256" w:lineRule="auto"/>
              <w:ind w:left="179" w:hanging="179"/>
              <w:contextualSpacing/>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Actividades que podrán efectuar el personal de los despachos durante el cierre, pero con posibilidad de teletrabajo: </w:t>
            </w:r>
          </w:p>
          <w:p w:rsidR="009467EA" w:rsidRPr="006E19B8" w:rsidRDefault="009467EA" w:rsidP="009467EA">
            <w:pPr>
              <w:numPr>
                <w:ilvl w:val="0"/>
                <w:numId w:val="21"/>
              </w:numPr>
              <w:spacing w:before="100" w:beforeAutospacing="1" w:after="160" w:line="256" w:lineRule="auto"/>
              <w:ind w:left="1080"/>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Expedientes electrónicos 100%: </w:t>
            </w:r>
          </w:p>
          <w:p w:rsidR="009467EA" w:rsidRPr="006E19B8" w:rsidRDefault="009467EA" w:rsidP="009467EA">
            <w:pPr>
              <w:spacing w:before="100" w:beforeAutospacing="1" w:after="160" w:line="256" w:lineRule="auto"/>
              <w:ind w:firstLine="700"/>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i. El personal que tenga accesos informáticos de VPN o VDI (Máquina Virtual) o aquellos que hubieren descargado anticipadamente los asuntos, podrán continuar laborando bajo la modalidad de teletrabajo con los escritos y demás gestiones pendientes, así como los asuntos que se encuentren listos para emitir una resolución de fondo. </w:t>
            </w:r>
          </w:p>
          <w:p w:rsidR="009467EA" w:rsidRPr="006E19B8" w:rsidRDefault="009467EA" w:rsidP="009467EA">
            <w:pPr>
              <w:numPr>
                <w:ilvl w:val="0"/>
                <w:numId w:val="22"/>
              </w:numPr>
              <w:spacing w:before="100" w:beforeAutospacing="1" w:after="160" w:line="256" w:lineRule="auto"/>
              <w:ind w:left="29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ii. Deberá considerarse:</w:t>
            </w:r>
            <w:r w:rsidR="00890955" w:rsidRPr="006E19B8">
              <w:rPr>
                <w:rFonts w:ascii="Tahoma" w:eastAsia="Times New Roman" w:hAnsi="Tahoma" w:cs="Tahoma"/>
                <w:sz w:val="24"/>
                <w:szCs w:val="24"/>
                <w:lang w:eastAsia="es-CR"/>
              </w:rPr>
              <w:t xml:space="preserve"> </w:t>
            </w:r>
            <w:r w:rsidRPr="006E19B8">
              <w:rPr>
                <w:rFonts w:ascii="Tahoma" w:eastAsia="Times New Roman" w:hAnsi="Tahoma" w:cs="Tahoma"/>
                <w:sz w:val="24"/>
                <w:szCs w:val="24"/>
                <w:lang w:eastAsia="es-CR"/>
              </w:rPr>
              <w:t xml:space="preserve">Salvo lo indicado en el punto 1, las notificaciones personales no se realizarán durante este periodo. Las partes podrán diligenciar las comisiones de notificación cuando las medidas de emergencia se levanten. </w:t>
            </w:r>
          </w:p>
          <w:p w:rsidR="009467EA" w:rsidRPr="006E19B8" w:rsidRDefault="009467EA" w:rsidP="009467EA">
            <w:pPr>
              <w:numPr>
                <w:ilvl w:val="0"/>
                <w:numId w:val="22"/>
              </w:numPr>
              <w:spacing w:before="100" w:beforeAutospacing="1" w:after="160" w:line="256" w:lineRule="auto"/>
              <w:ind w:left="29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La presentación de escritos se podrá realizar mediante el sistema de Gestión de Línea y de acuerdo con lo que la institución disponga.  </w:t>
            </w:r>
          </w:p>
          <w:p w:rsidR="009467EA" w:rsidRPr="006E19B8" w:rsidRDefault="009467EA" w:rsidP="009467EA">
            <w:pPr>
              <w:numPr>
                <w:ilvl w:val="0"/>
                <w:numId w:val="22"/>
              </w:numPr>
              <w:spacing w:before="100" w:beforeAutospacing="1" w:after="160" w:line="256" w:lineRule="auto"/>
              <w:ind w:left="29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Lo que institucionalmente se disponga respecto al periodo de cierre y que pueda afectar los temas procesales como el cómputo de plazos.  </w:t>
            </w:r>
          </w:p>
          <w:p w:rsidR="009467EA" w:rsidRPr="006E19B8" w:rsidRDefault="009467EA" w:rsidP="009467EA">
            <w:pPr>
              <w:numPr>
                <w:ilvl w:val="0"/>
                <w:numId w:val="22"/>
              </w:numPr>
              <w:spacing w:before="100" w:beforeAutospacing="1" w:after="160" w:line="256" w:lineRule="auto"/>
              <w:ind w:left="29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Para los anteriores efectos, se considerarán las directrices ya emitidas al respecto. </w:t>
            </w:r>
          </w:p>
          <w:p w:rsidR="009467EA" w:rsidRPr="006E19B8" w:rsidRDefault="009467EA" w:rsidP="009467EA">
            <w:pPr>
              <w:numPr>
                <w:ilvl w:val="0"/>
                <w:numId w:val="23"/>
              </w:numPr>
              <w:spacing w:before="100" w:beforeAutospacing="1" w:after="160" w:line="256" w:lineRule="auto"/>
              <w:ind w:left="1080"/>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Expedientes híbridos o físicos: </w:t>
            </w:r>
          </w:p>
          <w:p w:rsidR="009467EA" w:rsidRPr="006E19B8" w:rsidRDefault="009467EA" w:rsidP="009467EA">
            <w:pPr>
              <w:numPr>
                <w:ilvl w:val="0"/>
                <w:numId w:val="24"/>
              </w:numPr>
              <w:spacing w:before="100" w:beforeAutospacing="1" w:after="160" w:line="256" w:lineRule="auto"/>
              <w:ind w:hanging="42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No se tramitarán salvo que lo que se deba resolver, no requiera de la consulta de la parte física del expediente.  </w:t>
            </w:r>
          </w:p>
          <w:p w:rsidR="009467EA" w:rsidRPr="006E19B8" w:rsidRDefault="009467EA" w:rsidP="009467EA">
            <w:pPr>
              <w:numPr>
                <w:ilvl w:val="0"/>
                <w:numId w:val="25"/>
              </w:numPr>
              <w:spacing w:before="100" w:beforeAutospacing="1" w:after="160" w:line="256" w:lineRule="auto"/>
              <w:ind w:hanging="42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Una vez implementada esta medida, las personas no podrán asistir a las oficinas a descargar o cargar los archivos para trabajar desde casa.  </w:t>
            </w:r>
          </w:p>
          <w:p w:rsidR="009467EA" w:rsidRPr="006E19B8" w:rsidRDefault="009467EA" w:rsidP="009467EA">
            <w:pPr>
              <w:numPr>
                <w:ilvl w:val="0"/>
                <w:numId w:val="26"/>
              </w:numPr>
              <w:spacing w:before="100" w:beforeAutospacing="1" w:after="160" w:line="256" w:lineRule="auto"/>
              <w:ind w:left="1080"/>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Reuniones: </w:t>
            </w:r>
          </w:p>
          <w:p w:rsidR="009467EA" w:rsidRPr="006E19B8" w:rsidRDefault="009467EA" w:rsidP="009467EA">
            <w:pPr>
              <w:numPr>
                <w:ilvl w:val="0"/>
                <w:numId w:val="27"/>
              </w:numPr>
              <w:spacing w:before="100" w:beforeAutospacing="1" w:after="160" w:line="256" w:lineRule="auto"/>
              <w:ind w:left="1980" w:hanging="168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No deberán realizarse reuniones físicas.  </w:t>
            </w:r>
          </w:p>
          <w:p w:rsidR="009467EA" w:rsidRPr="006E19B8" w:rsidRDefault="009467EA" w:rsidP="009467EA">
            <w:pPr>
              <w:numPr>
                <w:ilvl w:val="0"/>
                <w:numId w:val="28"/>
              </w:numPr>
              <w:spacing w:before="100" w:beforeAutospacing="1" w:after="160" w:line="256" w:lineRule="auto"/>
              <w:ind w:left="746" w:hanging="42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Las mismas serán virtuales en la medida de lo posible.  </w:t>
            </w:r>
          </w:p>
          <w:p w:rsidR="009467EA" w:rsidRPr="006E19B8" w:rsidRDefault="009467EA" w:rsidP="009467EA">
            <w:pPr>
              <w:numPr>
                <w:ilvl w:val="0"/>
                <w:numId w:val="29"/>
              </w:numPr>
              <w:spacing w:before="100" w:beforeAutospacing="1" w:after="160" w:line="256" w:lineRule="auto"/>
              <w:ind w:left="1080"/>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Señalamientos para remate y comunicaciones a la Imprenta Nacional: </w:t>
            </w:r>
          </w:p>
          <w:p w:rsidR="009467EA" w:rsidRPr="006E19B8" w:rsidRDefault="009467EA" w:rsidP="009467EA">
            <w:pPr>
              <w:numPr>
                <w:ilvl w:val="0"/>
                <w:numId w:val="30"/>
              </w:numPr>
              <w:spacing w:before="100" w:beforeAutospacing="1" w:after="160" w:line="256" w:lineRule="auto"/>
              <w:ind w:hanging="283"/>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Los que se resuelvan, se procurará que se comiencen a señalar con normalidad, a partir del mes de setiembre de 2020.  </w:t>
            </w:r>
          </w:p>
          <w:p w:rsidR="009467EA" w:rsidRPr="006E19B8" w:rsidRDefault="009467EA" w:rsidP="009467EA">
            <w:pPr>
              <w:numPr>
                <w:ilvl w:val="0"/>
                <w:numId w:val="31"/>
              </w:numPr>
              <w:spacing w:before="100" w:beforeAutospacing="1" w:after="160" w:line="256" w:lineRule="auto"/>
              <w:ind w:left="1080"/>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Remates: </w:t>
            </w:r>
          </w:p>
          <w:p w:rsidR="009467EA" w:rsidRPr="006E19B8" w:rsidRDefault="009467EA" w:rsidP="009467EA">
            <w:pPr>
              <w:numPr>
                <w:ilvl w:val="0"/>
                <w:numId w:val="32"/>
              </w:numPr>
              <w:spacing w:before="100" w:beforeAutospacing="1" w:after="160" w:line="256" w:lineRule="auto"/>
              <w:ind w:left="1980" w:hanging="1543"/>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No se realizan los remates señalados. </w:t>
            </w:r>
          </w:p>
          <w:p w:rsidR="009467EA" w:rsidRPr="006E19B8" w:rsidRDefault="009467EA" w:rsidP="009467EA">
            <w:pPr>
              <w:numPr>
                <w:ilvl w:val="0"/>
                <w:numId w:val="33"/>
              </w:numPr>
              <w:spacing w:before="100" w:beforeAutospacing="1" w:after="160" w:line="256" w:lineRule="auto"/>
              <w:ind w:left="1080"/>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Giros: </w:t>
            </w:r>
          </w:p>
          <w:p w:rsidR="009467EA" w:rsidRPr="006E19B8" w:rsidRDefault="009467EA" w:rsidP="009467EA">
            <w:pPr>
              <w:numPr>
                <w:ilvl w:val="0"/>
                <w:numId w:val="34"/>
              </w:numPr>
              <w:spacing w:before="100" w:beforeAutospacing="1" w:after="160" w:line="256" w:lineRule="auto"/>
              <w:ind w:left="578" w:hanging="142"/>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Se continuarán efectuando los giros ordenados mediante resoluciones firmes, en los horarios establecidos para las licencias informáticas VPN o VDI (Máquina Virtual) en los casos en que se pueda realizar teletrabajo. </w:t>
            </w:r>
          </w:p>
          <w:p w:rsidR="009467EA" w:rsidRPr="006E19B8" w:rsidRDefault="009467EA" w:rsidP="009467EA">
            <w:pPr>
              <w:numPr>
                <w:ilvl w:val="0"/>
                <w:numId w:val="35"/>
              </w:numPr>
              <w:spacing w:before="100" w:beforeAutospacing="1" w:after="160" w:line="256" w:lineRule="auto"/>
              <w:ind w:left="1080" w:hanging="78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Anotaciones SREM: </w:t>
            </w:r>
          </w:p>
          <w:p w:rsidR="009467EA" w:rsidRPr="006E19B8" w:rsidRDefault="009467EA" w:rsidP="009467EA">
            <w:pPr>
              <w:numPr>
                <w:ilvl w:val="0"/>
                <w:numId w:val="36"/>
              </w:numPr>
              <w:spacing w:before="100" w:beforeAutospacing="1" w:after="160" w:line="256" w:lineRule="auto"/>
              <w:ind w:left="604" w:hanging="142"/>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Se continuarán efectuando en los horarios establecidos para el VPN o VDI (Máquina Virtual). </w:t>
            </w:r>
          </w:p>
          <w:p w:rsidR="009467EA" w:rsidRPr="006E19B8" w:rsidRDefault="009467EA" w:rsidP="009467EA">
            <w:pPr>
              <w:numPr>
                <w:ilvl w:val="0"/>
                <w:numId w:val="37"/>
              </w:numPr>
              <w:spacing w:before="100" w:beforeAutospacing="1" w:after="160" w:line="256" w:lineRule="auto"/>
              <w:ind w:left="1080" w:hanging="785"/>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Audiencias: </w:t>
            </w:r>
          </w:p>
          <w:p w:rsidR="009467EA" w:rsidRPr="006E19B8" w:rsidRDefault="009467EA" w:rsidP="009467EA">
            <w:pPr>
              <w:numPr>
                <w:ilvl w:val="0"/>
                <w:numId w:val="38"/>
              </w:numPr>
              <w:spacing w:before="100" w:beforeAutospacing="1" w:after="160" w:line="256" w:lineRule="auto"/>
              <w:ind w:left="1980" w:hanging="1543"/>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No se realizarán las señaladas. </w:t>
            </w:r>
          </w:p>
          <w:p w:rsidR="009467EA" w:rsidRPr="006E19B8" w:rsidRDefault="009467EA" w:rsidP="009467EA">
            <w:pPr>
              <w:numPr>
                <w:ilvl w:val="0"/>
                <w:numId w:val="39"/>
              </w:numPr>
              <w:spacing w:before="100" w:beforeAutospacing="1" w:after="160" w:line="256" w:lineRule="auto"/>
              <w:ind w:left="437" w:firstLine="0"/>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 En caso de considerarlo oportuno, se considere reprogramar según la agenda de cada oficina. No se recomienda que la realización de señalamientos sea antes de un mes y medio desde que se decrete la alerta roja. </w:t>
            </w:r>
          </w:p>
          <w:p w:rsidR="009467EA" w:rsidRPr="006E19B8" w:rsidRDefault="009467EA" w:rsidP="00FE551A">
            <w:pPr>
              <w:tabs>
                <w:tab w:val="left" w:pos="720"/>
              </w:tabs>
              <w:spacing w:before="100" w:beforeAutospacing="1" w:after="160" w:line="256" w:lineRule="auto"/>
              <w:ind w:left="578"/>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j. Prioridad para resolver según estructura en aquellos casos donde el personal pueda continuar laborando en la modalidad de teletrabajo, atenderá con prioridad: </w:t>
            </w:r>
          </w:p>
          <w:p w:rsidR="009467EA" w:rsidRPr="006E19B8" w:rsidRDefault="009467EA" w:rsidP="009467EA">
            <w:pPr>
              <w:spacing w:before="100" w:beforeAutospacing="1" w:after="160" w:line="256" w:lineRule="auto"/>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 </w:t>
            </w:r>
            <w:r w:rsidRPr="006E19B8">
              <w:rPr>
                <w:rFonts w:ascii="Tahoma" w:eastAsia="Times New Roman" w:hAnsi="Tahoma" w:cs="Tahoma"/>
                <w:sz w:val="24"/>
                <w:szCs w:val="24"/>
                <w:lang w:eastAsia="es-CR"/>
              </w:rPr>
              <w:tab/>
            </w:r>
          </w:p>
          <w:p w:rsidR="009467EA" w:rsidRPr="006E19B8" w:rsidRDefault="009467EA" w:rsidP="009467EA">
            <w:pPr>
              <w:spacing w:before="100" w:beforeAutospacing="1" w:after="160" w:line="256" w:lineRule="auto"/>
              <w:textAlignment w:val="baseline"/>
              <w:rPr>
                <w:rFonts w:ascii="Tahoma" w:eastAsia="Times New Roman" w:hAnsi="Tahoma" w:cs="Tahoma"/>
                <w:b/>
                <w:bCs/>
                <w:sz w:val="24"/>
                <w:szCs w:val="24"/>
                <w:lang w:eastAsia="es-CR"/>
              </w:rPr>
            </w:pPr>
            <w:r w:rsidRPr="006E19B8">
              <w:rPr>
                <w:rFonts w:ascii="Tahoma" w:eastAsia="Times New Roman" w:hAnsi="Tahoma" w:cs="Tahoma"/>
                <w:b/>
                <w:bCs/>
                <w:sz w:val="24"/>
                <w:szCs w:val="24"/>
                <w:lang w:eastAsia="es-CR"/>
              </w:rPr>
              <w:t xml:space="preserve">Juzgados especializados de </w:t>
            </w:r>
            <w:r w:rsidR="00B62882" w:rsidRPr="006E19B8">
              <w:rPr>
                <w:rFonts w:ascii="Tahoma" w:eastAsia="Times New Roman" w:hAnsi="Tahoma" w:cs="Tahoma"/>
                <w:b/>
                <w:bCs/>
                <w:sz w:val="24"/>
                <w:szCs w:val="24"/>
                <w:lang w:eastAsia="es-CR"/>
              </w:rPr>
              <w:t>cobro</w:t>
            </w:r>
            <w:r w:rsidRPr="006E19B8">
              <w:rPr>
                <w:rFonts w:ascii="Tahoma" w:eastAsia="Times New Roman" w:hAnsi="Tahoma" w:cs="Tahoma"/>
                <w:b/>
                <w:bCs/>
                <w:sz w:val="24"/>
                <w:szCs w:val="24"/>
                <w:lang w:eastAsia="es-CR"/>
              </w:rPr>
              <w:t xml:space="preserve">: </w:t>
            </w:r>
          </w:p>
          <w:p w:rsidR="009467EA" w:rsidRPr="006E19B8" w:rsidRDefault="009467EA" w:rsidP="009467EA">
            <w:pPr>
              <w:spacing w:before="100" w:beforeAutospacing="1" w:after="160" w:line="256" w:lineRule="auto"/>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 Deberá atender con prioridad, en lo posible, medidas </w:t>
            </w:r>
            <w:r w:rsidR="00890955" w:rsidRPr="006E19B8">
              <w:rPr>
                <w:rFonts w:ascii="Tahoma" w:eastAsia="Times New Roman" w:hAnsi="Tahoma" w:cs="Tahoma"/>
                <w:sz w:val="24"/>
                <w:szCs w:val="24"/>
                <w:lang w:eastAsia="es-CR"/>
              </w:rPr>
              <w:t>cautelares, pruebas</w:t>
            </w:r>
            <w:r w:rsidRPr="006E19B8">
              <w:rPr>
                <w:rFonts w:ascii="Tahoma" w:eastAsia="Times New Roman" w:hAnsi="Tahoma" w:cs="Tahoma"/>
                <w:sz w:val="24"/>
                <w:szCs w:val="24"/>
                <w:lang w:eastAsia="es-CR"/>
              </w:rPr>
              <w:t xml:space="preserve"> </w:t>
            </w:r>
            <w:r w:rsidR="009F7F97" w:rsidRPr="006E19B8">
              <w:rPr>
                <w:rFonts w:ascii="Tahoma" w:eastAsia="Times New Roman" w:hAnsi="Tahoma" w:cs="Tahoma"/>
                <w:sz w:val="24"/>
                <w:szCs w:val="24"/>
                <w:lang w:eastAsia="es-CR"/>
              </w:rPr>
              <w:t>anticipadas, solicitudes</w:t>
            </w:r>
            <w:r w:rsidRPr="006E19B8">
              <w:rPr>
                <w:rFonts w:ascii="Tahoma" w:eastAsia="Times New Roman" w:hAnsi="Tahoma" w:cs="Tahoma"/>
                <w:sz w:val="24"/>
                <w:szCs w:val="24"/>
                <w:lang w:eastAsia="es-CR"/>
              </w:rPr>
              <w:t xml:space="preserve"> de terminación del proceso, levantamiento de embargo de cuentas bancarias y salario, </w:t>
            </w:r>
            <w:r w:rsidR="00F47C37" w:rsidRPr="006E19B8">
              <w:rPr>
                <w:rFonts w:ascii="Tahoma" w:eastAsia="Times New Roman" w:hAnsi="Tahoma" w:cs="Tahoma"/>
                <w:sz w:val="24"/>
                <w:szCs w:val="24"/>
                <w:lang w:eastAsia="es-CR"/>
              </w:rPr>
              <w:t xml:space="preserve">así como </w:t>
            </w:r>
            <w:r w:rsidRPr="006E19B8">
              <w:rPr>
                <w:rFonts w:ascii="Tahoma" w:eastAsia="Times New Roman" w:hAnsi="Tahoma" w:cs="Tahoma"/>
                <w:sz w:val="24"/>
                <w:szCs w:val="24"/>
                <w:lang w:eastAsia="es-CR"/>
              </w:rPr>
              <w:t>solicitudes de giro, solicitudes de embargo o anotación de demanda</w:t>
            </w:r>
            <w:r w:rsidR="00FE551A" w:rsidRPr="006E19B8">
              <w:rPr>
                <w:rFonts w:ascii="Tahoma" w:eastAsia="Times New Roman" w:hAnsi="Tahoma" w:cs="Tahoma"/>
                <w:sz w:val="24"/>
                <w:szCs w:val="24"/>
                <w:lang w:eastAsia="es-CR"/>
              </w:rPr>
              <w:t xml:space="preserve"> y</w:t>
            </w:r>
            <w:r w:rsidRPr="006E19B8">
              <w:rPr>
                <w:rFonts w:ascii="Tahoma" w:eastAsia="Times New Roman" w:hAnsi="Tahoma" w:cs="Tahoma"/>
                <w:sz w:val="24"/>
                <w:szCs w:val="24"/>
                <w:lang w:eastAsia="es-CR"/>
              </w:rPr>
              <w:t xml:space="preserve"> aprobación de remates.</w:t>
            </w:r>
          </w:p>
          <w:p w:rsidR="009467EA" w:rsidRPr="006E19B8" w:rsidRDefault="009467EA" w:rsidP="009467EA">
            <w:pPr>
              <w:spacing w:before="100" w:beforeAutospacing="1" w:after="160" w:line="256" w:lineRule="auto"/>
              <w:jc w:val="both"/>
              <w:textAlignment w:val="baseline"/>
              <w:rPr>
                <w:rFonts w:ascii="Tahoma" w:eastAsia="Times New Roman" w:hAnsi="Tahoma" w:cs="Tahoma"/>
                <w:b/>
                <w:bCs/>
                <w:sz w:val="24"/>
                <w:szCs w:val="24"/>
                <w:lang w:eastAsia="es-CR"/>
              </w:rPr>
            </w:pPr>
            <w:r w:rsidRPr="006E19B8">
              <w:rPr>
                <w:rFonts w:ascii="Tahoma" w:eastAsia="Times New Roman" w:hAnsi="Tahoma" w:cs="Tahoma"/>
                <w:b/>
                <w:bCs/>
                <w:sz w:val="24"/>
                <w:szCs w:val="24"/>
                <w:lang w:eastAsia="es-CR"/>
              </w:rPr>
              <w:t xml:space="preserve">Juzgado Concursal: </w:t>
            </w:r>
          </w:p>
          <w:p w:rsidR="009467EA" w:rsidRPr="006E19B8" w:rsidRDefault="009467EA" w:rsidP="009467EA">
            <w:pPr>
              <w:spacing w:before="100" w:beforeAutospacing="1" w:after="160" w:line="256" w:lineRule="auto"/>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 Deberá atender con prioridad en lo posible, las solicitudes de medidas cautelares y pruebas anticipadas cuya urgencia lo amerite, modificación o cancelación de efectos concursales, trámite inicial de procesos preventivos y liquidatorios con el fin de determinar si puede producirse efectos procesales y sustantivos con la eventual admisión del concurso, nombramientos de curadores e interventores y sus destituciones, publicación de edictos de apertura de los procesos.</w:t>
            </w:r>
          </w:p>
          <w:p w:rsidR="009467EA" w:rsidRPr="006E19B8" w:rsidRDefault="009467EA" w:rsidP="009467EA">
            <w:pPr>
              <w:spacing w:before="100" w:beforeAutospacing="1" w:after="160" w:line="256" w:lineRule="auto"/>
              <w:jc w:val="both"/>
              <w:textAlignment w:val="baseline"/>
              <w:rPr>
                <w:rFonts w:ascii="Tahoma" w:eastAsia="Times New Roman" w:hAnsi="Tahoma" w:cs="Tahoma"/>
                <w:sz w:val="24"/>
                <w:szCs w:val="24"/>
                <w:lang w:eastAsia="es-CR"/>
              </w:rPr>
            </w:pPr>
            <w:r w:rsidRPr="006E19B8">
              <w:rPr>
                <w:rFonts w:ascii="Tahoma" w:eastAsia="Times New Roman" w:hAnsi="Tahoma" w:cs="Tahoma"/>
                <w:sz w:val="24"/>
                <w:szCs w:val="24"/>
                <w:lang w:eastAsia="es-CR"/>
              </w:rPr>
              <w:t xml:space="preserve"> </w:t>
            </w:r>
            <w:r w:rsidRPr="006E19B8">
              <w:rPr>
                <w:rFonts w:ascii="Tahoma" w:eastAsia="Times New Roman" w:hAnsi="Tahoma" w:cs="Tahoma"/>
                <w:b/>
                <w:bCs/>
                <w:sz w:val="24"/>
                <w:szCs w:val="24"/>
                <w:lang w:eastAsia="es-CR"/>
              </w:rPr>
              <w:t>Juzgados Civiles y Tribunales Colegidos de I Instancia:</w:t>
            </w:r>
            <w:r w:rsidRPr="006E19B8">
              <w:rPr>
                <w:rFonts w:ascii="Tahoma" w:eastAsia="Times New Roman" w:hAnsi="Tahoma" w:cs="Tahoma"/>
                <w:sz w:val="24"/>
                <w:szCs w:val="24"/>
                <w:lang w:eastAsia="es-CR"/>
              </w:rPr>
              <w:t xml:space="preserve"> </w:t>
            </w:r>
          </w:p>
          <w:p w:rsidR="009467EA" w:rsidRPr="006E19B8" w:rsidRDefault="009467EA" w:rsidP="009467EA">
            <w:pPr>
              <w:autoSpaceDE w:val="0"/>
              <w:autoSpaceDN w:val="0"/>
              <w:adjustRightInd w:val="0"/>
              <w:spacing w:before="100" w:after="100" w:line="256" w:lineRule="auto"/>
              <w:jc w:val="both"/>
              <w:rPr>
                <w:rFonts w:ascii="Tahoma" w:eastAsia="Times New Roman" w:hAnsi="Tahoma" w:cs="Tahoma"/>
                <w:color w:val="000000"/>
                <w:sz w:val="24"/>
                <w:szCs w:val="24"/>
                <w:lang w:eastAsia="es-CR"/>
              </w:rPr>
            </w:pPr>
            <w:r w:rsidRPr="006E19B8">
              <w:rPr>
                <w:rFonts w:ascii="Tahoma" w:eastAsia="Times New Roman" w:hAnsi="Tahoma" w:cs="Tahoma"/>
                <w:color w:val="000000"/>
                <w:sz w:val="24"/>
                <w:szCs w:val="24"/>
                <w:lang w:eastAsia="es-CR"/>
              </w:rPr>
              <w:t>Deberá  atender, en lo posible, las medidas cautelares o de prevención de asuntos que pongan en riesgo la seguridad de las personas o  derechos fundamentales, sumarios de peligro (suspensión de obra y derribo), procesos donde se lesionen los derechos  no patrimoniales (honor, datos personales) así como modificaciones o levantamientos, en asuntos patrimoniales en caso en los cuales se pueden causar daños de difícil o imposible reparación: medidas cautelares y aseguramiento de bienes en sucesiones, se procurará atender con prioridad, las solicitudes de terminación del proceso, levantamiento de embargo de cuentas bancarias y salario, solicitudes de giro, solicitudes de embargo o anotación de demanda.</w:t>
            </w:r>
          </w:p>
          <w:p w:rsidR="009467EA" w:rsidRPr="006E19B8" w:rsidRDefault="009467EA" w:rsidP="009467EA">
            <w:pPr>
              <w:autoSpaceDE w:val="0"/>
              <w:autoSpaceDN w:val="0"/>
              <w:adjustRightInd w:val="0"/>
              <w:spacing w:before="100" w:after="100" w:line="256" w:lineRule="auto"/>
              <w:jc w:val="both"/>
              <w:rPr>
                <w:rFonts w:ascii="Tahoma" w:eastAsia="Times New Roman" w:hAnsi="Tahoma" w:cs="Tahoma"/>
                <w:b/>
                <w:bCs/>
                <w:color w:val="000000"/>
                <w:sz w:val="24"/>
                <w:szCs w:val="24"/>
                <w:lang w:eastAsia="es-CR"/>
              </w:rPr>
            </w:pPr>
            <w:r w:rsidRPr="006E19B8">
              <w:rPr>
                <w:rFonts w:ascii="Tahoma" w:eastAsia="Times New Roman" w:hAnsi="Tahoma" w:cs="Tahoma"/>
                <w:b/>
                <w:bCs/>
                <w:color w:val="000000"/>
                <w:sz w:val="24"/>
                <w:szCs w:val="24"/>
                <w:lang w:eastAsia="es-CR"/>
              </w:rPr>
              <w:t xml:space="preserve">Tribunales de Apelación: </w:t>
            </w:r>
          </w:p>
          <w:p w:rsidR="009467EA" w:rsidRDefault="009467EA" w:rsidP="009467EA">
            <w:pPr>
              <w:spacing w:before="100" w:beforeAutospacing="1" w:after="160" w:line="256" w:lineRule="auto"/>
              <w:jc w:val="both"/>
              <w:rPr>
                <w:rFonts w:ascii="Tahoma" w:eastAsia="Times New Roman" w:hAnsi="Tahoma" w:cs="Tahoma"/>
                <w:color w:val="000000"/>
                <w:sz w:val="24"/>
                <w:szCs w:val="24"/>
                <w:lang w:eastAsia="es-CR"/>
              </w:rPr>
            </w:pPr>
            <w:r w:rsidRPr="006E19B8">
              <w:rPr>
                <w:rFonts w:ascii="Tahoma" w:eastAsia="Times New Roman" w:hAnsi="Tahoma" w:cs="Tahoma"/>
                <w:color w:val="000000"/>
                <w:sz w:val="24"/>
                <w:szCs w:val="24"/>
                <w:lang w:eastAsia="es-CR"/>
              </w:rPr>
              <w:t>Las medidas cautelares y aseguramiento de bienes tendrán prioridad. En otros tipos de procesos, resolución de terminación del proceso, aprobación de remates, levantamiento de embargo de cuentas bancarias y salario.</w:t>
            </w:r>
          </w:p>
          <w:p w:rsidR="003D615A" w:rsidRPr="003D615A" w:rsidRDefault="003D615A" w:rsidP="003D615A">
            <w:pPr>
              <w:jc w:val="both"/>
              <w:rPr>
                <w:rFonts w:ascii="Tahoma" w:eastAsia="Times New Roman" w:hAnsi="Tahoma" w:cs="Tahoma"/>
                <w:sz w:val="24"/>
                <w:szCs w:val="24"/>
                <w:lang w:eastAsia="es-CR"/>
              </w:rPr>
            </w:pPr>
            <w:r w:rsidRPr="008F3A6E">
              <w:rPr>
                <w:rFonts w:ascii="Tahoma" w:eastAsia="Times New Roman" w:hAnsi="Tahoma" w:cs="Tahoma"/>
                <w:sz w:val="24"/>
                <w:szCs w:val="24"/>
                <w:lang w:eastAsia="es-CR"/>
              </w:rPr>
              <w:t xml:space="preserve">Las acciones </w:t>
            </w:r>
            <w:r>
              <w:rPr>
                <w:rFonts w:ascii="Tahoma" w:eastAsia="Times New Roman" w:hAnsi="Tahoma" w:cs="Tahoma"/>
                <w:sz w:val="24"/>
                <w:szCs w:val="24"/>
                <w:lang w:eastAsia="es-CR"/>
              </w:rPr>
              <w:t>aprobadas</w:t>
            </w:r>
            <w:r w:rsidRPr="008F3A6E">
              <w:rPr>
                <w:rFonts w:ascii="Tahoma" w:eastAsia="Times New Roman" w:hAnsi="Tahoma" w:cs="Tahoma"/>
                <w:sz w:val="24"/>
                <w:szCs w:val="24"/>
                <w:lang w:eastAsia="es-CR"/>
              </w:rPr>
              <w:t xml:space="preserve"> por la Jurisdicci</w:t>
            </w:r>
            <w:r>
              <w:rPr>
                <w:rFonts w:ascii="Tahoma" w:eastAsia="Times New Roman" w:hAnsi="Tahoma" w:cs="Tahoma"/>
                <w:sz w:val="24"/>
                <w:szCs w:val="24"/>
                <w:lang w:eastAsia="es-CR"/>
              </w:rPr>
              <w:t>ón</w:t>
            </w:r>
            <w:r w:rsidRPr="008F3A6E">
              <w:rPr>
                <w:rFonts w:ascii="Tahoma" w:eastAsia="Times New Roman" w:hAnsi="Tahoma" w:cs="Tahoma"/>
                <w:sz w:val="24"/>
                <w:szCs w:val="24"/>
                <w:lang w:eastAsia="es-CR"/>
              </w:rPr>
              <w:t xml:space="preserve"> en </w:t>
            </w:r>
            <w:r>
              <w:rPr>
                <w:rFonts w:ascii="Tahoma" w:eastAsia="Times New Roman" w:hAnsi="Tahoma" w:cs="Tahoma"/>
                <w:sz w:val="24"/>
                <w:szCs w:val="24"/>
                <w:lang w:eastAsia="es-CR"/>
              </w:rPr>
              <w:t>esta alerta</w:t>
            </w:r>
            <w:r w:rsidRPr="008F3A6E">
              <w:rPr>
                <w:rFonts w:ascii="Tahoma" w:eastAsia="Times New Roman" w:hAnsi="Tahoma" w:cs="Tahoma"/>
                <w:sz w:val="24"/>
                <w:szCs w:val="24"/>
                <w:lang w:eastAsia="es-CR"/>
              </w:rPr>
              <w:t xml:space="preserve"> quedan sujetas a cambios posteriores conforme a las medidas que eventualmente dispongan los Órganos Superiores.  </w:t>
            </w:r>
          </w:p>
          <w:p w:rsidR="009467EA" w:rsidRPr="006E19B8" w:rsidRDefault="009467EA" w:rsidP="009467EA">
            <w:pPr>
              <w:jc w:val="both"/>
              <w:rPr>
                <w:rFonts w:ascii="Tahoma" w:hAnsi="Tahoma" w:cs="Tahoma"/>
                <w:sz w:val="24"/>
                <w:szCs w:val="24"/>
              </w:rPr>
            </w:pPr>
          </w:p>
        </w:tc>
      </w:tr>
    </w:tbl>
    <w:p w:rsidR="002B7D86" w:rsidRPr="006E19B8" w:rsidRDefault="002B7D86" w:rsidP="00CD3574">
      <w:pPr>
        <w:autoSpaceDE w:val="0"/>
        <w:autoSpaceDN w:val="0"/>
        <w:adjustRightInd w:val="0"/>
        <w:spacing w:after="0" w:line="240" w:lineRule="auto"/>
        <w:jc w:val="both"/>
        <w:rPr>
          <w:rFonts w:ascii="Tahoma" w:eastAsia="Times New Roman" w:hAnsi="Tahoma" w:cs="Tahoma"/>
          <w:color w:val="000000"/>
          <w:sz w:val="24"/>
          <w:szCs w:val="24"/>
          <w:lang w:eastAsia="es-CR"/>
        </w:rPr>
      </w:pPr>
    </w:p>
    <w:p w:rsidR="002B7D86" w:rsidRPr="006E19B8" w:rsidRDefault="002B7D86" w:rsidP="00CD3574">
      <w:pPr>
        <w:autoSpaceDE w:val="0"/>
        <w:autoSpaceDN w:val="0"/>
        <w:adjustRightInd w:val="0"/>
        <w:spacing w:after="0" w:line="240" w:lineRule="auto"/>
        <w:jc w:val="both"/>
        <w:rPr>
          <w:rFonts w:ascii="Tahoma" w:eastAsia="Times New Roman" w:hAnsi="Tahoma" w:cs="Tahoma"/>
          <w:color w:val="000000"/>
          <w:sz w:val="24"/>
          <w:szCs w:val="24"/>
          <w:lang w:eastAsia="es-CR"/>
        </w:rPr>
      </w:pPr>
    </w:p>
    <w:p w:rsidR="002B7D86" w:rsidRPr="006E19B8" w:rsidRDefault="002B7D86" w:rsidP="00CD3574">
      <w:pPr>
        <w:autoSpaceDE w:val="0"/>
        <w:autoSpaceDN w:val="0"/>
        <w:adjustRightInd w:val="0"/>
        <w:spacing w:after="0" w:line="240" w:lineRule="auto"/>
        <w:jc w:val="both"/>
        <w:rPr>
          <w:rFonts w:ascii="Tahoma" w:eastAsia="Times New Roman" w:hAnsi="Tahoma" w:cs="Tahoma"/>
          <w:color w:val="000000"/>
          <w:sz w:val="24"/>
          <w:szCs w:val="24"/>
          <w:lang w:eastAsia="es-CR"/>
        </w:rPr>
      </w:pPr>
    </w:p>
    <w:sectPr w:rsidR="002B7D86" w:rsidRPr="006E19B8" w:rsidSect="00897762">
      <w:footerReference w:type="default" r:id="rId77"/>
      <w:pgSz w:w="12240" w:h="15840"/>
      <w:pgMar w:top="1418" w:right="1701" w:bottom="1418" w:left="1701"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96BF7" w:rsidRDefault="00B96BF7" w:rsidP="0078241B">
      <w:pPr>
        <w:spacing w:after="0" w:line="240" w:lineRule="auto"/>
      </w:pPr>
      <w:r>
        <w:separator/>
      </w:r>
    </w:p>
  </w:endnote>
  <w:endnote w:type="continuationSeparator" w:id="0">
    <w:p w:rsidR="00B96BF7" w:rsidRDefault="00B96BF7" w:rsidP="0078241B">
      <w:pPr>
        <w:spacing w:after="0" w:line="240" w:lineRule="auto"/>
      </w:pPr>
      <w:r>
        <w:continuationSeparator/>
      </w:r>
    </w:p>
  </w:endnote>
  <w:endnote w:type="continuationNotice" w:id="1">
    <w:p w:rsidR="00B96BF7" w:rsidRDefault="00B96B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en-US"/>
      </w:rPr>
      <w:id w:val="-2046739257"/>
      <w:docPartObj>
        <w:docPartGallery w:val="Page Numbers (Bottom of Page)"/>
        <w:docPartUnique/>
      </w:docPartObj>
    </w:sdtPr>
    <w:sdtEndPr/>
    <w:sdtContent>
      <w:p w:rsidR="00194353" w:rsidRPr="003B0DD6" w:rsidRDefault="00304664" w:rsidP="003B0DD6">
        <w:pPr>
          <w:jc w:val="center"/>
          <w:rPr>
            <w:lang w:val="en-US"/>
          </w:rPr>
        </w:pPr>
        <w:r w:rsidRPr="00304664">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63C09171" wp14:editId="24FB1591">
                  <wp:simplePos x="0" y="0"/>
                  <wp:positionH relativeFrom="margin">
                    <wp:align>center</wp:align>
                  </wp:positionH>
                  <wp:positionV relativeFrom="bottomMargin">
                    <wp:align>center</wp:align>
                  </wp:positionV>
                  <wp:extent cx="1282700" cy="343535"/>
                  <wp:effectExtent l="28575" t="19050" r="22225" b="8890"/>
                  <wp:wrapNone/>
                  <wp:docPr id="1" name="Cinta: curvada e inclinada hacia abaj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304664" w:rsidRDefault="00304664">
                              <w:pPr>
                                <w:jc w:val="center"/>
                                <w:rPr>
                                  <w:color w:val="4F81BD" w:themeColor="accent1"/>
                                </w:rPr>
                              </w:pPr>
                              <w:r>
                                <w:fldChar w:fldCharType="begin"/>
                              </w:r>
                              <w:r>
                                <w:instrText>PAGE    \* MERGEFORMAT</w:instrText>
                              </w:r>
                              <w:r>
                                <w:fldChar w:fldCharType="separate"/>
                              </w:r>
                              <w:r>
                                <w:rPr>
                                  <w:color w:val="4F81BD" w:themeColor="accent1"/>
                                  <w:lang w:val="es-ES"/>
                                </w:rPr>
                                <w:t>2</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09171"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1" o:spid="_x0000_s1026" type="#_x0000_t107" style="position:absolute;left:0;text-align:left;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" filled="f" fillcolor="#17365d" strokecolor="#71a0dc">
                  <v:textbox>
                    <w:txbxContent>
                      <w:p w:rsidR="00304664" w:rsidRDefault="00304664">
                        <w:pPr>
                          <w:jc w:val="center"/>
                          <w:rPr>
                            <w:color w:val="4F81BD" w:themeColor="accent1"/>
                          </w:rPr>
                        </w:pPr>
                        <w:r>
                          <w:fldChar w:fldCharType="begin"/>
                        </w:r>
                        <w:r>
                          <w:instrText>PAGE    \* MERGEFORMAT</w:instrText>
                        </w:r>
                        <w:r>
                          <w:fldChar w:fldCharType="separate"/>
                        </w:r>
                        <w:r>
                          <w:rPr>
                            <w:color w:val="4F81BD" w:themeColor="accent1"/>
                            <w:lang w:val="es-ES"/>
                          </w:rPr>
                          <w:t>2</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96BF7" w:rsidRDefault="00B96BF7" w:rsidP="0078241B">
      <w:pPr>
        <w:spacing w:after="0" w:line="240" w:lineRule="auto"/>
      </w:pPr>
      <w:r>
        <w:separator/>
      </w:r>
    </w:p>
  </w:footnote>
  <w:footnote w:type="continuationSeparator" w:id="0">
    <w:p w:rsidR="00B96BF7" w:rsidRDefault="00B96BF7" w:rsidP="0078241B">
      <w:pPr>
        <w:spacing w:after="0" w:line="240" w:lineRule="auto"/>
      </w:pPr>
      <w:r>
        <w:continuationSeparator/>
      </w:r>
    </w:p>
  </w:footnote>
  <w:footnote w:type="continuationNotice" w:id="1">
    <w:p w:rsidR="00B96BF7" w:rsidRDefault="00B96B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7259F"/>
    <w:multiLevelType w:val="multilevel"/>
    <w:tmpl w:val="0067259F"/>
    <w:lvl w:ilvl="0">
      <w:start w:val="1"/>
      <w:numFmt w:val="lowerRoman"/>
      <w:lvlText w:val="%1."/>
      <w:lvlJc w:val="right"/>
      <w:pPr>
        <w:tabs>
          <w:tab w:val="left" w:pos="720"/>
        </w:tabs>
        <w:ind w:left="720" w:hanging="360"/>
      </w:pPr>
      <w:rPr>
        <w:rFonts w:ascii="Times New Roman" w:hAnsi="Times New Roman" w:cs="Times New Roman" w:hint="default"/>
      </w:rPr>
    </w:lvl>
    <w:lvl w:ilvl="1">
      <w:start w:val="1"/>
      <w:numFmt w:val="lowerRoman"/>
      <w:lvlText w:val="%2."/>
      <w:lvlJc w:val="righ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360"/>
      </w:pPr>
      <w:rPr>
        <w:rFonts w:ascii="Times New Roman" w:hAnsi="Times New Roman" w:cs="Times New Roman" w:hint="default"/>
      </w:rPr>
    </w:lvl>
    <w:lvl w:ilvl="3">
      <w:start w:val="1"/>
      <w:numFmt w:val="lowerRoman"/>
      <w:lvlText w:val="%4."/>
      <w:lvlJc w:val="right"/>
      <w:pPr>
        <w:tabs>
          <w:tab w:val="left" w:pos="2880"/>
        </w:tabs>
        <w:ind w:left="2880" w:hanging="360"/>
      </w:pPr>
      <w:rPr>
        <w:rFonts w:ascii="Times New Roman" w:hAnsi="Times New Roman" w:cs="Times New Roman" w:hint="default"/>
      </w:rPr>
    </w:lvl>
    <w:lvl w:ilvl="4">
      <w:start w:val="1"/>
      <w:numFmt w:val="lowerRoman"/>
      <w:lvlText w:val="%5."/>
      <w:lvlJc w:val="righ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360"/>
      </w:pPr>
      <w:rPr>
        <w:rFonts w:ascii="Times New Roman" w:hAnsi="Times New Roman" w:cs="Times New Roman" w:hint="default"/>
      </w:rPr>
    </w:lvl>
    <w:lvl w:ilvl="6">
      <w:start w:val="1"/>
      <w:numFmt w:val="lowerRoman"/>
      <w:lvlText w:val="%7."/>
      <w:lvlJc w:val="right"/>
      <w:pPr>
        <w:tabs>
          <w:tab w:val="left" w:pos="5040"/>
        </w:tabs>
        <w:ind w:left="5040" w:hanging="360"/>
      </w:pPr>
      <w:rPr>
        <w:rFonts w:ascii="Times New Roman" w:hAnsi="Times New Roman" w:cs="Times New Roman" w:hint="default"/>
      </w:rPr>
    </w:lvl>
    <w:lvl w:ilvl="7">
      <w:start w:val="1"/>
      <w:numFmt w:val="lowerRoman"/>
      <w:lvlText w:val="%8."/>
      <w:lvlJc w:val="righ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360"/>
      </w:pPr>
      <w:rPr>
        <w:rFonts w:ascii="Times New Roman" w:hAnsi="Times New Roman" w:cs="Times New Roman" w:hint="default"/>
      </w:rPr>
    </w:lvl>
  </w:abstractNum>
  <w:abstractNum w:abstractNumId="1" w15:restartNumberingAfterBreak="0">
    <w:nsid w:val="075B613A"/>
    <w:multiLevelType w:val="multilevel"/>
    <w:tmpl w:val="075B613A"/>
    <w:lvl w:ilvl="0">
      <w:start w:val="3"/>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2" w15:restartNumberingAfterBreak="0">
    <w:nsid w:val="08E566E9"/>
    <w:multiLevelType w:val="multilevel"/>
    <w:tmpl w:val="08E566E9"/>
    <w:lvl w:ilvl="0">
      <w:start w:val="2"/>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3" w15:restartNumberingAfterBreak="0">
    <w:nsid w:val="19C95DE3"/>
    <w:multiLevelType w:val="multilevel"/>
    <w:tmpl w:val="2A080408"/>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C841946"/>
    <w:multiLevelType w:val="hybridMultilevel"/>
    <w:tmpl w:val="6EE23BEA"/>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5" w15:restartNumberingAfterBreak="0">
    <w:nsid w:val="1EA31824"/>
    <w:multiLevelType w:val="multilevel"/>
    <w:tmpl w:val="1EA31824"/>
    <w:lvl w:ilvl="0">
      <w:start w:val="1"/>
      <w:numFmt w:val="lowerRoman"/>
      <w:lvlText w:val="%1."/>
      <w:lvlJc w:val="right"/>
      <w:pPr>
        <w:tabs>
          <w:tab w:val="left" w:pos="720"/>
        </w:tabs>
        <w:ind w:left="720" w:hanging="360"/>
      </w:pPr>
      <w:rPr>
        <w:rFonts w:ascii="Times New Roman" w:hAnsi="Times New Roman" w:cs="Times New Roman" w:hint="default"/>
      </w:rPr>
    </w:lvl>
    <w:lvl w:ilvl="1">
      <w:start w:val="1"/>
      <w:numFmt w:val="lowerRoman"/>
      <w:lvlText w:val="%2."/>
      <w:lvlJc w:val="righ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360"/>
      </w:pPr>
      <w:rPr>
        <w:rFonts w:ascii="Times New Roman" w:hAnsi="Times New Roman" w:cs="Times New Roman" w:hint="default"/>
      </w:rPr>
    </w:lvl>
    <w:lvl w:ilvl="3">
      <w:start w:val="1"/>
      <w:numFmt w:val="lowerRoman"/>
      <w:lvlText w:val="%4."/>
      <w:lvlJc w:val="right"/>
      <w:pPr>
        <w:tabs>
          <w:tab w:val="left" w:pos="2880"/>
        </w:tabs>
        <w:ind w:left="2880" w:hanging="360"/>
      </w:pPr>
      <w:rPr>
        <w:rFonts w:ascii="Times New Roman" w:hAnsi="Times New Roman" w:cs="Times New Roman" w:hint="default"/>
      </w:rPr>
    </w:lvl>
    <w:lvl w:ilvl="4">
      <w:start w:val="1"/>
      <w:numFmt w:val="lowerRoman"/>
      <w:lvlText w:val="%5."/>
      <w:lvlJc w:val="righ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360"/>
      </w:pPr>
      <w:rPr>
        <w:rFonts w:ascii="Times New Roman" w:hAnsi="Times New Roman" w:cs="Times New Roman" w:hint="default"/>
      </w:rPr>
    </w:lvl>
    <w:lvl w:ilvl="6">
      <w:start w:val="1"/>
      <w:numFmt w:val="lowerRoman"/>
      <w:lvlText w:val="%7."/>
      <w:lvlJc w:val="right"/>
      <w:pPr>
        <w:tabs>
          <w:tab w:val="left" w:pos="5040"/>
        </w:tabs>
        <w:ind w:left="5040" w:hanging="360"/>
      </w:pPr>
      <w:rPr>
        <w:rFonts w:ascii="Times New Roman" w:hAnsi="Times New Roman" w:cs="Times New Roman" w:hint="default"/>
      </w:rPr>
    </w:lvl>
    <w:lvl w:ilvl="7">
      <w:start w:val="1"/>
      <w:numFmt w:val="lowerRoman"/>
      <w:lvlText w:val="%8."/>
      <w:lvlJc w:val="righ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360"/>
      </w:pPr>
      <w:rPr>
        <w:rFonts w:ascii="Times New Roman" w:hAnsi="Times New Roman" w:cs="Times New Roman" w:hint="default"/>
      </w:rPr>
    </w:lvl>
  </w:abstractNum>
  <w:abstractNum w:abstractNumId="6" w15:restartNumberingAfterBreak="0">
    <w:nsid w:val="20D71E69"/>
    <w:multiLevelType w:val="multilevel"/>
    <w:tmpl w:val="20D71E69"/>
    <w:lvl w:ilvl="0">
      <w:start w:val="1"/>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7" w15:restartNumberingAfterBreak="0">
    <w:nsid w:val="235769D1"/>
    <w:multiLevelType w:val="multilevel"/>
    <w:tmpl w:val="BB400200"/>
    <w:lvl w:ilvl="0">
      <w:start w:val="1"/>
      <w:numFmt w:val="upperRoman"/>
      <w:lvlText w:val="%1."/>
      <w:lvlJc w:val="right"/>
      <w:pPr>
        <w:ind w:left="502" w:hanging="360"/>
      </w:pPr>
      <w:rPr>
        <w:b/>
      </w:rPr>
    </w:lvl>
    <w:lvl w:ilvl="1">
      <w:start w:val="1"/>
      <w:numFmt w:val="decimal"/>
      <w:isLgl/>
      <w:lvlText w:val="%1.%2"/>
      <w:lvlJc w:val="left"/>
      <w:pPr>
        <w:ind w:left="1637" w:hanging="360"/>
      </w:pPr>
      <w:rPr>
        <w:rFonts w:hint="default"/>
        <w:b w:val="0"/>
        <w:bCs/>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8" w15:restartNumberingAfterBreak="0">
    <w:nsid w:val="28503B65"/>
    <w:multiLevelType w:val="hybridMultilevel"/>
    <w:tmpl w:val="811C919C"/>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9" w15:restartNumberingAfterBreak="0">
    <w:nsid w:val="29641AB1"/>
    <w:multiLevelType w:val="multilevel"/>
    <w:tmpl w:val="29641AB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0" w15:restartNumberingAfterBreak="0">
    <w:nsid w:val="2B300351"/>
    <w:multiLevelType w:val="multilevel"/>
    <w:tmpl w:val="2B300351"/>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1" w15:restartNumberingAfterBreak="0">
    <w:nsid w:val="2B407E17"/>
    <w:multiLevelType w:val="hybridMultilevel"/>
    <w:tmpl w:val="05667E02"/>
    <w:lvl w:ilvl="0" w:tplc="F6E0704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D0E23F2"/>
    <w:multiLevelType w:val="hybridMultilevel"/>
    <w:tmpl w:val="039CF634"/>
    <w:lvl w:ilvl="0" w:tplc="140A0001">
      <w:start w:val="1"/>
      <w:numFmt w:val="bullet"/>
      <w:lvlText w:val=""/>
      <w:lvlJc w:val="left"/>
      <w:pPr>
        <w:ind w:left="1440" w:hanging="360"/>
      </w:pPr>
      <w:rPr>
        <w:rFonts w:ascii="Symbol" w:hAnsi="Symbol" w:cs="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cs="Wingdings" w:hint="default"/>
      </w:rPr>
    </w:lvl>
    <w:lvl w:ilvl="3" w:tplc="140A0001" w:tentative="1">
      <w:start w:val="1"/>
      <w:numFmt w:val="bullet"/>
      <w:lvlText w:val=""/>
      <w:lvlJc w:val="left"/>
      <w:pPr>
        <w:ind w:left="3600" w:hanging="360"/>
      </w:pPr>
      <w:rPr>
        <w:rFonts w:ascii="Symbol" w:hAnsi="Symbol" w:cs="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cs="Wingdings" w:hint="default"/>
      </w:rPr>
    </w:lvl>
    <w:lvl w:ilvl="6" w:tplc="140A0001" w:tentative="1">
      <w:start w:val="1"/>
      <w:numFmt w:val="bullet"/>
      <w:lvlText w:val=""/>
      <w:lvlJc w:val="left"/>
      <w:pPr>
        <w:ind w:left="5760" w:hanging="360"/>
      </w:pPr>
      <w:rPr>
        <w:rFonts w:ascii="Symbol" w:hAnsi="Symbol" w:cs="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cs="Wingdings" w:hint="default"/>
      </w:rPr>
    </w:lvl>
  </w:abstractNum>
  <w:abstractNum w:abstractNumId="13" w15:restartNumberingAfterBreak="0">
    <w:nsid w:val="2EED70FA"/>
    <w:multiLevelType w:val="hybridMultilevel"/>
    <w:tmpl w:val="BD0AD224"/>
    <w:lvl w:ilvl="0" w:tplc="2AA8C08E">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4" w15:restartNumberingAfterBreak="0">
    <w:nsid w:val="2F6C0FF7"/>
    <w:multiLevelType w:val="multilevel"/>
    <w:tmpl w:val="2F6C0FF7"/>
    <w:lvl w:ilvl="0">
      <w:start w:val="8"/>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15" w15:restartNumberingAfterBreak="0">
    <w:nsid w:val="353560AE"/>
    <w:multiLevelType w:val="hybridMultilevel"/>
    <w:tmpl w:val="4B6CDA2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DBD3BCB"/>
    <w:multiLevelType w:val="hybridMultilevel"/>
    <w:tmpl w:val="1A78D83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EDD74FD"/>
    <w:multiLevelType w:val="multilevel"/>
    <w:tmpl w:val="3EDD74FD"/>
    <w:lvl w:ilvl="0">
      <w:start w:val="1"/>
      <w:numFmt w:val="lowerRoman"/>
      <w:lvlText w:val="%1."/>
      <w:lvlJc w:val="right"/>
      <w:pPr>
        <w:tabs>
          <w:tab w:val="left" w:pos="720"/>
        </w:tabs>
        <w:ind w:left="720" w:hanging="360"/>
      </w:pPr>
      <w:rPr>
        <w:rFonts w:ascii="Times New Roman" w:hAnsi="Times New Roman" w:cs="Times New Roman" w:hint="default"/>
      </w:rPr>
    </w:lvl>
    <w:lvl w:ilvl="1">
      <w:start w:val="1"/>
      <w:numFmt w:val="lowerRoman"/>
      <w:lvlText w:val="%2."/>
      <w:lvlJc w:val="righ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360"/>
      </w:pPr>
      <w:rPr>
        <w:rFonts w:ascii="Times New Roman" w:hAnsi="Times New Roman" w:cs="Times New Roman" w:hint="default"/>
      </w:rPr>
    </w:lvl>
    <w:lvl w:ilvl="3">
      <w:start w:val="1"/>
      <w:numFmt w:val="lowerRoman"/>
      <w:lvlText w:val="%4."/>
      <w:lvlJc w:val="right"/>
      <w:pPr>
        <w:tabs>
          <w:tab w:val="left" w:pos="2880"/>
        </w:tabs>
        <w:ind w:left="2880" w:hanging="360"/>
      </w:pPr>
      <w:rPr>
        <w:rFonts w:ascii="Times New Roman" w:hAnsi="Times New Roman" w:cs="Times New Roman" w:hint="default"/>
      </w:rPr>
    </w:lvl>
    <w:lvl w:ilvl="4">
      <w:start w:val="1"/>
      <w:numFmt w:val="lowerRoman"/>
      <w:lvlText w:val="%5."/>
      <w:lvlJc w:val="righ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360"/>
      </w:pPr>
      <w:rPr>
        <w:rFonts w:ascii="Times New Roman" w:hAnsi="Times New Roman" w:cs="Times New Roman" w:hint="default"/>
      </w:rPr>
    </w:lvl>
    <w:lvl w:ilvl="6">
      <w:start w:val="1"/>
      <w:numFmt w:val="lowerRoman"/>
      <w:lvlText w:val="%7."/>
      <w:lvlJc w:val="right"/>
      <w:pPr>
        <w:tabs>
          <w:tab w:val="left" w:pos="5040"/>
        </w:tabs>
        <w:ind w:left="5040" w:hanging="360"/>
      </w:pPr>
      <w:rPr>
        <w:rFonts w:ascii="Times New Roman" w:hAnsi="Times New Roman" w:cs="Times New Roman" w:hint="default"/>
      </w:rPr>
    </w:lvl>
    <w:lvl w:ilvl="7">
      <w:start w:val="1"/>
      <w:numFmt w:val="lowerRoman"/>
      <w:lvlText w:val="%8."/>
      <w:lvlJc w:val="righ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360"/>
      </w:pPr>
      <w:rPr>
        <w:rFonts w:ascii="Times New Roman" w:hAnsi="Times New Roman" w:cs="Times New Roman" w:hint="default"/>
      </w:rPr>
    </w:lvl>
  </w:abstractNum>
  <w:abstractNum w:abstractNumId="18" w15:restartNumberingAfterBreak="0">
    <w:nsid w:val="3F611FB0"/>
    <w:multiLevelType w:val="multilevel"/>
    <w:tmpl w:val="3F611FB0"/>
    <w:lvl w:ilvl="0">
      <w:start w:val="1"/>
      <w:numFmt w:val="decimal"/>
      <w:lvlText w:val="%1."/>
      <w:lvlJc w:val="left"/>
      <w:pPr>
        <w:tabs>
          <w:tab w:val="left" w:pos="720"/>
        </w:tabs>
        <w:ind w:left="720" w:hanging="360"/>
      </w:pPr>
      <w:rPr>
        <w:rFonts w:ascii="Book Antiqua" w:eastAsia="Times New Roman" w:hAnsi="Book Antiqua" w:cs="Calibri"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9" w15:restartNumberingAfterBreak="0">
    <w:nsid w:val="4080375B"/>
    <w:multiLevelType w:val="multilevel"/>
    <w:tmpl w:val="4080375B"/>
    <w:lvl w:ilvl="0">
      <w:start w:val="2"/>
      <w:numFmt w:val="lowerRoman"/>
      <w:lvlText w:val="%1."/>
      <w:lvlJc w:val="right"/>
      <w:pPr>
        <w:tabs>
          <w:tab w:val="left" w:pos="720"/>
        </w:tabs>
        <w:ind w:left="720" w:hanging="360"/>
      </w:pPr>
      <w:rPr>
        <w:rFonts w:ascii="Times New Roman" w:hAnsi="Times New Roman" w:cs="Times New Roman" w:hint="default"/>
      </w:rPr>
    </w:lvl>
    <w:lvl w:ilvl="1">
      <w:start w:val="1"/>
      <w:numFmt w:val="lowerRoman"/>
      <w:lvlText w:val="%2."/>
      <w:lvlJc w:val="righ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360"/>
      </w:pPr>
      <w:rPr>
        <w:rFonts w:ascii="Times New Roman" w:hAnsi="Times New Roman" w:cs="Times New Roman" w:hint="default"/>
      </w:rPr>
    </w:lvl>
    <w:lvl w:ilvl="3">
      <w:start w:val="1"/>
      <w:numFmt w:val="lowerRoman"/>
      <w:lvlText w:val="%4."/>
      <w:lvlJc w:val="right"/>
      <w:pPr>
        <w:tabs>
          <w:tab w:val="left" w:pos="2880"/>
        </w:tabs>
        <w:ind w:left="2880" w:hanging="360"/>
      </w:pPr>
      <w:rPr>
        <w:rFonts w:ascii="Times New Roman" w:hAnsi="Times New Roman" w:cs="Times New Roman" w:hint="default"/>
      </w:rPr>
    </w:lvl>
    <w:lvl w:ilvl="4">
      <w:start w:val="1"/>
      <w:numFmt w:val="lowerRoman"/>
      <w:lvlText w:val="%5."/>
      <w:lvlJc w:val="righ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360"/>
      </w:pPr>
      <w:rPr>
        <w:rFonts w:ascii="Times New Roman" w:hAnsi="Times New Roman" w:cs="Times New Roman" w:hint="default"/>
      </w:rPr>
    </w:lvl>
    <w:lvl w:ilvl="6">
      <w:start w:val="1"/>
      <w:numFmt w:val="lowerRoman"/>
      <w:lvlText w:val="%7."/>
      <w:lvlJc w:val="right"/>
      <w:pPr>
        <w:tabs>
          <w:tab w:val="left" w:pos="5040"/>
        </w:tabs>
        <w:ind w:left="5040" w:hanging="360"/>
      </w:pPr>
      <w:rPr>
        <w:rFonts w:ascii="Times New Roman" w:hAnsi="Times New Roman" w:cs="Times New Roman" w:hint="default"/>
      </w:rPr>
    </w:lvl>
    <w:lvl w:ilvl="7">
      <w:start w:val="1"/>
      <w:numFmt w:val="lowerRoman"/>
      <w:lvlText w:val="%8."/>
      <w:lvlJc w:val="righ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360"/>
      </w:pPr>
      <w:rPr>
        <w:rFonts w:ascii="Times New Roman" w:hAnsi="Times New Roman" w:cs="Times New Roman" w:hint="default"/>
      </w:rPr>
    </w:lvl>
  </w:abstractNum>
  <w:abstractNum w:abstractNumId="20" w15:restartNumberingAfterBreak="0">
    <w:nsid w:val="4AA85595"/>
    <w:multiLevelType w:val="hybridMultilevel"/>
    <w:tmpl w:val="17CEBC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D1F531D"/>
    <w:multiLevelType w:val="hybridMultilevel"/>
    <w:tmpl w:val="C68EE852"/>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094013A"/>
    <w:multiLevelType w:val="hybridMultilevel"/>
    <w:tmpl w:val="B422321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cs="Wingdings" w:hint="default"/>
      </w:rPr>
    </w:lvl>
    <w:lvl w:ilvl="3" w:tplc="140A0001" w:tentative="1">
      <w:start w:val="1"/>
      <w:numFmt w:val="bullet"/>
      <w:lvlText w:val=""/>
      <w:lvlJc w:val="left"/>
      <w:pPr>
        <w:ind w:left="2880" w:hanging="360"/>
      </w:pPr>
      <w:rPr>
        <w:rFonts w:ascii="Symbol" w:hAnsi="Symbol" w:cs="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cs="Wingdings" w:hint="default"/>
      </w:rPr>
    </w:lvl>
    <w:lvl w:ilvl="6" w:tplc="140A0001" w:tentative="1">
      <w:start w:val="1"/>
      <w:numFmt w:val="bullet"/>
      <w:lvlText w:val=""/>
      <w:lvlJc w:val="left"/>
      <w:pPr>
        <w:ind w:left="5040" w:hanging="360"/>
      </w:pPr>
      <w:rPr>
        <w:rFonts w:ascii="Symbol" w:hAnsi="Symbol" w:cs="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1C83442"/>
    <w:multiLevelType w:val="multilevel"/>
    <w:tmpl w:val="51C83442"/>
    <w:lvl w:ilvl="0">
      <w:start w:val="7"/>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24" w15:restartNumberingAfterBreak="0">
    <w:nsid w:val="54297264"/>
    <w:multiLevelType w:val="multilevel"/>
    <w:tmpl w:val="54297264"/>
    <w:lvl w:ilvl="0">
      <w:start w:val="1"/>
      <w:numFmt w:val="lowerRoman"/>
      <w:lvlText w:val="%1."/>
      <w:lvlJc w:val="right"/>
      <w:pPr>
        <w:tabs>
          <w:tab w:val="left" w:pos="720"/>
        </w:tabs>
        <w:ind w:left="720" w:hanging="360"/>
      </w:pPr>
      <w:rPr>
        <w:rFonts w:ascii="Times New Roman" w:hAnsi="Times New Roman" w:cs="Times New Roman" w:hint="default"/>
      </w:rPr>
    </w:lvl>
    <w:lvl w:ilvl="1">
      <w:start w:val="1"/>
      <w:numFmt w:val="lowerRoman"/>
      <w:lvlText w:val="%2."/>
      <w:lvlJc w:val="righ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360"/>
      </w:pPr>
      <w:rPr>
        <w:rFonts w:ascii="Times New Roman" w:hAnsi="Times New Roman" w:cs="Times New Roman" w:hint="default"/>
      </w:rPr>
    </w:lvl>
    <w:lvl w:ilvl="3">
      <w:start w:val="1"/>
      <w:numFmt w:val="lowerRoman"/>
      <w:lvlText w:val="%4."/>
      <w:lvlJc w:val="right"/>
      <w:pPr>
        <w:tabs>
          <w:tab w:val="left" w:pos="2880"/>
        </w:tabs>
        <w:ind w:left="2880" w:hanging="360"/>
      </w:pPr>
      <w:rPr>
        <w:rFonts w:ascii="Times New Roman" w:hAnsi="Times New Roman" w:cs="Times New Roman" w:hint="default"/>
      </w:rPr>
    </w:lvl>
    <w:lvl w:ilvl="4">
      <w:start w:val="1"/>
      <w:numFmt w:val="lowerRoman"/>
      <w:lvlText w:val="%5."/>
      <w:lvlJc w:val="righ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360"/>
      </w:pPr>
      <w:rPr>
        <w:rFonts w:ascii="Times New Roman" w:hAnsi="Times New Roman" w:cs="Times New Roman" w:hint="default"/>
      </w:rPr>
    </w:lvl>
    <w:lvl w:ilvl="6">
      <w:start w:val="1"/>
      <w:numFmt w:val="lowerRoman"/>
      <w:lvlText w:val="%7."/>
      <w:lvlJc w:val="right"/>
      <w:pPr>
        <w:tabs>
          <w:tab w:val="left" w:pos="5040"/>
        </w:tabs>
        <w:ind w:left="5040" w:hanging="360"/>
      </w:pPr>
      <w:rPr>
        <w:rFonts w:ascii="Times New Roman" w:hAnsi="Times New Roman" w:cs="Times New Roman" w:hint="default"/>
      </w:rPr>
    </w:lvl>
    <w:lvl w:ilvl="7">
      <w:start w:val="1"/>
      <w:numFmt w:val="lowerRoman"/>
      <w:lvlText w:val="%8."/>
      <w:lvlJc w:val="righ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360"/>
      </w:pPr>
      <w:rPr>
        <w:rFonts w:ascii="Times New Roman" w:hAnsi="Times New Roman" w:cs="Times New Roman" w:hint="default"/>
      </w:rPr>
    </w:lvl>
  </w:abstractNum>
  <w:abstractNum w:abstractNumId="25" w15:restartNumberingAfterBreak="0">
    <w:nsid w:val="5A5666C4"/>
    <w:multiLevelType w:val="multilevel"/>
    <w:tmpl w:val="5A5666C4"/>
    <w:lvl w:ilvl="0">
      <w:start w:val="6"/>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26" w15:restartNumberingAfterBreak="0">
    <w:nsid w:val="5C7E0FD1"/>
    <w:multiLevelType w:val="multilevel"/>
    <w:tmpl w:val="5C7E0FD1"/>
    <w:lvl w:ilvl="0">
      <w:start w:val="4"/>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27" w15:restartNumberingAfterBreak="0">
    <w:nsid w:val="5D0C53B1"/>
    <w:multiLevelType w:val="hybridMultilevel"/>
    <w:tmpl w:val="38B4D3CE"/>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0642808"/>
    <w:multiLevelType w:val="multilevel"/>
    <w:tmpl w:val="60642808"/>
    <w:lvl w:ilvl="0">
      <w:start w:val="9"/>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29" w15:restartNumberingAfterBreak="0">
    <w:nsid w:val="655A688C"/>
    <w:multiLevelType w:val="multilevel"/>
    <w:tmpl w:val="655A688C"/>
    <w:lvl w:ilvl="0">
      <w:start w:val="1"/>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30" w15:restartNumberingAfterBreak="0">
    <w:nsid w:val="66627FC1"/>
    <w:multiLevelType w:val="multilevel"/>
    <w:tmpl w:val="66627FC1"/>
    <w:lvl w:ilvl="0">
      <w:start w:val="2"/>
      <w:numFmt w:val="lowerRoman"/>
      <w:lvlText w:val="%1."/>
      <w:lvlJc w:val="right"/>
      <w:pPr>
        <w:tabs>
          <w:tab w:val="left" w:pos="720"/>
        </w:tabs>
        <w:ind w:left="720" w:hanging="360"/>
      </w:pPr>
      <w:rPr>
        <w:rFonts w:ascii="Times New Roman" w:hAnsi="Times New Roman" w:cs="Times New Roman" w:hint="default"/>
      </w:rPr>
    </w:lvl>
    <w:lvl w:ilvl="1">
      <w:start w:val="1"/>
      <w:numFmt w:val="lowerRoman"/>
      <w:lvlText w:val="%2."/>
      <w:lvlJc w:val="righ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360"/>
      </w:pPr>
      <w:rPr>
        <w:rFonts w:ascii="Times New Roman" w:hAnsi="Times New Roman" w:cs="Times New Roman" w:hint="default"/>
      </w:rPr>
    </w:lvl>
    <w:lvl w:ilvl="3">
      <w:start w:val="1"/>
      <w:numFmt w:val="lowerRoman"/>
      <w:lvlText w:val="%4."/>
      <w:lvlJc w:val="right"/>
      <w:pPr>
        <w:tabs>
          <w:tab w:val="left" w:pos="2880"/>
        </w:tabs>
        <w:ind w:left="2880" w:hanging="360"/>
      </w:pPr>
      <w:rPr>
        <w:rFonts w:ascii="Times New Roman" w:hAnsi="Times New Roman" w:cs="Times New Roman" w:hint="default"/>
      </w:rPr>
    </w:lvl>
    <w:lvl w:ilvl="4">
      <w:start w:val="1"/>
      <w:numFmt w:val="lowerRoman"/>
      <w:lvlText w:val="%5."/>
      <w:lvlJc w:val="righ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360"/>
      </w:pPr>
      <w:rPr>
        <w:rFonts w:ascii="Times New Roman" w:hAnsi="Times New Roman" w:cs="Times New Roman" w:hint="default"/>
      </w:rPr>
    </w:lvl>
    <w:lvl w:ilvl="6">
      <w:start w:val="1"/>
      <w:numFmt w:val="lowerRoman"/>
      <w:lvlText w:val="%7."/>
      <w:lvlJc w:val="right"/>
      <w:pPr>
        <w:tabs>
          <w:tab w:val="left" w:pos="5040"/>
        </w:tabs>
        <w:ind w:left="5040" w:hanging="360"/>
      </w:pPr>
      <w:rPr>
        <w:rFonts w:ascii="Times New Roman" w:hAnsi="Times New Roman" w:cs="Times New Roman" w:hint="default"/>
      </w:rPr>
    </w:lvl>
    <w:lvl w:ilvl="7">
      <w:start w:val="1"/>
      <w:numFmt w:val="lowerRoman"/>
      <w:lvlText w:val="%8."/>
      <w:lvlJc w:val="righ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360"/>
      </w:pPr>
      <w:rPr>
        <w:rFonts w:ascii="Times New Roman" w:hAnsi="Times New Roman" w:cs="Times New Roman" w:hint="default"/>
      </w:rPr>
    </w:lvl>
  </w:abstractNum>
  <w:abstractNum w:abstractNumId="31" w15:restartNumberingAfterBreak="0">
    <w:nsid w:val="68FB1FD7"/>
    <w:multiLevelType w:val="multilevel"/>
    <w:tmpl w:val="8AD0B07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9787354"/>
    <w:multiLevelType w:val="multilevel"/>
    <w:tmpl w:val="69787354"/>
    <w:lvl w:ilvl="0">
      <w:start w:val="1"/>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33" w15:restartNumberingAfterBreak="0">
    <w:nsid w:val="698151D3"/>
    <w:multiLevelType w:val="multilevel"/>
    <w:tmpl w:val="698151D3"/>
    <w:lvl w:ilvl="0">
      <w:start w:val="5"/>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34" w15:restartNumberingAfterBreak="0">
    <w:nsid w:val="699F446F"/>
    <w:multiLevelType w:val="hybridMultilevel"/>
    <w:tmpl w:val="435C7B06"/>
    <w:lvl w:ilvl="0" w:tplc="140A0001">
      <w:start w:val="1"/>
      <w:numFmt w:val="bullet"/>
      <w:lvlText w:val=""/>
      <w:lvlJc w:val="left"/>
      <w:pPr>
        <w:ind w:left="1494" w:hanging="360"/>
      </w:pPr>
      <w:rPr>
        <w:rFonts w:ascii="Symbol" w:hAnsi="Symbol" w:hint="default"/>
      </w:rPr>
    </w:lvl>
    <w:lvl w:ilvl="1" w:tplc="140A0003" w:tentative="1">
      <w:start w:val="1"/>
      <w:numFmt w:val="bullet"/>
      <w:lvlText w:val="o"/>
      <w:lvlJc w:val="left"/>
      <w:pPr>
        <w:ind w:left="2214" w:hanging="360"/>
      </w:pPr>
      <w:rPr>
        <w:rFonts w:ascii="Courier New" w:hAnsi="Courier New" w:cs="Courier New" w:hint="default"/>
      </w:rPr>
    </w:lvl>
    <w:lvl w:ilvl="2" w:tplc="140A0005" w:tentative="1">
      <w:start w:val="1"/>
      <w:numFmt w:val="bullet"/>
      <w:lvlText w:val=""/>
      <w:lvlJc w:val="left"/>
      <w:pPr>
        <w:ind w:left="2934" w:hanging="360"/>
      </w:pPr>
      <w:rPr>
        <w:rFonts w:ascii="Wingdings" w:hAnsi="Wingdings" w:hint="default"/>
      </w:rPr>
    </w:lvl>
    <w:lvl w:ilvl="3" w:tplc="140A0001" w:tentative="1">
      <w:start w:val="1"/>
      <w:numFmt w:val="bullet"/>
      <w:lvlText w:val=""/>
      <w:lvlJc w:val="left"/>
      <w:pPr>
        <w:ind w:left="3654" w:hanging="360"/>
      </w:pPr>
      <w:rPr>
        <w:rFonts w:ascii="Symbol" w:hAnsi="Symbol" w:hint="default"/>
      </w:rPr>
    </w:lvl>
    <w:lvl w:ilvl="4" w:tplc="140A0003" w:tentative="1">
      <w:start w:val="1"/>
      <w:numFmt w:val="bullet"/>
      <w:lvlText w:val="o"/>
      <w:lvlJc w:val="left"/>
      <w:pPr>
        <w:ind w:left="4374" w:hanging="360"/>
      </w:pPr>
      <w:rPr>
        <w:rFonts w:ascii="Courier New" w:hAnsi="Courier New" w:cs="Courier New" w:hint="default"/>
      </w:rPr>
    </w:lvl>
    <w:lvl w:ilvl="5" w:tplc="140A0005" w:tentative="1">
      <w:start w:val="1"/>
      <w:numFmt w:val="bullet"/>
      <w:lvlText w:val=""/>
      <w:lvlJc w:val="left"/>
      <w:pPr>
        <w:ind w:left="5094" w:hanging="360"/>
      </w:pPr>
      <w:rPr>
        <w:rFonts w:ascii="Wingdings" w:hAnsi="Wingdings" w:hint="default"/>
      </w:rPr>
    </w:lvl>
    <w:lvl w:ilvl="6" w:tplc="140A0001" w:tentative="1">
      <w:start w:val="1"/>
      <w:numFmt w:val="bullet"/>
      <w:lvlText w:val=""/>
      <w:lvlJc w:val="left"/>
      <w:pPr>
        <w:ind w:left="5814" w:hanging="360"/>
      </w:pPr>
      <w:rPr>
        <w:rFonts w:ascii="Symbol" w:hAnsi="Symbol" w:hint="default"/>
      </w:rPr>
    </w:lvl>
    <w:lvl w:ilvl="7" w:tplc="140A0003" w:tentative="1">
      <w:start w:val="1"/>
      <w:numFmt w:val="bullet"/>
      <w:lvlText w:val="o"/>
      <w:lvlJc w:val="left"/>
      <w:pPr>
        <w:ind w:left="6534" w:hanging="360"/>
      </w:pPr>
      <w:rPr>
        <w:rFonts w:ascii="Courier New" w:hAnsi="Courier New" w:cs="Courier New" w:hint="default"/>
      </w:rPr>
    </w:lvl>
    <w:lvl w:ilvl="8" w:tplc="140A0005" w:tentative="1">
      <w:start w:val="1"/>
      <w:numFmt w:val="bullet"/>
      <w:lvlText w:val=""/>
      <w:lvlJc w:val="left"/>
      <w:pPr>
        <w:ind w:left="7254" w:hanging="360"/>
      </w:pPr>
      <w:rPr>
        <w:rFonts w:ascii="Wingdings" w:hAnsi="Wingdings" w:hint="default"/>
      </w:rPr>
    </w:lvl>
  </w:abstractNum>
  <w:abstractNum w:abstractNumId="35" w15:restartNumberingAfterBreak="0">
    <w:nsid w:val="6DE41F8D"/>
    <w:multiLevelType w:val="multilevel"/>
    <w:tmpl w:val="702331B6"/>
    <w:lvl w:ilvl="0">
      <w:start w:val="1"/>
      <w:numFmt w:val="lowerLetter"/>
      <w:lvlText w:val="%1."/>
      <w:lvlJc w:val="left"/>
      <w:pPr>
        <w:ind w:left="720" w:hanging="360"/>
      </w:pPr>
      <w:rPr>
        <w:rFonts w:ascii="Calibri" w:hAnsi="Calibri"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02331B6"/>
    <w:multiLevelType w:val="multilevel"/>
    <w:tmpl w:val="702331B6"/>
    <w:lvl w:ilvl="0">
      <w:start w:val="1"/>
      <w:numFmt w:val="lowerLetter"/>
      <w:lvlText w:val="%1."/>
      <w:lvlJc w:val="left"/>
      <w:pPr>
        <w:ind w:left="720" w:hanging="360"/>
      </w:pPr>
      <w:rPr>
        <w:rFonts w:ascii="Calibri" w:hAnsi="Calibri"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2172229"/>
    <w:multiLevelType w:val="multilevel"/>
    <w:tmpl w:val="72172229"/>
    <w:lvl w:ilvl="0">
      <w:start w:val="1"/>
      <w:numFmt w:val="lowerRoman"/>
      <w:lvlText w:val="%1."/>
      <w:lvlJc w:val="right"/>
      <w:pPr>
        <w:tabs>
          <w:tab w:val="left" w:pos="720"/>
        </w:tabs>
        <w:ind w:left="720" w:hanging="360"/>
      </w:pPr>
      <w:rPr>
        <w:rFonts w:ascii="Times New Roman" w:hAnsi="Times New Roman" w:cs="Times New Roman" w:hint="default"/>
      </w:rPr>
    </w:lvl>
    <w:lvl w:ilvl="1">
      <w:start w:val="1"/>
      <w:numFmt w:val="lowerRoman"/>
      <w:lvlText w:val="%2."/>
      <w:lvlJc w:val="righ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360"/>
      </w:pPr>
      <w:rPr>
        <w:rFonts w:ascii="Times New Roman" w:hAnsi="Times New Roman" w:cs="Times New Roman" w:hint="default"/>
      </w:rPr>
    </w:lvl>
    <w:lvl w:ilvl="3">
      <w:start w:val="1"/>
      <w:numFmt w:val="lowerRoman"/>
      <w:lvlText w:val="%4."/>
      <w:lvlJc w:val="right"/>
      <w:pPr>
        <w:tabs>
          <w:tab w:val="left" w:pos="2880"/>
        </w:tabs>
        <w:ind w:left="2880" w:hanging="360"/>
      </w:pPr>
      <w:rPr>
        <w:rFonts w:ascii="Times New Roman" w:hAnsi="Times New Roman" w:cs="Times New Roman" w:hint="default"/>
      </w:rPr>
    </w:lvl>
    <w:lvl w:ilvl="4">
      <w:start w:val="1"/>
      <w:numFmt w:val="lowerRoman"/>
      <w:lvlText w:val="%5."/>
      <w:lvlJc w:val="righ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360"/>
      </w:pPr>
      <w:rPr>
        <w:rFonts w:ascii="Times New Roman" w:hAnsi="Times New Roman" w:cs="Times New Roman" w:hint="default"/>
      </w:rPr>
    </w:lvl>
    <w:lvl w:ilvl="6">
      <w:start w:val="1"/>
      <w:numFmt w:val="lowerRoman"/>
      <w:lvlText w:val="%7."/>
      <w:lvlJc w:val="right"/>
      <w:pPr>
        <w:tabs>
          <w:tab w:val="left" w:pos="5040"/>
        </w:tabs>
        <w:ind w:left="5040" w:hanging="360"/>
      </w:pPr>
      <w:rPr>
        <w:rFonts w:ascii="Times New Roman" w:hAnsi="Times New Roman" w:cs="Times New Roman" w:hint="default"/>
      </w:rPr>
    </w:lvl>
    <w:lvl w:ilvl="7">
      <w:start w:val="1"/>
      <w:numFmt w:val="lowerRoman"/>
      <w:lvlText w:val="%8."/>
      <w:lvlJc w:val="righ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360"/>
      </w:pPr>
      <w:rPr>
        <w:rFonts w:ascii="Times New Roman" w:hAnsi="Times New Roman" w:cs="Times New Roman" w:hint="default"/>
      </w:rPr>
    </w:lvl>
  </w:abstractNum>
  <w:abstractNum w:abstractNumId="38" w15:restartNumberingAfterBreak="0">
    <w:nsid w:val="74176D6D"/>
    <w:multiLevelType w:val="multilevel"/>
    <w:tmpl w:val="74176D6D"/>
    <w:lvl w:ilvl="0">
      <w:start w:val="1"/>
      <w:numFmt w:val="lowerRoman"/>
      <w:lvlText w:val="%1."/>
      <w:lvlJc w:val="right"/>
      <w:pPr>
        <w:tabs>
          <w:tab w:val="left" w:pos="720"/>
        </w:tabs>
        <w:ind w:left="720" w:hanging="360"/>
      </w:pPr>
      <w:rPr>
        <w:rFonts w:ascii="Times New Roman" w:hAnsi="Times New Roman" w:cs="Times New Roman" w:hint="default"/>
      </w:rPr>
    </w:lvl>
    <w:lvl w:ilvl="1">
      <w:start w:val="1"/>
      <w:numFmt w:val="lowerRoman"/>
      <w:lvlText w:val="%2."/>
      <w:lvlJc w:val="righ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360"/>
      </w:pPr>
      <w:rPr>
        <w:rFonts w:ascii="Times New Roman" w:hAnsi="Times New Roman" w:cs="Times New Roman" w:hint="default"/>
      </w:rPr>
    </w:lvl>
    <w:lvl w:ilvl="3">
      <w:start w:val="1"/>
      <w:numFmt w:val="lowerRoman"/>
      <w:lvlText w:val="%4."/>
      <w:lvlJc w:val="right"/>
      <w:pPr>
        <w:tabs>
          <w:tab w:val="left" w:pos="2880"/>
        </w:tabs>
        <w:ind w:left="2880" w:hanging="360"/>
      </w:pPr>
      <w:rPr>
        <w:rFonts w:ascii="Times New Roman" w:hAnsi="Times New Roman" w:cs="Times New Roman" w:hint="default"/>
      </w:rPr>
    </w:lvl>
    <w:lvl w:ilvl="4">
      <w:start w:val="1"/>
      <w:numFmt w:val="lowerRoman"/>
      <w:lvlText w:val="%5."/>
      <w:lvlJc w:val="righ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360"/>
      </w:pPr>
      <w:rPr>
        <w:rFonts w:ascii="Times New Roman" w:hAnsi="Times New Roman" w:cs="Times New Roman" w:hint="default"/>
      </w:rPr>
    </w:lvl>
    <w:lvl w:ilvl="6">
      <w:start w:val="1"/>
      <w:numFmt w:val="lowerRoman"/>
      <w:lvlText w:val="%7."/>
      <w:lvlJc w:val="right"/>
      <w:pPr>
        <w:tabs>
          <w:tab w:val="left" w:pos="5040"/>
        </w:tabs>
        <w:ind w:left="5040" w:hanging="360"/>
      </w:pPr>
      <w:rPr>
        <w:rFonts w:ascii="Times New Roman" w:hAnsi="Times New Roman" w:cs="Times New Roman" w:hint="default"/>
      </w:rPr>
    </w:lvl>
    <w:lvl w:ilvl="7">
      <w:start w:val="1"/>
      <w:numFmt w:val="lowerRoman"/>
      <w:lvlText w:val="%8."/>
      <w:lvlJc w:val="righ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360"/>
      </w:pPr>
      <w:rPr>
        <w:rFonts w:ascii="Times New Roman" w:hAnsi="Times New Roman" w:cs="Times New Roman" w:hint="default"/>
      </w:rPr>
    </w:lvl>
  </w:abstractNum>
  <w:abstractNum w:abstractNumId="39" w15:restartNumberingAfterBreak="0">
    <w:nsid w:val="75046AA2"/>
    <w:multiLevelType w:val="multilevel"/>
    <w:tmpl w:val="75046AA2"/>
    <w:lvl w:ilvl="0">
      <w:start w:val="2"/>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Letter"/>
      <w:lvlText w:val="%3."/>
      <w:lvlJc w:val="left"/>
      <w:pPr>
        <w:tabs>
          <w:tab w:val="left" w:pos="2160"/>
        </w:tabs>
        <w:ind w:left="2160" w:hanging="360"/>
      </w:pPr>
      <w:rPr>
        <w:rFonts w:ascii="Times New Roman" w:hAnsi="Times New Roman" w:cs="Times New Roman" w:hint="default"/>
      </w:rPr>
    </w:lvl>
    <w:lvl w:ilvl="3">
      <w:start w:val="1"/>
      <w:numFmt w:val="lowerLetter"/>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Letter"/>
      <w:lvlText w:val="%6."/>
      <w:lvlJc w:val="left"/>
      <w:pPr>
        <w:tabs>
          <w:tab w:val="left" w:pos="4320"/>
        </w:tabs>
        <w:ind w:left="4320" w:hanging="360"/>
      </w:pPr>
      <w:rPr>
        <w:rFonts w:ascii="Times New Roman" w:hAnsi="Times New Roman" w:cs="Times New Roman" w:hint="default"/>
      </w:rPr>
    </w:lvl>
    <w:lvl w:ilvl="6">
      <w:start w:val="1"/>
      <w:numFmt w:val="lowerLetter"/>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Letter"/>
      <w:lvlText w:val="%9."/>
      <w:lvlJc w:val="left"/>
      <w:pPr>
        <w:tabs>
          <w:tab w:val="left" w:pos="6480"/>
        </w:tabs>
        <w:ind w:left="6480" w:hanging="360"/>
      </w:pPr>
      <w:rPr>
        <w:rFonts w:ascii="Times New Roman" w:hAnsi="Times New Roman" w:cs="Times New Roman" w:hint="default"/>
      </w:rPr>
    </w:lvl>
  </w:abstractNum>
  <w:abstractNum w:abstractNumId="40" w15:restartNumberingAfterBreak="0">
    <w:nsid w:val="75702C45"/>
    <w:multiLevelType w:val="multilevel"/>
    <w:tmpl w:val="75702C45"/>
    <w:lvl w:ilvl="0">
      <w:start w:val="1"/>
      <w:numFmt w:val="lowerRoman"/>
      <w:lvlText w:val="%1."/>
      <w:lvlJc w:val="right"/>
      <w:pPr>
        <w:tabs>
          <w:tab w:val="left" w:pos="720"/>
        </w:tabs>
        <w:ind w:left="720" w:hanging="360"/>
      </w:pPr>
      <w:rPr>
        <w:rFonts w:ascii="Times New Roman" w:hAnsi="Times New Roman" w:cs="Times New Roman" w:hint="default"/>
      </w:rPr>
    </w:lvl>
    <w:lvl w:ilvl="1">
      <w:start w:val="1"/>
      <w:numFmt w:val="lowerRoman"/>
      <w:lvlText w:val="%2."/>
      <w:lvlJc w:val="righ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360"/>
      </w:pPr>
      <w:rPr>
        <w:rFonts w:ascii="Times New Roman" w:hAnsi="Times New Roman" w:cs="Times New Roman" w:hint="default"/>
      </w:rPr>
    </w:lvl>
    <w:lvl w:ilvl="3">
      <w:start w:val="1"/>
      <w:numFmt w:val="lowerRoman"/>
      <w:lvlText w:val="%4."/>
      <w:lvlJc w:val="right"/>
      <w:pPr>
        <w:tabs>
          <w:tab w:val="left" w:pos="2880"/>
        </w:tabs>
        <w:ind w:left="2880" w:hanging="360"/>
      </w:pPr>
      <w:rPr>
        <w:rFonts w:ascii="Times New Roman" w:hAnsi="Times New Roman" w:cs="Times New Roman" w:hint="default"/>
      </w:rPr>
    </w:lvl>
    <w:lvl w:ilvl="4">
      <w:start w:val="1"/>
      <w:numFmt w:val="lowerRoman"/>
      <w:lvlText w:val="%5."/>
      <w:lvlJc w:val="righ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360"/>
      </w:pPr>
      <w:rPr>
        <w:rFonts w:ascii="Times New Roman" w:hAnsi="Times New Roman" w:cs="Times New Roman" w:hint="default"/>
      </w:rPr>
    </w:lvl>
    <w:lvl w:ilvl="6">
      <w:start w:val="1"/>
      <w:numFmt w:val="lowerRoman"/>
      <w:lvlText w:val="%7."/>
      <w:lvlJc w:val="right"/>
      <w:pPr>
        <w:tabs>
          <w:tab w:val="left" w:pos="5040"/>
        </w:tabs>
        <w:ind w:left="5040" w:hanging="360"/>
      </w:pPr>
      <w:rPr>
        <w:rFonts w:ascii="Times New Roman" w:hAnsi="Times New Roman" w:cs="Times New Roman" w:hint="default"/>
      </w:rPr>
    </w:lvl>
    <w:lvl w:ilvl="7">
      <w:start w:val="1"/>
      <w:numFmt w:val="lowerRoman"/>
      <w:lvlText w:val="%8."/>
      <w:lvlJc w:val="righ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360"/>
      </w:pPr>
      <w:rPr>
        <w:rFonts w:ascii="Times New Roman" w:hAnsi="Times New Roman" w:cs="Times New Roman" w:hint="default"/>
      </w:rPr>
    </w:lvl>
  </w:abstractNum>
  <w:abstractNum w:abstractNumId="41" w15:restartNumberingAfterBreak="0">
    <w:nsid w:val="75E5334C"/>
    <w:multiLevelType w:val="multilevel"/>
    <w:tmpl w:val="75E5334C"/>
    <w:lvl w:ilvl="0">
      <w:start w:val="2"/>
      <w:numFmt w:val="lowerRoman"/>
      <w:lvlText w:val="%1."/>
      <w:lvlJc w:val="right"/>
      <w:pPr>
        <w:tabs>
          <w:tab w:val="left" w:pos="720"/>
        </w:tabs>
        <w:ind w:left="720" w:hanging="360"/>
      </w:pPr>
      <w:rPr>
        <w:rFonts w:ascii="Times New Roman" w:hAnsi="Times New Roman" w:cs="Times New Roman" w:hint="default"/>
      </w:rPr>
    </w:lvl>
    <w:lvl w:ilvl="1">
      <w:start w:val="1"/>
      <w:numFmt w:val="lowerRoman"/>
      <w:lvlText w:val="%2."/>
      <w:lvlJc w:val="righ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360"/>
      </w:pPr>
      <w:rPr>
        <w:rFonts w:ascii="Times New Roman" w:hAnsi="Times New Roman" w:cs="Times New Roman" w:hint="default"/>
      </w:rPr>
    </w:lvl>
    <w:lvl w:ilvl="3">
      <w:start w:val="1"/>
      <w:numFmt w:val="lowerRoman"/>
      <w:lvlText w:val="%4."/>
      <w:lvlJc w:val="right"/>
      <w:pPr>
        <w:tabs>
          <w:tab w:val="left" w:pos="2880"/>
        </w:tabs>
        <w:ind w:left="2880" w:hanging="360"/>
      </w:pPr>
      <w:rPr>
        <w:rFonts w:ascii="Times New Roman" w:hAnsi="Times New Roman" w:cs="Times New Roman" w:hint="default"/>
      </w:rPr>
    </w:lvl>
    <w:lvl w:ilvl="4">
      <w:start w:val="1"/>
      <w:numFmt w:val="lowerRoman"/>
      <w:lvlText w:val="%5."/>
      <w:lvlJc w:val="righ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360"/>
      </w:pPr>
      <w:rPr>
        <w:rFonts w:ascii="Times New Roman" w:hAnsi="Times New Roman" w:cs="Times New Roman" w:hint="default"/>
      </w:rPr>
    </w:lvl>
    <w:lvl w:ilvl="6">
      <w:start w:val="1"/>
      <w:numFmt w:val="lowerRoman"/>
      <w:lvlText w:val="%7."/>
      <w:lvlJc w:val="right"/>
      <w:pPr>
        <w:tabs>
          <w:tab w:val="left" w:pos="5040"/>
        </w:tabs>
        <w:ind w:left="5040" w:hanging="360"/>
      </w:pPr>
      <w:rPr>
        <w:rFonts w:ascii="Times New Roman" w:hAnsi="Times New Roman" w:cs="Times New Roman" w:hint="default"/>
      </w:rPr>
    </w:lvl>
    <w:lvl w:ilvl="7">
      <w:start w:val="1"/>
      <w:numFmt w:val="lowerRoman"/>
      <w:lvlText w:val="%8."/>
      <w:lvlJc w:val="righ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360"/>
      </w:pPr>
      <w:rPr>
        <w:rFonts w:ascii="Times New Roman" w:hAnsi="Times New Roman" w:cs="Times New Roman" w:hint="default"/>
      </w:rPr>
    </w:lvl>
  </w:abstractNum>
  <w:abstractNum w:abstractNumId="42" w15:restartNumberingAfterBreak="0">
    <w:nsid w:val="7CBD436F"/>
    <w:multiLevelType w:val="hybridMultilevel"/>
    <w:tmpl w:val="DC3A308A"/>
    <w:lvl w:ilvl="0" w:tplc="93B62B5E">
      <w:start w:val="1"/>
      <w:numFmt w:val="decimal"/>
      <w:lvlText w:val="%1."/>
      <w:lvlJc w:val="left"/>
      <w:pPr>
        <w:ind w:left="720" w:hanging="360"/>
      </w:pPr>
      <w:rPr>
        <w:rFonts w:ascii="Book Antiqua" w:hAnsi="Book Antiqua" w:hint="default"/>
        <w:b/>
        <w:bCs w:val="0"/>
        <w:i w:val="0"/>
        <w:iCs/>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EC17B14"/>
    <w:multiLevelType w:val="hybridMultilevel"/>
    <w:tmpl w:val="7FB2378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7"/>
  </w:num>
  <w:num w:numId="2">
    <w:abstractNumId w:val="3"/>
  </w:num>
  <w:num w:numId="3">
    <w:abstractNumId w:val="12"/>
  </w:num>
  <w:num w:numId="4">
    <w:abstractNumId w:val="31"/>
  </w:num>
  <w:num w:numId="5">
    <w:abstractNumId w:val="13"/>
  </w:num>
  <w:num w:numId="6">
    <w:abstractNumId w:val="11"/>
  </w:num>
  <w:num w:numId="7">
    <w:abstractNumId w:val="4"/>
  </w:num>
  <w:num w:numId="8">
    <w:abstractNumId w:val="42"/>
  </w:num>
  <w:num w:numId="9">
    <w:abstractNumId w:val="22"/>
  </w:num>
  <w:num w:numId="10">
    <w:abstractNumId w:val="34"/>
  </w:num>
  <w:num w:numId="11">
    <w:abstractNumId w:val="8"/>
  </w:num>
  <w:num w:numId="12">
    <w:abstractNumId w:val="27"/>
  </w:num>
  <w:num w:numId="13">
    <w:abstractNumId w:val="21"/>
  </w:num>
  <w:num w:numId="14">
    <w:abstractNumId w:val="15"/>
  </w:num>
  <w:num w:numId="15">
    <w:abstractNumId w:val="20"/>
  </w:num>
  <w:num w:numId="16">
    <w:abstractNumId w:val="16"/>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41B"/>
    <w:rsid w:val="00000EFF"/>
    <w:rsid w:val="000034FA"/>
    <w:rsid w:val="00004555"/>
    <w:rsid w:val="00004D55"/>
    <w:rsid w:val="000057E4"/>
    <w:rsid w:val="00005972"/>
    <w:rsid w:val="000062DC"/>
    <w:rsid w:val="0001135F"/>
    <w:rsid w:val="0001232B"/>
    <w:rsid w:val="00012C23"/>
    <w:rsid w:val="00012E33"/>
    <w:rsid w:val="00013B9E"/>
    <w:rsid w:val="00015779"/>
    <w:rsid w:val="00015CED"/>
    <w:rsid w:val="0001670F"/>
    <w:rsid w:val="00016CD6"/>
    <w:rsid w:val="0002091C"/>
    <w:rsid w:val="00021A3F"/>
    <w:rsid w:val="00021D58"/>
    <w:rsid w:val="000232CE"/>
    <w:rsid w:val="00024302"/>
    <w:rsid w:val="00024873"/>
    <w:rsid w:val="00025D83"/>
    <w:rsid w:val="000263C1"/>
    <w:rsid w:val="00030140"/>
    <w:rsid w:val="000304C5"/>
    <w:rsid w:val="00031056"/>
    <w:rsid w:val="000310D2"/>
    <w:rsid w:val="00031818"/>
    <w:rsid w:val="00032217"/>
    <w:rsid w:val="00032706"/>
    <w:rsid w:val="00033D1A"/>
    <w:rsid w:val="00034C9E"/>
    <w:rsid w:val="00036534"/>
    <w:rsid w:val="0003677C"/>
    <w:rsid w:val="00036B1A"/>
    <w:rsid w:val="000375CE"/>
    <w:rsid w:val="000415FC"/>
    <w:rsid w:val="000421BB"/>
    <w:rsid w:val="00043722"/>
    <w:rsid w:val="00043A13"/>
    <w:rsid w:val="000447E4"/>
    <w:rsid w:val="00044905"/>
    <w:rsid w:val="00044C00"/>
    <w:rsid w:val="00045432"/>
    <w:rsid w:val="000455A5"/>
    <w:rsid w:val="000473D0"/>
    <w:rsid w:val="000474E3"/>
    <w:rsid w:val="00047703"/>
    <w:rsid w:val="00047C6F"/>
    <w:rsid w:val="000507E0"/>
    <w:rsid w:val="00050881"/>
    <w:rsid w:val="000513C2"/>
    <w:rsid w:val="00053A03"/>
    <w:rsid w:val="00053BB2"/>
    <w:rsid w:val="00053D39"/>
    <w:rsid w:val="000541D3"/>
    <w:rsid w:val="000543EA"/>
    <w:rsid w:val="000550B6"/>
    <w:rsid w:val="00055E43"/>
    <w:rsid w:val="00060A31"/>
    <w:rsid w:val="0006394D"/>
    <w:rsid w:val="00063AB5"/>
    <w:rsid w:val="000657F4"/>
    <w:rsid w:val="00065E67"/>
    <w:rsid w:val="00066315"/>
    <w:rsid w:val="00066901"/>
    <w:rsid w:val="00066BBF"/>
    <w:rsid w:val="00066DA2"/>
    <w:rsid w:val="0006747A"/>
    <w:rsid w:val="00067A8F"/>
    <w:rsid w:val="00073D67"/>
    <w:rsid w:val="000742BC"/>
    <w:rsid w:val="00075C8B"/>
    <w:rsid w:val="00076605"/>
    <w:rsid w:val="00076D64"/>
    <w:rsid w:val="0007797D"/>
    <w:rsid w:val="000801FC"/>
    <w:rsid w:val="000803C3"/>
    <w:rsid w:val="00080B36"/>
    <w:rsid w:val="00080DBC"/>
    <w:rsid w:val="00085509"/>
    <w:rsid w:val="0009052E"/>
    <w:rsid w:val="00092F7A"/>
    <w:rsid w:val="00093360"/>
    <w:rsid w:val="0009597B"/>
    <w:rsid w:val="0009627B"/>
    <w:rsid w:val="0009663A"/>
    <w:rsid w:val="00097B57"/>
    <w:rsid w:val="000A4048"/>
    <w:rsid w:val="000A410D"/>
    <w:rsid w:val="000A455D"/>
    <w:rsid w:val="000A4B65"/>
    <w:rsid w:val="000A517A"/>
    <w:rsid w:val="000A58BF"/>
    <w:rsid w:val="000A5FCC"/>
    <w:rsid w:val="000A7D83"/>
    <w:rsid w:val="000B0CD2"/>
    <w:rsid w:val="000B123C"/>
    <w:rsid w:val="000B207A"/>
    <w:rsid w:val="000B330A"/>
    <w:rsid w:val="000B3BE4"/>
    <w:rsid w:val="000B5DA5"/>
    <w:rsid w:val="000B66AE"/>
    <w:rsid w:val="000B793B"/>
    <w:rsid w:val="000C10C9"/>
    <w:rsid w:val="000C2690"/>
    <w:rsid w:val="000C3234"/>
    <w:rsid w:val="000C5473"/>
    <w:rsid w:val="000C66EC"/>
    <w:rsid w:val="000C729F"/>
    <w:rsid w:val="000D10B6"/>
    <w:rsid w:val="000D21CB"/>
    <w:rsid w:val="000D4175"/>
    <w:rsid w:val="000D4D63"/>
    <w:rsid w:val="000D5217"/>
    <w:rsid w:val="000D6092"/>
    <w:rsid w:val="000D61D7"/>
    <w:rsid w:val="000D7421"/>
    <w:rsid w:val="000D77F5"/>
    <w:rsid w:val="000D7823"/>
    <w:rsid w:val="000E0633"/>
    <w:rsid w:val="000E0DB7"/>
    <w:rsid w:val="000E1568"/>
    <w:rsid w:val="000E1F88"/>
    <w:rsid w:val="000E484B"/>
    <w:rsid w:val="000E5C12"/>
    <w:rsid w:val="000E6208"/>
    <w:rsid w:val="000F0EE2"/>
    <w:rsid w:val="000F1785"/>
    <w:rsid w:val="000F2062"/>
    <w:rsid w:val="000F2C2A"/>
    <w:rsid w:val="000F40BE"/>
    <w:rsid w:val="000F4443"/>
    <w:rsid w:val="000F4A32"/>
    <w:rsid w:val="000F4AE1"/>
    <w:rsid w:val="000F5B3C"/>
    <w:rsid w:val="000F5FC6"/>
    <w:rsid w:val="000F6E6B"/>
    <w:rsid w:val="000F78F0"/>
    <w:rsid w:val="00100BC1"/>
    <w:rsid w:val="00101719"/>
    <w:rsid w:val="00101D5D"/>
    <w:rsid w:val="00105263"/>
    <w:rsid w:val="0010743C"/>
    <w:rsid w:val="00110BCF"/>
    <w:rsid w:val="00111B81"/>
    <w:rsid w:val="00111FC1"/>
    <w:rsid w:val="00112CB5"/>
    <w:rsid w:val="00113063"/>
    <w:rsid w:val="00113BFA"/>
    <w:rsid w:val="001159BE"/>
    <w:rsid w:val="00124266"/>
    <w:rsid w:val="00126B0D"/>
    <w:rsid w:val="001277E2"/>
    <w:rsid w:val="00130241"/>
    <w:rsid w:val="00130471"/>
    <w:rsid w:val="0013085D"/>
    <w:rsid w:val="00131354"/>
    <w:rsid w:val="00131A85"/>
    <w:rsid w:val="00135CA3"/>
    <w:rsid w:val="00135F0E"/>
    <w:rsid w:val="00136995"/>
    <w:rsid w:val="00142748"/>
    <w:rsid w:val="001429DF"/>
    <w:rsid w:val="00144488"/>
    <w:rsid w:val="00144D0A"/>
    <w:rsid w:val="00147547"/>
    <w:rsid w:val="00147DE1"/>
    <w:rsid w:val="00150D1A"/>
    <w:rsid w:val="00151641"/>
    <w:rsid w:val="0015189D"/>
    <w:rsid w:val="001519D1"/>
    <w:rsid w:val="00152247"/>
    <w:rsid w:val="001529D9"/>
    <w:rsid w:val="001540B6"/>
    <w:rsid w:val="00157DE5"/>
    <w:rsid w:val="00161BC3"/>
    <w:rsid w:val="00163478"/>
    <w:rsid w:val="00163981"/>
    <w:rsid w:val="00165038"/>
    <w:rsid w:val="00165C75"/>
    <w:rsid w:val="00165DB6"/>
    <w:rsid w:val="001672FD"/>
    <w:rsid w:val="00167469"/>
    <w:rsid w:val="001676AF"/>
    <w:rsid w:val="001677E8"/>
    <w:rsid w:val="001679F8"/>
    <w:rsid w:val="00167F31"/>
    <w:rsid w:val="001700F0"/>
    <w:rsid w:val="00171D1F"/>
    <w:rsid w:val="00172FD6"/>
    <w:rsid w:val="00173BD5"/>
    <w:rsid w:val="00174986"/>
    <w:rsid w:val="001768BB"/>
    <w:rsid w:val="00176B28"/>
    <w:rsid w:val="00176E1D"/>
    <w:rsid w:val="00177E2F"/>
    <w:rsid w:val="0018001E"/>
    <w:rsid w:val="00181C32"/>
    <w:rsid w:val="00182A36"/>
    <w:rsid w:val="00182CC1"/>
    <w:rsid w:val="00183018"/>
    <w:rsid w:val="00183378"/>
    <w:rsid w:val="00184028"/>
    <w:rsid w:val="00186B46"/>
    <w:rsid w:val="001870F1"/>
    <w:rsid w:val="00187C8B"/>
    <w:rsid w:val="00190CEF"/>
    <w:rsid w:val="001911E8"/>
    <w:rsid w:val="00191366"/>
    <w:rsid w:val="00192109"/>
    <w:rsid w:val="00192929"/>
    <w:rsid w:val="00192CC7"/>
    <w:rsid w:val="001931E1"/>
    <w:rsid w:val="00193711"/>
    <w:rsid w:val="00193A58"/>
    <w:rsid w:val="00193BA6"/>
    <w:rsid w:val="00194353"/>
    <w:rsid w:val="001958CF"/>
    <w:rsid w:val="001959BE"/>
    <w:rsid w:val="00196173"/>
    <w:rsid w:val="00196335"/>
    <w:rsid w:val="00197190"/>
    <w:rsid w:val="00197ED1"/>
    <w:rsid w:val="001A00B6"/>
    <w:rsid w:val="001A171A"/>
    <w:rsid w:val="001A1C37"/>
    <w:rsid w:val="001A5D8D"/>
    <w:rsid w:val="001A684D"/>
    <w:rsid w:val="001A6A50"/>
    <w:rsid w:val="001B0B11"/>
    <w:rsid w:val="001B111F"/>
    <w:rsid w:val="001B2B4E"/>
    <w:rsid w:val="001B2E4B"/>
    <w:rsid w:val="001B4363"/>
    <w:rsid w:val="001B4E6E"/>
    <w:rsid w:val="001B4E98"/>
    <w:rsid w:val="001B6120"/>
    <w:rsid w:val="001B62B0"/>
    <w:rsid w:val="001B7379"/>
    <w:rsid w:val="001C0645"/>
    <w:rsid w:val="001C08F9"/>
    <w:rsid w:val="001C22A8"/>
    <w:rsid w:val="001C2418"/>
    <w:rsid w:val="001C2DB2"/>
    <w:rsid w:val="001C4353"/>
    <w:rsid w:val="001C48C4"/>
    <w:rsid w:val="001C58E2"/>
    <w:rsid w:val="001C68F0"/>
    <w:rsid w:val="001C6D0F"/>
    <w:rsid w:val="001C7830"/>
    <w:rsid w:val="001C7834"/>
    <w:rsid w:val="001C78A7"/>
    <w:rsid w:val="001D044F"/>
    <w:rsid w:val="001D0572"/>
    <w:rsid w:val="001D068A"/>
    <w:rsid w:val="001D0C91"/>
    <w:rsid w:val="001D4328"/>
    <w:rsid w:val="001D56E1"/>
    <w:rsid w:val="001D6A81"/>
    <w:rsid w:val="001D741D"/>
    <w:rsid w:val="001E02D3"/>
    <w:rsid w:val="001E21CC"/>
    <w:rsid w:val="001E239F"/>
    <w:rsid w:val="001F0211"/>
    <w:rsid w:val="001F1761"/>
    <w:rsid w:val="001F2111"/>
    <w:rsid w:val="001F4789"/>
    <w:rsid w:val="001F7231"/>
    <w:rsid w:val="00200F6A"/>
    <w:rsid w:val="002037F5"/>
    <w:rsid w:val="002052E0"/>
    <w:rsid w:val="00206521"/>
    <w:rsid w:val="00206B47"/>
    <w:rsid w:val="00207528"/>
    <w:rsid w:val="002109C1"/>
    <w:rsid w:val="002128CB"/>
    <w:rsid w:val="00214A03"/>
    <w:rsid w:val="00216D31"/>
    <w:rsid w:val="002175B1"/>
    <w:rsid w:val="0022034F"/>
    <w:rsid w:val="00220664"/>
    <w:rsid w:val="002206B1"/>
    <w:rsid w:val="00220FD2"/>
    <w:rsid w:val="00221828"/>
    <w:rsid w:val="00221C7D"/>
    <w:rsid w:val="002220E5"/>
    <w:rsid w:val="002226CF"/>
    <w:rsid w:val="00222FF9"/>
    <w:rsid w:val="00223B43"/>
    <w:rsid w:val="002246FD"/>
    <w:rsid w:val="00224AEF"/>
    <w:rsid w:val="00224B56"/>
    <w:rsid w:val="00225BB0"/>
    <w:rsid w:val="00226FE8"/>
    <w:rsid w:val="00230EE2"/>
    <w:rsid w:val="002312DF"/>
    <w:rsid w:val="00231B36"/>
    <w:rsid w:val="00232BB5"/>
    <w:rsid w:val="00234351"/>
    <w:rsid w:val="00234BEB"/>
    <w:rsid w:val="002366B4"/>
    <w:rsid w:val="00236CA3"/>
    <w:rsid w:val="00240175"/>
    <w:rsid w:val="0024241F"/>
    <w:rsid w:val="002426A7"/>
    <w:rsid w:val="00242768"/>
    <w:rsid w:val="00242901"/>
    <w:rsid w:val="00242F6F"/>
    <w:rsid w:val="002437BD"/>
    <w:rsid w:val="00244045"/>
    <w:rsid w:val="00244C6B"/>
    <w:rsid w:val="002450D1"/>
    <w:rsid w:val="00245748"/>
    <w:rsid w:val="002457CB"/>
    <w:rsid w:val="00247BBE"/>
    <w:rsid w:val="00247EFC"/>
    <w:rsid w:val="00252DE5"/>
    <w:rsid w:val="00253864"/>
    <w:rsid w:val="00253D1D"/>
    <w:rsid w:val="00253D48"/>
    <w:rsid w:val="00253D89"/>
    <w:rsid w:val="00254940"/>
    <w:rsid w:val="00254DFD"/>
    <w:rsid w:val="00255A71"/>
    <w:rsid w:val="00255B04"/>
    <w:rsid w:val="00255B0B"/>
    <w:rsid w:val="00256817"/>
    <w:rsid w:val="00256B3D"/>
    <w:rsid w:val="0025707F"/>
    <w:rsid w:val="002615B5"/>
    <w:rsid w:val="00262459"/>
    <w:rsid w:val="00262B6B"/>
    <w:rsid w:val="00262E49"/>
    <w:rsid w:val="002642D1"/>
    <w:rsid w:val="00266BF5"/>
    <w:rsid w:val="00266D9B"/>
    <w:rsid w:val="00266DF8"/>
    <w:rsid w:val="002677C7"/>
    <w:rsid w:val="002709E2"/>
    <w:rsid w:val="002711F1"/>
    <w:rsid w:val="002716EE"/>
    <w:rsid w:val="00272C7B"/>
    <w:rsid w:val="00273427"/>
    <w:rsid w:val="0027368D"/>
    <w:rsid w:val="002743FB"/>
    <w:rsid w:val="00280896"/>
    <w:rsid w:val="002816A7"/>
    <w:rsid w:val="00281A8E"/>
    <w:rsid w:val="00281D99"/>
    <w:rsid w:val="00281EBA"/>
    <w:rsid w:val="00282FE8"/>
    <w:rsid w:val="00283CA5"/>
    <w:rsid w:val="00286A79"/>
    <w:rsid w:val="00291430"/>
    <w:rsid w:val="00292D81"/>
    <w:rsid w:val="00292E64"/>
    <w:rsid w:val="002938F8"/>
    <w:rsid w:val="002945D7"/>
    <w:rsid w:val="002948F2"/>
    <w:rsid w:val="00294F86"/>
    <w:rsid w:val="0029597D"/>
    <w:rsid w:val="00295FE6"/>
    <w:rsid w:val="00296C2F"/>
    <w:rsid w:val="00297B56"/>
    <w:rsid w:val="002A0EF7"/>
    <w:rsid w:val="002A2463"/>
    <w:rsid w:val="002A34EA"/>
    <w:rsid w:val="002A35CB"/>
    <w:rsid w:val="002A505E"/>
    <w:rsid w:val="002A7DAE"/>
    <w:rsid w:val="002B0981"/>
    <w:rsid w:val="002B1C6D"/>
    <w:rsid w:val="002B1DC4"/>
    <w:rsid w:val="002B3ED8"/>
    <w:rsid w:val="002B4DB8"/>
    <w:rsid w:val="002B51D1"/>
    <w:rsid w:val="002B6242"/>
    <w:rsid w:val="002B6B9E"/>
    <w:rsid w:val="002B7D86"/>
    <w:rsid w:val="002C08AB"/>
    <w:rsid w:val="002C34F4"/>
    <w:rsid w:val="002C3B8C"/>
    <w:rsid w:val="002C4FC1"/>
    <w:rsid w:val="002C550A"/>
    <w:rsid w:val="002C6297"/>
    <w:rsid w:val="002D15F7"/>
    <w:rsid w:val="002D6351"/>
    <w:rsid w:val="002D6A60"/>
    <w:rsid w:val="002D6BDE"/>
    <w:rsid w:val="002D7980"/>
    <w:rsid w:val="002E1BED"/>
    <w:rsid w:val="002E1E58"/>
    <w:rsid w:val="002E444C"/>
    <w:rsid w:val="002E4C2C"/>
    <w:rsid w:val="002E7631"/>
    <w:rsid w:val="002F0622"/>
    <w:rsid w:val="002F4966"/>
    <w:rsid w:val="002F4C5A"/>
    <w:rsid w:val="002F631D"/>
    <w:rsid w:val="003010D5"/>
    <w:rsid w:val="00302017"/>
    <w:rsid w:val="00304664"/>
    <w:rsid w:val="003046BB"/>
    <w:rsid w:val="00304E19"/>
    <w:rsid w:val="00306030"/>
    <w:rsid w:val="003067C8"/>
    <w:rsid w:val="00306AC1"/>
    <w:rsid w:val="00307036"/>
    <w:rsid w:val="00307A90"/>
    <w:rsid w:val="00311938"/>
    <w:rsid w:val="0031204A"/>
    <w:rsid w:val="00312D17"/>
    <w:rsid w:val="00312EEE"/>
    <w:rsid w:val="00320DF3"/>
    <w:rsid w:val="003225F0"/>
    <w:rsid w:val="00322FB7"/>
    <w:rsid w:val="003235D4"/>
    <w:rsid w:val="0032376F"/>
    <w:rsid w:val="00324253"/>
    <w:rsid w:val="00324B5A"/>
    <w:rsid w:val="003305FF"/>
    <w:rsid w:val="00330F9B"/>
    <w:rsid w:val="0033308C"/>
    <w:rsid w:val="00333826"/>
    <w:rsid w:val="00333F4D"/>
    <w:rsid w:val="00334C51"/>
    <w:rsid w:val="00334E7B"/>
    <w:rsid w:val="003352E4"/>
    <w:rsid w:val="003412D5"/>
    <w:rsid w:val="00341AAE"/>
    <w:rsid w:val="00342210"/>
    <w:rsid w:val="00343048"/>
    <w:rsid w:val="00343D13"/>
    <w:rsid w:val="003441A2"/>
    <w:rsid w:val="00345F00"/>
    <w:rsid w:val="003462B7"/>
    <w:rsid w:val="003466E1"/>
    <w:rsid w:val="00346966"/>
    <w:rsid w:val="00347D32"/>
    <w:rsid w:val="00351FBF"/>
    <w:rsid w:val="00352084"/>
    <w:rsid w:val="00352DE2"/>
    <w:rsid w:val="00353A72"/>
    <w:rsid w:val="00355AC2"/>
    <w:rsid w:val="00355D50"/>
    <w:rsid w:val="00356896"/>
    <w:rsid w:val="00356DC0"/>
    <w:rsid w:val="00357BF3"/>
    <w:rsid w:val="00357D8F"/>
    <w:rsid w:val="00357E4C"/>
    <w:rsid w:val="00360383"/>
    <w:rsid w:val="0036062A"/>
    <w:rsid w:val="00362AAE"/>
    <w:rsid w:val="00362C86"/>
    <w:rsid w:val="003636DA"/>
    <w:rsid w:val="00363DA1"/>
    <w:rsid w:val="00363E4E"/>
    <w:rsid w:val="00364456"/>
    <w:rsid w:val="00365E15"/>
    <w:rsid w:val="00366F6B"/>
    <w:rsid w:val="00370287"/>
    <w:rsid w:val="0037071E"/>
    <w:rsid w:val="00370BDE"/>
    <w:rsid w:val="00371430"/>
    <w:rsid w:val="00371548"/>
    <w:rsid w:val="00371D68"/>
    <w:rsid w:val="00371F96"/>
    <w:rsid w:val="00374B78"/>
    <w:rsid w:val="00374CA5"/>
    <w:rsid w:val="0037714B"/>
    <w:rsid w:val="00377189"/>
    <w:rsid w:val="003801A2"/>
    <w:rsid w:val="0038056D"/>
    <w:rsid w:val="00381926"/>
    <w:rsid w:val="00382D97"/>
    <w:rsid w:val="00382FCC"/>
    <w:rsid w:val="00384BB9"/>
    <w:rsid w:val="0038588F"/>
    <w:rsid w:val="00385E37"/>
    <w:rsid w:val="003864E7"/>
    <w:rsid w:val="00387070"/>
    <w:rsid w:val="003878CF"/>
    <w:rsid w:val="00387FE2"/>
    <w:rsid w:val="0039001A"/>
    <w:rsid w:val="003904E7"/>
    <w:rsid w:val="003911C1"/>
    <w:rsid w:val="00391460"/>
    <w:rsid w:val="00391DCB"/>
    <w:rsid w:val="00397513"/>
    <w:rsid w:val="003A0584"/>
    <w:rsid w:val="003A0AB2"/>
    <w:rsid w:val="003A148B"/>
    <w:rsid w:val="003A1BEC"/>
    <w:rsid w:val="003A1CF3"/>
    <w:rsid w:val="003A3699"/>
    <w:rsid w:val="003A3E14"/>
    <w:rsid w:val="003A4E25"/>
    <w:rsid w:val="003A554E"/>
    <w:rsid w:val="003B0910"/>
    <w:rsid w:val="003B093D"/>
    <w:rsid w:val="003B0DD6"/>
    <w:rsid w:val="003B0EFF"/>
    <w:rsid w:val="003B2A6A"/>
    <w:rsid w:val="003B4FA2"/>
    <w:rsid w:val="003B6124"/>
    <w:rsid w:val="003B7002"/>
    <w:rsid w:val="003B7A4A"/>
    <w:rsid w:val="003B7A86"/>
    <w:rsid w:val="003B7AE4"/>
    <w:rsid w:val="003C0813"/>
    <w:rsid w:val="003C6636"/>
    <w:rsid w:val="003D109E"/>
    <w:rsid w:val="003D223C"/>
    <w:rsid w:val="003D4261"/>
    <w:rsid w:val="003D4AA5"/>
    <w:rsid w:val="003D4B40"/>
    <w:rsid w:val="003D4B5E"/>
    <w:rsid w:val="003D5142"/>
    <w:rsid w:val="003D5393"/>
    <w:rsid w:val="003D5B2B"/>
    <w:rsid w:val="003D615A"/>
    <w:rsid w:val="003D640A"/>
    <w:rsid w:val="003D6C1E"/>
    <w:rsid w:val="003D6EFF"/>
    <w:rsid w:val="003D70AB"/>
    <w:rsid w:val="003E292C"/>
    <w:rsid w:val="003E2DD9"/>
    <w:rsid w:val="003E2FFA"/>
    <w:rsid w:val="003E346F"/>
    <w:rsid w:val="003E459F"/>
    <w:rsid w:val="003E5594"/>
    <w:rsid w:val="003E6521"/>
    <w:rsid w:val="003E7988"/>
    <w:rsid w:val="003E7ED3"/>
    <w:rsid w:val="003F1C15"/>
    <w:rsid w:val="003F49FD"/>
    <w:rsid w:val="003F5C7A"/>
    <w:rsid w:val="003F629F"/>
    <w:rsid w:val="003F7C2F"/>
    <w:rsid w:val="00402157"/>
    <w:rsid w:val="00402DD2"/>
    <w:rsid w:val="00405A4B"/>
    <w:rsid w:val="00405B90"/>
    <w:rsid w:val="00405F77"/>
    <w:rsid w:val="0040654E"/>
    <w:rsid w:val="00407143"/>
    <w:rsid w:val="004079C3"/>
    <w:rsid w:val="00407C89"/>
    <w:rsid w:val="004106EE"/>
    <w:rsid w:val="0041087E"/>
    <w:rsid w:val="00414C67"/>
    <w:rsid w:val="00415222"/>
    <w:rsid w:val="004169E8"/>
    <w:rsid w:val="004218CE"/>
    <w:rsid w:val="00421B54"/>
    <w:rsid w:val="00423356"/>
    <w:rsid w:val="0042378B"/>
    <w:rsid w:val="004240F1"/>
    <w:rsid w:val="004255C6"/>
    <w:rsid w:val="004257F4"/>
    <w:rsid w:val="00426692"/>
    <w:rsid w:val="00426A9B"/>
    <w:rsid w:val="0042718D"/>
    <w:rsid w:val="004337BB"/>
    <w:rsid w:val="00433CFA"/>
    <w:rsid w:val="00435463"/>
    <w:rsid w:val="004354BE"/>
    <w:rsid w:val="004358B8"/>
    <w:rsid w:val="00435DEA"/>
    <w:rsid w:val="00441CA6"/>
    <w:rsid w:val="0044277F"/>
    <w:rsid w:val="00442AEB"/>
    <w:rsid w:val="00445B87"/>
    <w:rsid w:val="00445E75"/>
    <w:rsid w:val="00447753"/>
    <w:rsid w:val="0045197B"/>
    <w:rsid w:val="004531CF"/>
    <w:rsid w:val="00453FB8"/>
    <w:rsid w:val="004542BE"/>
    <w:rsid w:val="00454D76"/>
    <w:rsid w:val="00456E3E"/>
    <w:rsid w:val="004608C1"/>
    <w:rsid w:val="00460985"/>
    <w:rsid w:val="00462E17"/>
    <w:rsid w:val="00463061"/>
    <w:rsid w:val="004661BA"/>
    <w:rsid w:val="00466DD3"/>
    <w:rsid w:val="004670D8"/>
    <w:rsid w:val="00470FAC"/>
    <w:rsid w:val="00471AB1"/>
    <w:rsid w:val="00472437"/>
    <w:rsid w:val="00472438"/>
    <w:rsid w:val="00472E3C"/>
    <w:rsid w:val="00473DE9"/>
    <w:rsid w:val="00473E52"/>
    <w:rsid w:val="004745FA"/>
    <w:rsid w:val="004757F3"/>
    <w:rsid w:val="00476D08"/>
    <w:rsid w:val="004809D6"/>
    <w:rsid w:val="00481C28"/>
    <w:rsid w:val="00482139"/>
    <w:rsid w:val="00483ED6"/>
    <w:rsid w:val="00485A18"/>
    <w:rsid w:val="0048605B"/>
    <w:rsid w:val="004875B7"/>
    <w:rsid w:val="00490578"/>
    <w:rsid w:val="00490ED0"/>
    <w:rsid w:val="00491EB7"/>
    <w:rsid w:val="00494AEF"/>
    <w:rsid w:val="00494E6B"/>
    <w:rsid w:val="00495E9C"/>
    <w:rsid w:val="00496AD0"/>
    <w:rsid w:val="00497659"/>
    <w:rsid w:val="004976A2"/>
    <w:rsid w:val="00497792"/>
    <w:rsid w:val="004A1479"/>
    <w:rsid w:val="004A1CA0"/>
    <w:rsid w:val="004A2C86"/>
    <w:rsid w:val="004A351D"/>
    <w:rsid w:val="004A3EBA"/>
    <w:rsid w:val="004A50D2"/>
    <w:rsid w:val="004A511C"/>
    <w:rsid w:val="004A76BD"/>
    <w:rsid w:val="004B0C05"/>
    <w:rsid w:val="004B217A"/>
    <w:rsid w:val="004B41AE"/>
    <w:rsid w:val="004B4CE8"/>
    <w:rsid w:val="004B54D7"/>
    <w:rsid w:val="004B619A"/>
    <w:rsid w:val="004C189F"/>
    <w:rsid w:val="004C1B77"/>
    <w:rsid w:val="004C2FBA"/>
    <w:rsid w:val="004C4148"/>
    <w:rsid w:val="004C6A65"/>
    <w:rsid w:val="004C7467"/>
    <w:rsid w:val="004D17D2"/>
    <w:rsid w:val="004D1C39"/>
    <w:rsid w:val="004D4CFC"/>
    <w:rsid w:val="004D6EC1"/>
    <w:rsid w:val="004E1DC2"/>
    <w:rsid w:val="004E2567"/>
    <w:rsid w:val="004E2CB9"/>
    <w:rsid w:val="004E5898"/>
    <w:rsid w:val="004E5F65"/>
    <w:rsid w:val="004E6F1D"/>
    <w:rsid w:val="004F1139"/>
    <w:rsid w:val="004F62D5"/>
    <w:rsid w:val="005005AF"/>
    <w:rsid w:val="00501D5B"/>
    <w:rsid w:val="00502F36"/>
    <w:rsid w:val="005033B4"/>
    <w:rsid w:val="005034FD"/>
    <w:rsid w:val="005047AC"/>
    <w:rsid w:val="00504E31"/>
    <w:rsid w:val="00504E3F"/>
    <w:rsid w:val="005064E2"/>
    <w:rsid w:val="0050776D"/>
    <w:rsid w:val="00510E0E"/>
    <w:rsid w:val="00510EA1"/>
    <w:rsid w:val="00511488"/>
    <w:rsid w:val="00512164"/>
    <w:rsid w:val="00513749"/>
    <w:rsid w:val="00515674"/>
    <w:rsid w:val="00515B44"/>
    <w:rsid w:val="005161C9"/>
    <w:rsid w:val="00516545"/>
    <w:rsid w:val="00516618"/>
    <w:rsid w:val="00517ECF"/>
    <w:rsid w:val="00520CB6"/>
    <w:rsid w:val="00520FD1"/>
    <w:rsid w:val="00521B61"/>
    <w:rsid w:val="00522AB7"/>
    <w:rsid w:val="00523337"/>
    <w:rsid w:val="0052395D"/>
    <w:rsid w:val="00523F79"/>
    <w:rsid w:val="00525520"/>
    <w:rsid w:val="00525683"/>
    <w:rsid w:val="00526CCD"/>
    <w:rsid w:val="005313EC"/>
    <w:rsid w:val="0053170A"/>
    <w:rsid w:val="00532317"/>
    <w:rsid w:val="00533298"/>
    <w:rsid w:val="005378B8"/>
    <w:rsid w:val="0054034A"/>
    <w:rsid w:val="00541486"/>
    <w:rsid w:val="00542234"/>
    <w:rsid w:val="00542643"/>
    <w:rsid w:val="00543CBC"/>
    <w:rsid w:val="0054410F"/>
    <w:rsid w:val="0054423B"/>
    <w:rsid w:val="00544AB2"/>
    <w:rsid w:val="005450CC"/>
    <w:rsid w:val="00546297"/>
    <w:rsid w:val="00546777"/>
    <w:rsid w:val="00547827"/>
    <w:rsid w:val="00547B74"/>
    <w:rsid w:val="0055129D"/>
    <w:rsid w:val="00551420"/>
    <w:rsid w:val="00551B37"/>
    <w:rsid w:val="005565CA"/>
    <w:rsid w:val="00557013"/>
    <w:rsid w:val="00560391"/>
    <w:rsid w:val="005622B3"/>
    <w:rsid w:val="00562842"/>
    <w:rsid w:val="00562F1B"/>
    <w:rsid w:val="00562FD8"/>
    <w:rsid w:val="0056730B"/>
    <w:rsid w:val="00571F0D"/>
    <w:rsid w:val="00572128"/>
    <w:rsid w:val="0057261B"/>
    <w:rsid w:val="00572E6D"/>
    <w:rsid w:val="005730C6"/>
    <w:rsid w:val="0057324F"/>
    <w:rsid w:val="00573A74"/>
    <w:rsid w:val="00575426"/>
    <w:rsid w:val="00577424"/>
    <w:rsid w:val="0057797C"/>
    <w:rsid w:val="00577D86"/>
    <w:rsid w:val="00581533"/>
    <w:rsid w:val="00582727"/>
    <w:rsid w:val="005841D6"/>
    <w:rsid w:val="00584BB8"/>
    <w:rsid w:val="00586A55"/>
    <w:rsid w:val="00586F3E"/>
    <w:rsid w:val="005871D5"/>
    <w:rsid w:val="00590958"/>
    <w:rsid w:val="00590B6E"/>
    <w:rsid w:val="0059393F"/>
    <w:rsid w:val="00594323"/>
    <w:rsid w:val="00594AE1"/>
    <w:rsid w:val="0059723E"/>
    <w:rsid w:val="005A051D"/>
    <w:rsid w:val="005A1DB6"/>
    <w:rsid w:val="005A32D2"/>
    <w:rsid w:val="005A58F4"/>
    <w:rsid w:val="005A71AF"/>
    <w:rsid w:val="005B058A"/>
    <w:rsid w:val="005B14C6"/>
    <w:rsid w:val="005B3024"/>
    <w:rsid w:val="005B41DE"/>
    <w:rsid w:val="005B647E"/>
    <w:rsid w:val="005B6650"/>
    <w:rsid w:val="005B7146"/>
    <w:rsid w:val="005B722B"/>
    <w:rsid w:val="005B7915"/>
    <w:rsid w:val="005B7C8D"/>
    <w:rsid w:val="005C10E1"/>
    <w:rsid w:val="005C12B8"/>
    <w:rsid w:val="005C132B"/>
    <w:rsid w:val="005C21B2"/>
    <w:rsid w:val="005C28D3"/>
    <w:rsid w:val="005C43D4"/>
    <w:rsid w:val="005C48C5"/>
    <w:rsid w:val="005C4BD0"/>
    <w:rsid w:val="005C5288"/>
    <w:rsid w:val="005D0E1E"/>
    <w:rsid w:val="005D24C5"/>
    <w:rsid w:val="005D2904"/>
    <w:rsid w:val="005D2BC4"/>
    <w:rsid w:val="005D3C8A"/>
    <w:rsid w:val="005D4491"/>
    <w:rsid w:val="005E1FB3"/>
    <w:rsid w:val="005E2585"/>
    <w:rsid w:val="005E2A43"/>
    <w:rsid w:val="005E3B9D"/>
    <w:rsid w:val="005E3FA6"/>
    <w:rsid w:val="005E5E0B"/>
    <w:rsid w:val="005E7102"/>
    <w:rsid w:val="005F1F87"/>
    <w:rsid w:val="005F3A55"/>
    <w:rsid w:val="005F6CD1"/>
    <w:rsid w:val="005F7C71"/>
    <w:rsid w:val="006011AB"/>
    <w:rsid w:val="00601B5C"/>
    <w:rsid w:val="00604629"/>
    <w:rsid w:val="00605E4C"/>
    <w:rsid w:val="00607C7E"/>
    <w:rsid w:val="00607E0F"/>
    <w:rsid w:val="00610662"/>
    <w:rsid w:val="00611375"/>
    <w:rsid w:val="00612A22"/>
    <w:rsid w:val="00615156"/>
    <w:rsid w:val="006155A6"/>
    <w:rsid w:val="0061638D"/>
    <w:rsid w:val="006169FB"/>
    <w:rsid w:val="00617078"/>
    <w:rsid w:val="00617234"/>
    <w:rsid w:val="00617AD6"/>
    <w:rsid w:val="00617C28"/>
    <w:rsid w:val="006200ED"/>
    <w:rsid w:val="00620BE0"/>
    <w:rsid w:val="00621818"/>
    <w:rsid w:val="00622335"/>
    <w:rsid w:val="006248AB"/>
    <w:rsid w:val="00625591"/>
    <w:rsid w:val="00625719"/>
    <w:rsid w:val="00625EAA"/>
    <w:rsid w:val="006324FF"/>
    <w:rsid w:val="00632C54"/>
    <w:rsid w:val="006331DB"/>
    <w:rsid w:val="0063575D"/>
    <w:rsid w:val="00636FAC"/>
    <w:rsid w:val="00637087"/>
    <w:rsid w:val="00637117"/>
    <w:rsid w:val="00637AFF"/>
    <w:rsid w:val="00640D9F"/>
    <w:rsid w:val="00640F1C"/>
    <w:rsid w:val="00641BF7"/>
    <w:rsid w:val="00643048"/>
    <w:rsid w:val="006443FB"/>
    <w:rsid w:val="006449E0"/>
    <w:rsid w:val="00645938"/>
    <w:rsid w:val="00645E96"/>
    <w:rsid w:val="00646BED"/>
    <w:rsid w:val="00650A7B"/>
    <w:rsid w:val="00650E20"/>
    <w:rsid w:val="006537C9"/>
    <w:rsid w:val="0065571E"/>
    <w:rsid w:val="00657415"/>
    <w:rsid w:val="00660769"/>
    <w:rsid w:val="006616D2"/>
    <w:rsid w:val="006623AF"/>
    <w:rsid w:val="00663775"/>
    <w:rsid w:val="00663E15"/>
    <w:rsid w:val="00664CD9"/>
    <w:rsid w:val="0066505C"/>
    <w:rsid w:val="0066755D"/>
    <w:rsid w:val="006714FD"/>
    <w:rsid w:val="006717CE"/>
    <w:rsid w:val="0067377D"/>
    <w:rsid w:val="00673F0C"/>
    <w:rsid w:val="00674C59"/>
    <w:rsid w:val="00674E9D"/>
    <w:rsid w:val="0067667F"/>
    <w:rsid w:val="00676ACF"/>
    <w:rsid w:val="00676DDE"/>
    <w:rsid w:val="00677057"/>
    <w:rsid w:val="00680BBD"/>
    <w:rsid w:val="00680D2E"/>
    <w:rsid w:val="00681B83"/>
    <w:rsid w:val="00682046"/>
    <w:rsid w:val="00682C65"/>
    <w:rsid w:val="00683805"/>
    <w:rsid w:val="00683C59"/>
    <w:rsid w:val="0068643E"/>
    <w:rsid w:val="00686D1B"/>
    <w:rsid w:val="006907AC"/>
    <w:rsid w:val="0069111D"/>
    <w:rsid w:val="00692970"/>
    <w:rsid w:val="00693C31"/>
    <w:rsid w:val="0069438C"/>
    <w:rsid w:val="0069566D"/>
    <w:rsid w:val="00695D35"/>
    <w:rsid w:val="006962DE"/>
    <w:rsid w:val="00696736"/>
    <w:rsid w:val="00697F79"/>
    <w:rsid w:val="006A03CA"/>
    <w:rsid w:val="006A06BD"/>
    <w:rsid w:val="006A0E7B"/>
    <w:rsid w:val="006A1BD6"/>
    <w:rsid w:val="006A289D"/>
    <w:rsid w:val="006A356C"/>
    <w:rsid w:val="006A4444"/>
    <w:rsid w:val="006A467D"/>
    <w:rsid w:val="006A51EA"/>
    <w:rsid w:val="006A5CB4"/>
    <w:rsid w:val="006A5CE8"/>
    <w:rsid w:val="006A7720"/>
    <w:rsid w:val="006A7DDC"/>
    <w:rsid w:val="006A7FC4"/>
    <w:rsid w:val="006B06DF"/>
    <w:rsid w:val="006B0AB1"/>
    <w:rsid w:val="006B0AE9"/>
    <w:rsid w:val="006B2F1E"/>
    <w:rsid w:val="006B326B"/>
    <w:rsid w:val="006B3310"/>
    <w:rsid w:val="006B474F"/>
    <w:rsid w:val="006B5FFD"/>
    <w:rsid w:val="006B679F"/>
    <w:rsid w:val="006B71CA"/>
    <w:rsid w:val="006C2A83"/>
    <w:rsid w:val="006C2F42"/>
    <w:rsid w:val="006C3592"/>
    <w:rsid w:val="006C4564"/>
    <w:rsid w:val="006C4C0D"/>
    <w:rsid w:val="006C6DF2"/>
    <w:rsid w:val="006C7A0A"/>
    <w:rsid w:val="006D0EDE"/>
    <w:rsid w:val="006D1714"/>
    <w:rsid w:val="006D1B3F"/>
    <w:rsid w:val="006D1F3D"/>
    <w:rsid w:val="006D2628"/>
    <w:rsid w:val="006D3147"/>
    <w:rsid w:val="006D3D99"/>
    <w:rsid w:val="006D60FB"/>
    <w:rsid w:val="006E19B8"/>
    <w:rsid w:val="006E2CAA"/>
    <w:rsid w:val="006E55E7"/>
    <w:rsid w:val="006E6B19"/>
    <w:rsid w:val="006E7996"/>
    <w:rsid w:val="006F1E1B"/>
    <w:rsid w:val="006F3484"/>
    <w:rsid w:val="006F3C1F"/>
    <w:rsid w:val="006F4BDD"/>
    <w:rsid w:val="006F53F1"/>
    <w:rsid w:val="006F5429"/>
    <w:rsid w:val="006F5ACC"/>
    <w:rsid w:val="006F5FAE"/>
    <w:rsid w:val="006F6498"/>
    <w:rsid w:val="006F7529"/>
    <w:rsid w:val="006F7790"/>
    <w:rsid w:val="006F7F7F"/>
    <w:rsid w:val="007003FD"/>
    <w:rsid w:val="007042D7"/>
    <w:rsid w:val="0070463D"/>
    <w:rsid w:val="00706604"/>
    <w:rsid w:val="00707157"/>
    <w:rsid w:val="00707807"/>
    <w:rsid w:val="00713DFA"/>
    <w:rsid w:val="00714DD7"/>
    <w:rsid w:val="00715ED9"/>
    <w:rsid w:val="007161EF"/>
    <w:rsid w:val="00716246"/>
    <w:rsid w:val="0071795F"/>
    <w:rsid w:val="00717D8D"/>
    <w:rsid w:val="00721E85"/>
    <w:rsid w:val="007221FA"/>
    <w:rsid w:val="00722407"/>
    <w:rsid w:val="00722F8B"/>
    <w:rsid w:val="00724FBE"/>
    <w:rsid w:val="00725F01"/>
    <w:rsid w:val="00726717"/>
    <w:rsid w:val="007267F2"/>
    <w:rsid w:val="00727EA3"/>
    <w:rsid w:val="007313A3"/>
    <w:rsid w:val="00731781"/>
    <w:rsid w:val="00731C57"/>
    <w:rsid w:val="00733748"/>
    <w:rsid w:val="00733C3B"/>
    <w:rsid w:val="00733D16"/>
    <w:rsid w:val="00733E5B"/>
    <w:rsid w:val="007345AE"/>
    <w:rsid w:val="00734B93"/>
    <w:rsid w:val="00735F02"/>
    <w:rsid w:val="00736F9C"/>
    <w:rsid w:val="00740069"/>
    <w:rsid w:val="00740375"/>
    <w:rsid w:val="00746024"/>
    <w:rsid w:val="007466DC"/>
    <w:rsid w:val="007476FB"/>
    <w:rsid w:val="00751972"/>
    <w:rsid w:val="007533D5"/>
    <w:rsid w:val="007555F7"/>
    <w:rsid w:val="00755659"/>
    <w:rsid w:val="007566ED"/>
    <w:rsid w:val="0075674A"/>
    <w:rsid w:val="00756C05"/>
    <w:rsid w:val="00760542"/>
    <w:rsid w:val="0076083E"/>
    <w:rsid w:val="00763DA5"/>
    <w:rsid w:val="007642F7"/>
    <w:rsid w:val="00765441"/>
    <w:rsid w:val="00766E9F"/>
    <w:rsid w:val="00770B2C"/>
    <w:rsid w:val="00771E17"/>
    <w:rsid w:val="00772072"/>
    <w:rsid w:val="007733CC"/>
    <w:rsid w:val="007740F8"/>
    <w:rsid w:val="0077569A"/>
    <w:rsid w:val="00775A8D"/>
    <w:rsid w:val="00776D47"/>
    <w:rsid w:val="007804C5"/>
    <w:rsid w:val="00780BE8"/>
    <w:rsid w:val="0078241B"/>
    <w:rsid w:val="007830FB"/>
    <w:rsid w:val="00783695"/>
    <w:rsid w:val="00783F53"/>
    <w:rsid w:val="00785B17"/>
    <w:rsid w:val="007866A3"/>
    <w:rsid w:val="007867D3"/>
    <w:rsid w:val="007905FF"/>
    <w:rsid w:val="007908D9"/>
    <w:rsid w:val="00790AA6"/>
    <w:rsid w:val="007924C2"/>
    <w:rsid w:val="00793ACB"/>
    <w:rsid w:val="00793BA7"/>
    <w:rsid w:val="007948D0"/>
    <w:rsid w:val="007A1E3D"/>
    <w:rsid w:val="007A2E76"/>
    <w:rsid w:val="007A3513"/>
    <w:rsid w:val="007A4829"/>
    <w:rsid w:val="007B074C"/>
    <w:rsid w:val="007B0EA1"/>
    <w:rsid w:val="007B1688"/>
    <w:rsid w:val="007B1953"/>
    <w:rsid w:val="007B1EB3"/>
    <w:rsid w:val="007B21FD"/>
    <w:rsid w:val="007B254F"/>
    <w:rsid w:val="007B4CBB"/>
    <w:rsid w:val="007B4E64"/>
    <w:rsid w:val="007B4FC8"/>
    <w:rsid w:val="007B72CE"/>
    <w:rsid w:val="007C0FD2"/>
    <w:rsid w:val="007C13F2"/>
    <w:rsid w:val="007C272F"/>
    <w:rsid w:val="007C301D"/>
    <w:rsid w:val="007C3C27"/>
    <w:rsid w:val="007C457E"/>
    <w:rsid w:val="007C63B3"/>
    <w:rsid w:val="007D1ADF"/>
    <w:rsid w:val="007D1E09"/>
    <w:rsid w:val="007D1F52"/>
    <w:rsid w:val="007D27A0"/>
    <w:rsid w:val="007D4BDB"/>
    <w:rsid w:val="007D5A3E"/>
    <w:rsid w:val="007D628D"/>
    <w:rsid w:val="007E107F"/>
    <w:rsid w:val="007E137A"/>
    <w:rsid w:val="007E2D92"/>
    <w:rsid w:val="007E3F2F"/>
    <w:rsid w:val="007E44FA"/>
    <w:rsid w:val="007E4996"/>
    <w:rsid w:val="007E5154"/>
    <w:rsid w:val="007E56BC"/>
    <w:rsid w:val="007E6654"/>
    <w:rsid w:val="007E7566"/>
    <w:rsid w:val="007E7726"/>
    <w:rsid w:val="007F023A"/>
    <w:rsid w:val="007F0250"/>
    <w:rsid w:val="007F05A9"/>
    <w:rsid w:val="007F2C4B"/>
    <w:rsid w:val="007F4F3B"/>
    <w:rsid w:val="007F52B7"/>
    <w:rsid w:val="007F6150"/>
    <w:rsid w:val="007F6ACB"/>
    <w:rsid w:val="007F6C65"/>
    <w:rsid w:val="007F7D6B"/>
    <w:rsid w:val="008009CE"/>
    <w:rsid w:val="00801DBE"/>
    <w:rsid w:val="008025B6"/>
    <w:rsid w:val="008052F9"/>
    <w:rsid w:val="008057B0"/>
    <w:rsid w:val="0080585E"/>
    <w:rsid w:val="00806B5A"/>
    <w:rsid w:val="008073D5"/>
    <w:rsid w:val="008075DE"/>
    <w:rsid w:val="008075E3"/>
    <w:rsid w:val="00807D27"/>
    <w:rsid w:val="00807EDB"/>
    <w:rsid w:val="008112DB"/>
    <w:rsid w:val="00811AC1"/>
    <w:rsid w:val="00812748"/>
    <w:rsid w:val="00814748"/>
    <w:rsid w:val="00815420"/>
    <w:rsid w:val="00815F39"/>
    <w:rsid w:val="008176E9"/>
    <w:rsid w:val="00817FAE"/>
    <w:rsid w:val="00820ED0"/>
    <w:rsid w:val="00821838"/>
    <w:rsid w:val="00823F20"/>
    <w:rsid w:val="00825129"/>
    <w:rsid w:val="008270C7"/>
    <w:rsid w:val="00832308"/>
    <w:rsid w:val="00833016"/>
    <w:rsid w:val="008331A7"/>
    <w:rsid w:val="008335DC"/>
    <w:rsid w:val="0083406C"/>
    <w:rsid w:val="00836312"/>
    <w:rsid w:val="0083756C"/>
    <w:rsid w:val="0083796C"/>
    <w:rsid w:val="00840DFF"/>
    <w:rsid w:val="0084195F"/>
    <w:rsid w:val="0084292D"/>
    <w:rsid w:val="00843274"/>
    <w:rsid w:val="00843A4E"/>
    <w:rsid w:val="00843C08"/>
    <w:rsid w:val="00844102"/>
    <w:rsid w:val="00847666"/>
    <w:rsid w:val="008478AC"/>
    <w:rsid w:val="00851033"/>
    <w:rsid w:val="00856677"/>
    <w:rsid w:val="0085799E"/>
    <w:rsid w:val="0086087C"/>
    <w:rsid w:val="00860C1D"/>
    <w:rsid w:val="00862679"/>
    <w:rsid w:val="00863136"/>
    <w:rsid w:val="00864D32"/>
    <w:rsid w:val="00865666"/>
    <w:rsid w:val="00865ACB"/>
    <w:rsid w:val="00865DBF"/>
    <w:rsid w:val="00867A06"/>
    <w:rsid w:val="008702AC"/>
    <w:rsid w:val="0087037A"/>
    <w:rsid w:val="00870DCA"/>
    <w:rsid w:val="00876350"/>
    <w:rsid w:val="008764B6"/>
    <w:rsid w:val="008773D2"/>
    <w:rsid w:val="008807B5"/>
    <w:rsid w:val="008814AE"/>
    <w:rsid w:val="00882567"/>
    <w:rsid w:val="008826C4"/>
    <w:rsid w:val="0088756D"/>
    <w:rsid w:val="00890955"/>
    <w:rsid w:val="00890C40"/>
    <w:rsid w:val="00890F5A"/>
    <w:rsid w:val="00892972"/>
    <w:rsid w:val="00893C49"/>
    <w:rsid w:val="0089493C"/>
    <w:rsid w:val="00894E68"/>
    <w:rsid w:val="008950F0"/>
    <w:rsid w:val="00897762"/>
    <w:rsid w:val="008A1121"/>
    <w:rsid w:val="008A186C"/>
    <w:rsid w:val="008A28C0"/>
    <w:rsid w:val="008A2EC8"/>
    <w:rsid w:val="008A34F8"/>
    <w:rsid w:val="008A4886"/>
    <w:rsid w:val="008A51F9"/>
    <w:rsid w:val="008A58D0"/>
    <w:rsid w:val="008A61ED"/>
    <w:rsid w:val="008A7CB1"/>
    <w:rsid w:val="008B1309"/>
    <w:rsid w:val="008B1D6D"/>
    <w:rsid w:val="008B326C"/>
    <w:rsid w:val="008B3419"/>
    <w:rsid w:val="008B3FDE"/>
    <w:rsid w:val="008B64DC"/>
    <w:rsid w:val="008B7782"/>
    <w:rsid w:val="008C2533"/>
    <w:rsid w:val="008C30FB"/>
    <w:rsid w:val="008C42AE"/>
    <w:rsid w:val="008C44CC"/>
    <w:rsid w:val="008C558D"/>
    <w:rsid w:val="008C7197"/>
    <w:rsid w:val="008C7DB0"/>
    <w:rsid w:val="008D3FAA"/>
    <w:rsid w:val="008E0406"/>
    <w:rsid w:val="008E07E2"/>
    <w:rsid w:val="008E2354"/>
    <w:rsid w:val="008E3567"/>
    <w:rsid w:val="008E4D72"/>
    <w:rsid w:val="008E539F"/>
    <w:rsid w:val="008E6CF1"/>
    <w:rsid w:val="008E7F42"/>
    <w:rsid w:val="008F0567"/>
    <w:rsid w:val="008F36C2"/>
    <w:rsid w:val="008F37DF"/>
    <w:rsid w:val="008F49FC"/>
    <w:rsid w:val="008F4AD1"/>
    <w:rsid w:val="008F50EA"/>
    <w:rsid w:val="008F6D0A"/>
    <w:rsid w:val="008F7320"/>
    <w:rsid w:val="008F778E"/>
    <w:rsid w:val="008F7F61"/>
    <w:rsid w:val="00900EB7"/>
    <w:rsid w:val="009013DB"/>
    <w:rsid w:val="00901B94"/>
    <w:rsid w:val="009020A6"/>
    <w:rsid w:val="0090215A"/>
    <w:rsid w:val="009024B3"/>
    <w:rsid w:val="00902BCC"/>
    <w:rsid w:val="0090384B"/>
    <w:rsid w:val="0090687A"/>
    <w:rsid w:val="00906B6E"/>
    <w:rsid w:val="00906D8D"/>
    <w:rsid w:val="00907C95"/>
    <w:rsid w:val="00907EF6"/>
    <w:rsid w:val="00912C13"/>
    <w:rsid w:val="0091368D"/>
    <w:rsid w:val="00915234"/>
    <w:rsid w:val="0091664D"/>
    <w:rsid w:val="0091744C"/>
    <w:rsid w:val="00921D32"/>
    <w:rsid w:val="00923001"/>
    <w:rsid w:val="009254D0"/>
    <w:rsid w:val="00925E2A"/>
    <w:rsid w:val="009261B5"/>
    <w:rsid w:val="009266CB"/>
    <w:rsid w:val="00926BF6"/>
    <w:rsid w:val="00930C40"/>
    <w:rsid w:val="009326B1"/>
    <w:rsid w:val="00932E9E"/>
    <w:rsid w:val="00933648"/>
    <w:rsid w:val="009344CA"/>
    <w:rsid w:val="009355A9"/>
    <w:rsid w:val="009368B2"/>
    <w:rsid w:val="00936AC4"/>
    <w:rsid w:val="00936EDF"/>
    <w:rsid w:val="00937215"/>
    <w:rsid w:val="00937E61"/>
    <w:rsid w:val="00941279"/>
    <w:rsid w:val="00941E89"/>
    <w:rsid w:val="00942CD4"/>
    <w:rsid w:val="009440AE"/>
    <w:rsid w:val="0094420E"/>
    <w:rsid w:val="0094445C"/>
    <w:rsid w:val="009457FD"/>
    <w:rsid w:val="009458CF"/>
    <w:rsid w:val="009464C7"/>
    <w:rsid w:val="009467EA"/>
    <w:rsid w:val="009517DE"/>
    <w:rsid w:val="009521A2"/>
    <w:rsid w:val="009528D4"/>
    <w:rsid w:val="00952AC3"/>
    <w:rsid w:val="00953002"/>
    <w:rsid w:val="00955C15"/>
    <w:rsid w:val="00955EEE"/>
    <w:rsid w:val="009577BC"/>
    <w:rsid w:val="0096038F"/>
    <w:rsid w:val="00960E65"/>
    <w:rsid w:val="0096110D"/>
    <w:rsid w:val="009622C4"/>
    <w:rsid w:val="00962716"/>
    <w:rsid w:val="00962770"/>
    <w:rsid w:val="0096298E"/>
    <w:rsid w:val="00963573"/>
    <w:rsid w:val="009639A9"/>
    <w:rsid w:val="009644BB"/>
    <w:rsid w:val="00964A12"/>
    <w:rsid w:val="00970067"/>
    <w:rsid w:val="0097221A"/>
    <w:rsid w:val="00975DBB"/>
    <w:rsid w:val="009773DC"/>
    <w:rsid w:val="00981A3C"/>
    <w:rsid w:val="009829C7"/>
    <w:rsid w:val="009834BA"/>
    <w:rsid w:val="009835AE"/>
    <w:rsid w:val="00983990"/>
    <w:rsid w:val="00985B50"/>
    <w:rsid w:val="00986053"/>
    <w:rsid w:val="00987437"/>
    <w:rsid w:val="00990B13"/>
    <w:rsid w:val="00991C9A"/>
    <w:rsid w:val="009958B9"/>
    <w:rsid w:val="00996164"/>
    <w:rsid w:val="009969D0"/>
    <w:rsid w:val="00996B6A"/>
    <w:rsid w:val="00996CDA"/>
    <w:rsid w:val="009A17C8"/>
    <w:rsid w:val="009A22E7"/>
    <w:rsid w:val="009A2B2E"/>
    <w:rsid w:val="009A307E"/>
    <w:rsid w:val="009A3868"/>
    <w:rsid w:val="009A3C61"/>
    <w:rsid w:val="009A3F7F"/>
    <w:rsid w:val="009A3FB3"/>
    <w:rsid w:val="009A4F77"/>
    <w:rsid w:val="009A505B"/>
    <w:rsid w:val="009A5CB1"/>
    <w:rsid w:val="009A6FD0"/>
    <w:rsid w:val="009B0169"/>
    <w:rsid w:val="009B1A0C"/>
    <w:rsid w:val="009B1EA3"/>
    <w:rsid w:val="009B27B4"/>
    <w:rsid w:val="009B2C90"/>
    <w:rsid w:val="009B2DF4"/>
    <w:rsid w:val="009B4EAD"/>
    <w:rsid w:val="009B5C6D"/>
    <w:rsid w:val="009B6BD0"/>
    <w:rsid w:val="009B76F5"/>
    <w:rsid w:val="009C17BC"/>
    <w:rsid w:val="009C2324"/>
    <w:rsid w:val="009C28F3"/>
    <w:rsid w:val="009C3A70"/>
    <w:rsid w:val="009C3B15"/>
    <w:rsid w:val="009C3E56"/>
    <w:rsid w:val="009C4650"/>
    <w:rsid w:val="009C46DD"/>
    <w:rsid w:val="009C5326"/>
    <w:rsid w:val="009C565E"/>
    <w:rsid w:val="009C697B"/>
    <w:rsid w:val="009D10BF"/>
    <w:rsid w:val="009D1419"/>
    <w:rsid w:val="009D40B4"/>
    <w:rsid w:val="009D4BD5"/>
    <w:rsid w:val="009D529A"/>
    <w:rsid w:val="009D5826"/>
    <w:rsid w:val="009D5E66"/>
    <w:rsid w:val="009D6BA6"/>
    <w:rsid w:val="009D775E"/>
    <w:rsid w:val="009E013B"/>
    <w:rsid w:val="009E1CD7"/>
    <w:rsid w:val="009E2718"/>
    <w:rsid w:val="009E6A8A"/>
    <w:rsid w:val="009E7575"/>
    <w:rsid w:val="009F048E"/>
    <w:rsid w:val="009F070E"/>
    <w:rsid w:val="009F1938"/>
    <w:rsid w:val="009F23DE"/>
    <w:rsid w:val="009F2602"/>
    <w:rsid w:val="009F5261"/>
    <w:rsid w:val="009F6966"/>
    <w:rsid w:val="009F699E"/>
    <w:rsid w:val="009F7F97"/>
    <w:rsid w:val="00A00A50"/>
    <w:rsid w:val="00A0144E"/>
    <w:rsid w:val="00A0184D"/>
    <w:rsid w:val="00A04691"/>
    <w:rsid w:val="00A04A28"/>
    <w:rsid w:val="00A05F5A"/>
    <w:rsid w:val="00A06629"/>
    <w:rsid w:val="00A06A1D"/>
    <w:rsid w:val="00A10607"/>
    <w:rsid w:val="00A1076B"/>
    <w:rsid w:val="00A11235"/>
    <w:rsid w:val="00A123A0"/>
    <w:rsid w:val="00A123FA"/>
    <w:rsid w:val="00A13B03"/>
    <w:rsid w:val="00A13DCB"/>
    <w:rsid w:val="00A147E3"/>
    <w:rsid w:val="00A1496F"/>
    <w:rsid w:val="00A1584A"/>
    <w:rsid w:val="00A162EA"/>
    <w:rsid w:val="00A16392"/>
    <w:rsid w:val="00A16DEE"/>
    <w:rsid w:val="00A16FB0"/>
    <w:rsid w:val="00A2071C"/>
    <w:rsid w:val="00A20E2B"/>
    <w:rsid w:val="00A21771"/>
    <w:rsid w:val="00A23A0E"/>
    <w:rsid w:val="00A25520"/>
    <w:rsid w:val="00A25707"/>
    <w:rsid w:val="00A265B0"/>
    <w:rsid w:val="00A26AA5"/>
    <w:rsid w:val="00A2757B"/>
    <w:rsid w:val="00A311F0"/>
    <w:rsid w:val="00A335C1"/>
    <w:rsid w:val="00A35215"/>
    <w:rsid w:val="00A36728"/>
    <w:rsid w:val="00A37669"/>
    <w:rsid w:val="00A43A86"/>
    <w:rsid w:val="00A45CE0"/>
    <w:rsid w:val="00A47429"/>
    <w:rsid w:val="00A4754C"/>
    <w:rsid w:val="00A5056A"/>
    <w:rsid w:val="00A50C07"/>
    <w:rsid w:val="00A50FD5"/>
    <w:rsid w:val="00A517D7"/>
    <w:rsid w:val="00A517FA"/>
    <w:rsid w:val="00A53B40"/>
    <w:rsid w:val="00A54064"/>
    <w:rsid w:val="00A544A6"/>
    <w:rsid w:val="00A54A4E"/>
    <w:rsid w:val="00A577C6"/>
    <w:rsid w:val="00A60161"/>
    <w:rsid w:val="00A60860"/>
    <w:rsid w:val="00A6781F"/>
    <w:rsid w:val="00A70253"/>
    <w:rsid w:val="00A70385"/>
    <w:rsid w:val="00A70A4B"/>
    <w:rsid w:val="00A720B3"/>
    <w:rsid w:val="00A7324E"/>
    <w:rsid w:val="00A73E62"/>
    <w:rsid w:val="00A74118"/>
    <w:rsid w:val="00A741A2"/>
    <w:rsid w:val="00A7536E"/>
    <w:rsid w:val="00A81984"/>
    <w:rsid w:val="00A819C5"/>
    <w:rsid w:val="00A820BB"/>
    <w:rsid w:val="00A82B22"/>
    <w:rsid w:val="00A849A3"/>
    <w:rsid w:val="00A84CC6"/>
    <w:rsid w:val="00A902CB"/>
    <w:rsid w:val="00A90D0A"/>
    <w:rsid w:val="00A91328"/>
    <w:rsid w:val="00A934CC"/>
    <w:rsid w:val="00A9364C"/>
    <w:rsid w:val="00A93DC2"/>
    <w:rsid w:val="00A9457B"/>
    <w:rsid w:val="00A94BDD"/>
    <w:rsid w:val="00A95B35"/>
    <w:rsid w:val="00A96DBD"/>
    <w:rsid w:val="00AA0D10"/>
    <w:rsid w:val="00AA271B"/>
    <w:rsid w:val="00AA29E9"/>
    <w:rsid w:val="00AA3403"/>
    <w:rsid w:val="00AA3428"/>
    <w:rsid w:val="00AA399E"/>
    <w:rsid w:val="00AA4BC0"/>
    <w:rsid w:val="00AA693C"/>
    <w:rsid w:val="00AB0CA9"/>
    <w:rsid w:val="00AB1A7F"/>
    <w:rsid w:val="00AB3A10"/>
    <w:rsid w:val="00AB3A60"/>
    <w:rsid w:val="00AB3D46"/>
    <w:rsid w:val="00AB4AD8"/>
    <w:rsid w:val="00AB6B7E"/>
    <w:rsid w:val="00AB7409"/>
    <w:rsid w:val="00AB7507"/>
    <w:rsid w:val="00AC21E0"/>
    <w:rsid w:val="00AC3276"/>
    <w:rsid w:val="00AC40C0"/>
    <w:rsid w:val="00AC58BB"/>
    <w:rsid w:val="00AC62EE"/>
    <w:rsid w:val="00AC6554"/>
    <w:rsid w:val="00AC7B45"/>
    <w:rsid w:val="00AD14A0"/>
    <w:rsid w:val="00AD1EC8"/>
    <w:rsid w:val="00AD37EC"/>
    <w:rsid w:val="00AD3BD1"/>
    <w:rsid w:val="00AD44F5"/>
    <w:rsid w:val="00AD4C8D"/>
    <w:rsid w:val="00AD6965"/>
    <w:rsid w:val="00AD790B"/>
    <w:rsid w:val="00AE4793"/>
    <w:rsid w:val="00AE49AB"/>
    <w:rsid w:val="00AE5260"/>
    <w:rsid w:val="00AE5F8D"/>
    <w:rsid w:val="00AE7679"/>
    <w:rsid w:val="00AE7AB9"/>
    <w:rsid w:val="00AF06E0"/>
    <w:rsid w:val="00AF0D43"/>
    <w:rsid w:val="00AF4F34"/>
    <w:rsid w:val="00AF503E"/>
    <w:rsid w:val="00AF53DA"/>
    <w:rsid w:val="00AF69A6"/>
    <w:rsid w:val="00AF6B38"/>
    <w:rsid w:val="00AF7226"/>
    <w:rsid w:val="00AF7BE7"/>
    <w:rsid w:val="00B00D3F"/>
    <w:rsid w:val="00B01D85"/>
    <w:rsid w:val="00B02034"/>
    <w:rsid w:val="00B02685"/>
    <w:rsid w:val="00B0361B"/>
    <w:rsid w:val="00B03EC3"/>
    <w:rsid w:val="00B04E07"/>
    <w:rsid w:val="00B05BFB"/>
    <w:rsid w:val="00B070B7"/>
    <w:rsid w:val="00B07882"/>
    <w:rsid w:val="00B10679"/>
    <w:rsid w:val="00B10BFC"/>
    <w:rsid w:val="00B111D8"/>
    <w:rsid w:val="00B1311F"/>
    <w:rsid w:val="00B16A06"/>
    <w:rsid w:val="00B17186"/>
    <w:rsid w:val="00B17AA7"/>
    <w:rsid w:val="00B20304"/>
    <w:rsid w:val="00B2126B"/>
    <w:rsid w:val="00B21DF7"/>
    <w:rsid w:val="00B22770"/>
    <w:rsid w:val="00B2437A"/>
    <w:rsid w:val="00B24DC0"/>
    <w:rsid w:val="00B31A3B"/>
    <w:rsid w:val="00B3205F"/>
    <w:rsid w:val="00B32FA5"/>
    <w:rsid w:val="00B33151"/>
    <w:rsid w:val="00B349B0"/>
    <w:rsid w:val="00B34FC5"/>
    <w:rsid w:val="00B363B4"/>
    <w:rsid w:val="00B36A7F"/>
    <w:rsid w:val="00B403B4"/>
    <w:rsid w:val="00B40BAA"/>
    <w:rsid w:val="00B41938"/>
    <w:rsid w:val="00B434D3"/>
    <w:rsid w:val="00B44837"/>
    <w:rsid w:val="00B44E11"/>
    <w:rsid w:val="00B460ED"/>
    <w:rsid w:val="00B474BE"/>
    <w:rsid w:val="00B504F7"/>
    <w:rsid w:val="00B50585"/>
    <w:rsid w:val="00B50A72"/>
    <w:rsid w:val="00B51170"/>
    <w:rsid w:val="00B52F9D"/>
    <w:rsid w:val="00B5521C"/>
    <w:rsid w:val="00B5525C"/>
    <w:rsid w:val="00B55D8F"/>
    <w:rsid w:val="00B613C0"/>
    <w:rsid w:val="00B61742"/>
    <w:rsid w:val="00B62882"/>
    <w:rsid w:val="00B6298E"/>
    <w:rsid w:val="00B63643"/>
    <w:rsid w:val="00B636A7"/>
    <w:rsid w:val="00B65204"/>
    <w:rsid w:val="00B6689B"/>
    <w:rsid w:val="00B705C4"/>
    <w:rsid w:val="00B70678"/>
    <w:rsid w:val="00B71B0F"/>
    <w:rsid w:val="00B73BAF"/>
    <w:rsid w:val="00B74060"/>
    <w:rsid w:val="00B740D4"/>
    <w:rsid w:val="00B754F2"/>
    <w:rsid w:val="00B765BC"/>
    <w:rsid w:val="00B76B32"/>
    <w:rsid w:val="00B82C9A"/>
    <w:rsid w:val="00B8632D"/>
    <w:rsid w:val="00B864F1"/>
    <w:rsid w:val="00B86871"/>
    <w:rsid w:val="00B87300"/>
    <w:rsid w:val="00B87753"/>
    <w:rsid w:val="00B90356"/>
    <w:rsid w:val="00B90909"/>
    <w:rsid w:val="00B90DF9"/>
    <w:rsid w:val="00B91B8B"/>
    <w:rsid w:val="00B944D3"/>
    <w:rsid w:val="00B96409"/>
    <w:rsid w:val="00B96BF7"/>
    <w:rsid w:val="00B970BF"/>
    <w:rsid w:val="00B976B5"/>
    <w:rsid w:val="00B976E2"/>
    <w:rsid w:val="00B97DE6"/>
    <w:rsid w:val="00BA122B"/>
    <w:rsid w:val="00BA1437"/>
    <w:rsid w:val="00BA1E8B"/>
    <w:rsid w:val="00BA2069"/>
    <w:rsid w:val="00BA285A"/>
    <w:rsid w:val="00BA4014"/>
    <w:rsid w:val="00BA412A"/>
    <w:rsid w:val="00BA52CB"/>
    <w:rsid w:val="00BA6055"/>
    <w:rsid w:val="00BA6C22"/>
    <w:rsid w:val="00BA6EE4"/>
    <w:rsid w:val="00BB0595"/>
    <w:rsid w:val="00BB088D"/>
    <w:rsid w:val="00BB1520"/>
    <w:rsid w:val="00BB15A9"/>
    <w:rsid w:val="00BB5049"/>
    <w:rsid w:val="00BB52FA"/>
    <w:rsid w:val="00BB545F"/>
    <w:rsid w:val="00BB67CE"/>
    <w:rsid w:val="00BC07D8"/>
    <w:rsid w:val="00BC0BA7"/>
    <w:rsid w:val="00BC10F0"/>
    <w:rsid w:val="00BC1E5D"/>
    <w:rsid w:val="00BC245D"/>
    <w:rsid w:val="00BC2951"/>
    <w:rsid w:val="00BC672E"/>
    <w:rsid w:val="00BC6839"/>
    <w:rsid w:val="00BD071A"/>
    <w:rsid w:val="00BD0F75"/>
    <w:rsid w:val="00BD1DF7"/>
    <w:rsid w:val="00BD217B"/>
    <w:rsid w:val="00BD2287"/>
    <w:rsid w:val="00BD2530"/>
    <w:rsid w:val="00BD4BDE"/>
    <w:rsid w:val="00BD5486"/>
    <w:rsid w:val="00BD5F75"/>
    <w:rsid w:val="00BD7585"/>
    <w:rsid w:val="00BE0358"/>
    <w:rsid w:val="00BE09F4"/>
    <w:rsid w:val="00BE23D3"/>
    <w:rsid w:val="00BE307A"/>
    <w:rsid w:val="00BE3D21"/>
    <w:rsid w:val="00BE3D2C"/>
    <w:rsid w:val="00BE4CBE"/>
    <w:rsid w:val="00BE5182"/>
    <w:rsid w:val="00BE6589"/>
    <w:rsid w:val="00BE66C7"/>
    <w:rsid w:val="00BE6C61"/>
    <w:rsid w:val="00BE6E9C"/>
    <w:rsid w:val="00BE7F1D"/>
    <w:rsid w:val="00BF1654"/>
    <w:rsid w:val="00BF33BE"/>
    <w:rsid w:val="00BF3BEC"/>
    <w:rsid w:val="00BF50A2"/>
    <w:rsid w:val="00BF5370"/>
    <w:rsid w:val="00BF6950"/>
    <w:rsid w:val="00BF7F9A"/>
    <w:rsid w:val="00C01E2E"/>
    <w:rsid w:val="00C04116"/>
    <w:rsid w:val="00C048FD"/>
    <w:rsid w:val="00C049F7"/>
    <w:rsid w:val="00C04BD8"/>
    <w:rsid w:val="00C04F85"/>
    <w:rsid w:val="00C06C0A"/>
    <w:rsid w:val="00C07197"/>
    <w:rsid w:val="00C07F1D"/>
    <w:rsid w:val="00C1039D"/>
    <w:rsid w:val="00C10ADD"/>
    <w:rsid w:val="00C11654"/>
    <w:rsid w:val="00C1171B"/>
    <w:rsid w:val="00C1261E"/>
    <w:rsid w:val="00C1321F"/>
    <w:rsid w:val="00C14A1C"/>
    <w:rsid w:val="00C168AF"/>
    <w:rsid w:val="00C171FE"/>
    <w:rsid w:val="00C21571"/>
    <w:rsid w:val="00C224DA"/>
    <w:rsid w:val="00C22523"/>
    <w:rsid w:val="00C23945"/>
    <w:rsid w:val="00C26F9F"/>
    <w:rsid w:val="00C27C1F"/>
    <w:rsid w:val="00C32AAB"/>
    <w:rsid w:val="00C3475A"/>
    <w:rsid w:val="00C35B03"/>
    <w:rsid w:val="00C36139"/>
    <w:rsid w:val="00C3635F"/>
    <w:rsid w:val="00C37177"/>
    <w:rsid w:val="00C373A8"/>
    <w:rsid w:val="00C378FC"/>
    <w:rsid w:val="00C40279"/>
    <w:rsid w:val="00C4068A"/>
    <w:rsid w:val="00C406D3"/>
    <w:rsid w:val="00C41751"/>
    <w:rsid w:val="00C4482B"/>
    <w:rsid w:val="00C4601A"/>
    <w:rsid w:val="00C46493"/>
    <w:rsid w:val="00C47140"/>
    <w:rsid w:val="00C51BE6"/>
    <w:rsid w:val="00C52476"/>
    <w:rsid w:val="00C53C15"/>
    <w:rsid w:val="00C54973"/>
    <w:rsid w:val="00C5507D"/>
    <w:rsid w:val="00C61627"/>
    <w:rsid w:val="00C63F2F"/>
    <w:rsid w:val="00C6496E"/>
    <w:rsid w:val="00C6577F"/>
    <w:rsid w:val="00C65AF6"/>
    <w:rsid w:val="00C65D09"/>
    <w:rsid w:val="00C67FEB"/>
    <w:rsid w:val="00C72954"/>
    <w:rsid w:val="00C740AF"/>
    <w:rsid w:val="00C75456"/>
    <w:rsid w:val="00C754BB"/>
    <w:rsid w:val="00C76873"/>
    <w:rsid w:val="00C771B6"/>
    <w:rsid w:val="00C81530"/>
    <w:rsid w:val="00C8177F"/>
    <w:rsid w:val="00C82D58"/>
    <w:rsid w:val="00C84523"/>
    <w:rsid w:val="00C852D9"/>
    <w:rsid w:val="00C86A74"/>
    <w:rsid w:val="00C87B86"/>
    <w:rsid w:val="00C907F2"/>
    <w:rsid w:val="00C92705"/>
    <w:rsid w:val="00C92ADB"/>
    <w:rsid w:val="00C93699"/>
    <w:rsid w:val="00C9449B"/>
    <w:rsid w:val="00C949A6"/>
    <w:rsid w:val="00C96128"/>
    <w:rsid w:val="00C96B5D"/>
    <w:rsid w:val="00C96BF1"/>
    <w:rsid w:val="00C97A16"/>
    <w:rsid w:val="00CA18E7"/>
    <w:rsid w:val="00CA1FE4"/>
    <w:rsid w:val="00CA2B59"/>
    <w:rsid w:val="00CA2C76"/>
    <w:rsid w:val="00CA6926"/>
    <w:rsid w:val="00CB01E9"/>
    <w:rsid w:val="00CB25F4"/>
    <w:rsid w:val="00CB4487"/>
    <w:rsid w:val="00CB4F4C"/>
    <w:rsid w:val="00CB6865"/>
    <w:rsid w:val="00CB6BDB"/>
    <w:rsid w:val="00CB7754"/>
    <w:rsid w:val="00CC1AE3"/>
    <w:rsid w:val="00CC34E5"/>
    <w:rsid w:val="00CC69AD"/>
    <w:rsid w:val="00CD1D36"/>
    <w:rsid w:val="00CD2528"/>
    <w:rsid w:val="00CD2788"/>
    <w:rsid w:val="00CD3574"/>
    <w:rsid w:val="00CE1377"/>
    <w:rsid w:val="00CE324C"/>
    <w:rsid w:val="00CE3F70"/>
    <w:rsid w:val="00CE4FE9"/>
    <w:rsid w:val="00CE5CFB"/>
    <w:rsid w:val="00CF0219"/>
    <w:rsid w:val="00CF1967"/>
    <w:rsid w:val="00CF236B"/>
    <w:rsid w:val="00CF288F"/>
    <w:rsid w:val="00CF2A07"/>
    <w:rsid w:val="00CF2D62"/>
    <w:rsid w:val="00CF2E4D"/>
    <w:rsid w:val="00CF3AF1"/>
    <w:rsid w:val="00CF750F"/>
    <w:rsid w:val="00CF7635"/>
    <w:rsid w:val="00CF7FD1"/>
    <w:rsid w:val="00D0145C"/>
    <w:rsid w:val="00D0170A"/>
    <w:rsid w:val="00D01E55"/>
    <w:rsid w:val="00D01F8B"/>
    <w:rsid w:val="00D023C4"/>
    <w:rsid w:val="00D0416F"/>
    <w:rsid w:val="00D0466E"/>
    <w:rsid w:val="00D04B32"/>
    <w:rsid w:val="00D0552E"/>
    <w:rsid w:val="00D0769E"/>
    <w:rsid w:val="00D07CA9"/>
    <w:rsid w:val="00D108E4"/>
    <w:rsid w:val="00D11184"/>
    <w:rsid w:val="00D148F4"/>
    <w:rsid w:val="00D14A15"/>
    <w:rsid w:val="00D15321"/>
    <w:rsid w:val="00D16AAA"/>
    <w:rsid w:val="00D16B7B"/>
    <w:rsid w:val="00D1772A"/>
    <w:rsid w:val="00D2093D"/>
    <w:rsid w:val="00D2494C"/>
    <w:rsid w:val="00D24DD7"/>
    <w:rsid w:val="00D26107"/>
    <w:rsid w:val="00D275CC"/>
    <w:rsid w:val="00D27A8E"/>
    <w:rsid w:val="00D30848"/>
    <w:rsid w:val="00D31CC8"/>
    <w:rsid w:val="00D32777"/>
    <w:rsid w:val="00D34CA1"/>
    <w:rsid w:val="00D34E58"/>
    <w:rsid w:val="00D37121"/>
    <w:rsid w:val="00D40E91"/>
    <w:rsid w:val="00D42234"/>
    <w:rsid w:val="00D44EDD"/>
    <w:rsid w:val="00D45E8A"/>
    <w:rsid w:val="00D45FC6"/>
    <w:rsid w:val="00D46E21"/>
    <w:rsid w:val="00D474F6"/>
    <w:rsid w:val="00D47635"/>
    <w:rsid w:val="00D50624"/>
    <w:rsid w:val="00D50C48"/>
    <w:rsid w:val="00D52B65"/>
    <w:rsid w:val="00D537C6"/>
    <w:rsid w:val="00D54936"/>
    <w:rsid w:val="00D550E0"/>
    <w:rsid w:val="00D5573D"/>
    <w:rsid w:val="00D561CB"/>
    <w:rsid w:val="00D57798"/>
    <w:rsid w:val="00D606AF"/>
    <w:rsid w:val="00D62091"/>
    <w:rsid w:val="00D63FAE"/>
    <w:rsid w:val="00D67CAD"/>
    <w:rsid w:val="00D7038B"/>
    <w:rsid w:val="00D70983"/>
    <w:rsid w:val="00D71B0D"/>
    <w:rsid w:val="00D71CDE"/>
    <w:rsid w:val="00D72A9F"/>
    <w:rsid w:val="00D73068"/>
    <w:rsid w:val="00D73B4D"/>
    <w:rsid w:val="00D74240"/>
    <w:rsid w:val="00D74FB3"/>
    <w:rsid w:val="00D76003"/>
    <w:rsid w:val="00D77085"/>
    <w:rsid w:val="00D77FCC"/>
    <w:rsid w:val="00D80733"/>
    <w:rsid w:val="00D80990"/>
    <w:rsid w:val="00D80A7E"/>
    <w:rsid w:val="00D82E02"/>
    <w:rsid w:val="00D83DD8"/>
    <w:rsid w:val="00D84075"/>
    <w:rsid w:val="00D84A4B"/>
    <w:rsid w:val="00D85A4C"/>
    <w:rsid w:val="00D85A59"/>
    <w:rsid w:val="00D862EA"/>
    <w:rsid w:val="00D8696F"/>
    <w:rsid w:val="00D87406"/>
    <w:rsid w:val="00D874D8"/>
    <w:rsid w:val="00D87D6A"/>
    <w:rsid w:val="00D96B9F"/>
    <w:rsid w:val="00D97966"/>
    <w:rsid w:val="00DA0A2B"/>
    <w:rsid w:val="00DA0ACF"/>
    <w:rsid w:val="00DA25AD"/>
    <w:rsid w:val="00DA2FD8"/>
    <w:rsid w:val="00DA336A"/>
    <w:rsid w:val="00DA37F3"/>
    <w:rsid w:val="00DA4572"/>
    <w:rsid w:val="00DA522D"/>
    <w:rsid w:val="00DA56ED"/>
    <w:rsid w:val="00DA5C30"/>
    <w:rsid w:val="00DA69A0"/>
    <w:rsid w:val="00DA72F3"/>
    <w:rsid w:val="00DA738F"/>
    <w:rsid w:val="00DB4B9D"/>
    <w:rsid w:val="00DB6843"/>
    <w:rsid w:val="00DB733E"/>
    <w:rsid w:val="00DC26B7"/>
    <w:rsid w:val="00DC3DAF"/>
    <w:rsid w:val="00DC4040"/>
    <w:rsid w:val="00DC5006"/>
    <w:rsid w:val="00DC5FE5"/>
    <w:rsid w:val="00DC634F"/>
    <w:rsid w:val="00DC63C5"/>
    <w:rsid w:val="00DC63CE"/>
    <w:rsid w:val="00DC7ABE"/>
    <w:rsid w:val="00DD02F7"/>
    <w:rsid w:val="00DD0D87"/>
    <w:rsid w:val="00DD101A"/>
    <w:rsid w:val="00DD11C5"/>
    <w:rsid w:val="00DD2C3C"/>
    <w:rsid w:val="00DD2DD6"/>
    <w:rsid w:val="00DD355D"/>
    <w:rsid w:val="00DD3BA9"/>
    <w:rsid w:val="00DD4419"/>
    <w:rsid w:val="00DD44E5"/>
    <w:rsid w:val="00DD60EF"/>
    <w:rsid w:val="00DD7B80"/>
    <w:rsid w:val="00DE2CAE"/>
    <w:rsid w:val="00DE335F"/>
    <w:rsid w:val="00DE3EDC"/>
    <w:rsid w:val="00DE5199"/>
    <w:rsid w:val="00DE58AF"/>
    <w:rsid w:val="00DF398B"/>
    <w:rsid w:val="00DF44BA"/>
    <w:rsid w:val="00DF4CBB"/>
    <w:rsid w:val="00DF4D9E"/>
    <w:rsid w:val="00DF63E7"/>
    <w:rsid w:val="00DF7C15"/>
    <w:rsid w:val="00E004F0"/>
    <w:rsid w:val="00E007B2"/>
    <w:rsid w:val="00E02AFC"/>
    <w:rsid w:val="00E02B49"/>
    <w:rsid w:val="00E0393B"/>
    <w:rsid w:val="00E0512D"/>
    <w:rsid w:val="00E05EA5"/>
    <w:rsid w:val="00E06D12"/>
    <w:rsid w:val="00E10988"/>
    <w:rsid w:val="00E112AB"/>
    <w:rsid w:val="00E12DD3"/>
    <w:rsid w:val="00E14535"/>
    <w:rsid w:val="00E216EA"/>
    <w:rsid w:val="00E22999"/>
    <w:rsid w:val="00E253C6"/>
    <w:rsid w:val="00E26560"/>
    <w:rsid w:val="00E2704F"/>
    <w:rsid w:val="00E3377F"/>
    <w:rsid w:val="00E3630C"/>
    <w:rsid w:val="00E36386"/>
    <w:rsid w:val="00E370D2"/>
    <w:rsid w:val="00E42043"/>
    <w:rsid w:val="00E44946"/>
    <w:rsid w:val="00E475D3"/>
    <w:rsid w:val="00E503C0"/>
    <w:rsid w:val="00E51539"/>
    <w:rsid w:val="00E51792"/>
    <w:rsid w:val="00E517E0"/>
    <w:rsid w:val="00E524A1"/>
    <w:rsid w:val="00E52606"/>
    <w:rsid w:val="00E52CDE"/>
    <w:rsid w:val="00E53DB2"/>
    <w:rsid w:val="00E54721"/>
    <w:rsid w:val="00E55816"/>
    <w:rsid w:val="00E5640F"/>
    <w:rsid w:val="00E56D8D"/>
    <w:rsid w:val="00E605A1"/>
    <w:rsid w:val="00E60F0C"/>
    <w:rsid w:val="00E6104D"/>
    <w:rsid w:val="00E628AD"/>
    <w:rsid w:val="00E6344F"/>
    <w:rsid w:val="00E63F5A"/>
    <w:rsid w:val="00E63FF5"/>
    <w:rsid w:val="00E64E41"/>
    <w:rsid w:val="00E70C51"/>
    <w:rsid w:val="00E71C31"/>
    <w:rsid w:val="00E72C80"/>
    <w:rsid w:val="00E72E99"/>
    <w:rsid w:val="00E73276"/>
    <w:rsid w:val="00E7363E"/>
    <w:rsid w:val="00E747C7"/>
    <w:rsid w:val="00E75992"/>
    <w:rsid w:val="00E77220"/>
    <w:rsid w:val="00E77BCE"/>
    <w:rsid w:val="00E80792"/>
    <w:rsid w:val="00E80A49"/>
    <w:rsid w:val="00E83561"/>
    <w:rsid w:val="00E85BA1"/>
    <w:rsid w:val="00E868F2"/>
    <w:rsid w:val="00E911C3"/>
    <w:rsid w:val="00E92102"/>
    <w:rsid w:val="00E94AFB"/>
    <w:rsid w:val="00E94C97"/>
    <w:rsid w:val="00E958DE"/>
    <w:rsid w:val="00E96B93"/>
    <w:rsid w:val="00E97EF7"/>
    <w:rsid w:val="00EA01E4"/>
    <w:rsid w:val="00EA0AF2"/>
    <w:rsid w:val="00EA12D2"/>
    <w:rsid w:val="00EA1A1E"/>
    <w:rsid w:val="00EA1C91"/>
    <w:rsid w:val="00EA26EE"/>
    <w:rsid w:val="00EA2C4A"/>
    <w:rsid w:val="00EA30BA"/>
    <w:rsid w:val="00EA4781"/>
    <w:rsid w:val="00EA6FFB"/>
    <w:rsid w:val="00EA7A40"/>
    <w:rsid w:val="00EA7D66"/>
    <w:rsid w:val="00EB1828"/>
    <w:rsid w:val="00EB3351"/>
    <w:rsid w:val="00EB4932"/>
    <w:rsid w:val="00EB4BEB"/>
    <w:rsid w:val="00EB4D4F"/>
    <w:rsid w:val="00EB6DB7"/>
    <w:rsid w:val="00EC1F03"/>
    <w:rsid w:val="00EC407F"/>
    <w:rsid w:val="00EC52CF"/>
    <w:rsid w:val="00EC56A4"/>
    <w:rsid w:val="00EC5FBA"/>
    <w:rsid w:val="00ED0D84"/>
    <w:rsid w:val="00ED3B5F"/>
    <w:rsid w:val="00ED5699"/>
    <w:rsid w:val="00ED6402"/>
    <w:rsid w:val="00ED7193"/>
    <w:rsid w:val="00ED7A45"/>
    <w:rsid w:val="00EE23CE"/>
    <w:rsid w:val="00EE258D"/>
    <w:rsid w:val="00EE3704"/>
    <w:rsid w:val="00EE3A61"/>
    <w:rsid w:val="00EE600C"/>
    <w:rsid w:val="00EE71B9"/>
    <w:rsid w:val="00EE7B42"/>
    <w:rsid w:val="00EF042E"/>
    <w:rsid w:val="00EF0696"/>
    <w:rsid w:val="00EF0D4C"/>
    <w:rsid w:val="00EF1117"/>
    <w:rsid w:val="00EF1CFF"/>
    <w:rsid w:val="00EF2A48"/>
    <w:rsid w:val="00EF4DBC"/>
    <w:rsid w:val="00EF5415"/>
    <w:rsid w:val="00EF57B6"/>
    <w:rsid w:val="00EF6153"/>
    <w:rsid w:val="00EF6663"/>
    <w:rsid w:val="00EF6692"/>
    <w:rsid w:val="00EF76A7"/>
    <w:rsid w:val="00EF7A9E"/>
    <w:rsid w:val="00F02E49"/>
    <w:rsid w:val="00F0564C"/>
    <w:rsid w:val="00F05B5F"/>
    <w:rsid w:val="00F05B82"/>
    <w:rsid w:val="00F07688"/>
    <w:rsid w:val="00F0771E"/>
    <w:rsid w:val="00F107B3"/>
    <w:rsid w:val="00F11559"/>
    <w:rsid w:val="00F145B5"/>
    <w:rsid w:val="00F1631F"/>
    <w:rsid w:val="00F16E45"/>
    <w:rsid w:val="00F1779D"/>
    <w:rsid w:val="00F22832"/>
    <w:rsid w:val="00F22B5E"/>
    <w:rsid w:val="00F235EE"/>
    <w:rsid w:val="00F267A7"/>
    <w:rsid w:val="00F26D17"/>
    <w:rsid w:val="00F27F35"/>
    <w:rsid w:val="00F310B7"/>
    <w:rsid w:val="00F3155B"/>
    <w:rsid w:val="00F31645"/>
    <w:rsid w:val="00F36154"/>
    <w:rsid w:val="00F373BF"/>
    <w:rsid w:val="00F3758F"/>
    <w:rsid w:val="00F3775D"/>
    <w:rsid w:val="00F40459"/>
    <w:rsid w:val="00F40489"/>
    <w:rsid w:val="00F42A57"/>
    <w:rsid w:val="00F42BE8"/>
    <w:rsid w:val="00F4317A"/>
    <w:rsid w:val="00F437FE"/>
    <w:rsid w:val="00F4507F"/>
    <w:rsid w:val="00F461DB"/>
    <w:rsid w:val="00F4711F"/>
    <w:rsid w:val="00F472E1"/>
    <w:rsid w:val="00F47C37"/>
    <w:rsid w:val="00F52341"/>
    <w:rsid w:val="00F532C3"/>
    <w:rsid w:val="00F53DBE"/>
    <w:rsid w:val="00F548F4"/>
    <w:rsid w:val="00F563F4"/>
    <w:rsid w:val="00F56877"/>
    <w:rsid w:val="00F57500"/>
    <w:rsid w:val="00F62175"/>
    <w:rsid w:val="00F623D0"/>
    <w:rsid w:val="00F63D8B"/>
    <w:rsid w:val="00F63FE7"/>
    <w:rsid w:val="00F64DC8"/>
    <w:rsid w:val="00F64F28"/>
    <w:rsid w:val="00F65862"/>
    <w:rsid w:val="00F65A37"/>
    <w:rsid w:val="00F65AFA"/>
    <w:rsid w:val="00F675A1"/>
    <w:rsid w:val="00F72CFA"/>
    <w:rsid w:val="00F744EB"/>
    <w:rsid w:val="00F74AC2"/>
    <w:rsid w:val="00F75952"/>
    <w:rsid w:val="00F764C1"/>
    <w:rsid w:val="00F80C5A"/>
    <w:rsid w:val="00F83558"/>
    <w:rsid w:val="00F83591"/>
    <w:rsid w:val="00F84324"/>
    <w:rsid w:val="00F85FEF"/>
    <w:rsid w:val="00F8713A"/>
    <w:rsid w:val="00F87CF9"/>
    <w:rsid w:val="00F902B9"/>
    <w:rsid w:val="00F90B76"/>
    <w:rsid w:val="00F918C4"/>
    <w:rsid w:val="00F9197B"/>
    <w:rsid w:val="00F92214"/>
    <w:rsid w:val="00F967E8"/>
    <w:rsid w:val="00F97D73"/>
    <w:rsid w:val="00FA0986"/>
    <w:rsid w:val="00FA1B73"/>
    <w:rsid w:val="00FA43B1"/>
    <w:rsid w:val="00FA4934"/>
    <w:rsid w:val="00FA558B"/>
    <w:rsid w:val="00FA653D"/>
    <w:rsid w:val="00FA65C3"/>
    <w:rsid w:val="00FA7067"/>
    <w:rsid w:val="00FB1BAA"/>
    <w:rsid w:val="00FB2791"/>
    <w:rsid w:val="00FB3D5F"/>
    <w:rsid w:val="00FB443C"/>
    <w:rsid w:val="00FB5FDC"/>
    <w:rsid w:val="00FB7C4E"/>
    <w:rsid w:val="00FC174A"/>
    <w:rsid w:val="00FC3382"/>
    <w:rsid w:val="00FC3C09"/>
    <w:rsid w:val="00FC48AE"/>
    <w:rsid w:val="00FC5FB7"/>
    <w:rsid w:val="00FC60C8"/>
    <w:rsid w:val="00FC6C1A"/>
    <w:rsid w:val="00FD08A8"/>
    <w:rsid w:val="00FD0E70"/>
    <w:rsid w:val="00FD3658"/>
    <w:rsid w:val="00FD457C"/>
    <w:rsid w:val="00FD5303"/>
    <w:rsid w:val="00FD7E7E"/>
    <w:rsid w:val="00FE0767"/>
    <w:rsid w:val="00FE0D04"/>
    <w:rsid w:val="00FE1C56"/>
    <w:rsid w:val="00FE29B3"/>
    <w:rsid w:val="00FE4720"/>
    <w:rsid w:val="00FE4D86"/>
    <w:rsid w:val="00FE551A"/>
    <w:rsid w:val="00FE60F6"/>
    <w:rsid w:val="00FE657E"/>
    <w:rsid w:val="00FE75AF"/>
    <w:rsid w:val="00FE75B2"/>
    <w:rsid w:val="00FF0832"/>
    <w:rsid w:val="00FF233E"/>
    <w:rsid w:val="00FF2B00"/>
    <w:rsid w:val="00FF3348"/>
    <w:rsid w:val="00FF42D5"/>
    <w:rsid w:val="00FF4E6B"/>
    <w:rsid w:val="00FF56D0"/>
    <w:rsid w:val="00FF58B1"/>
    <w:rsid w:val="00FF64D7"/>
    <w:rsid w:val="00FF7BC7"/>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A6969"/>
  <w15:docId w15:val="{FFB59A6C-EB2C-4F6E-BC5B-C43335D7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BDE"/>
  </w:style>
  <w:style w:type="paragraph" w:styleId="Ttulo1">
    <w:name w:val="heading 1"/>
    <w:basedOn w:val="Normal"/>
    <w:next w:val="Normal"/>
    <w:link w:val="Ttulo1Car"/>
    <w:uiPriority w:val="9"/>
    <w:qFormat/>
    <w:rsid w:val="0004543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qFormat/>
    <w:rsid w:val="00C32AAB"/>
    <w:pPr>
      <w:keepNext/>
      <w:suppressAutoHyphens/>
      <w:spacing w:before="240" w:after="60" w:line="240" w:lineRule="auto"/>
      <w:outlineLvl w:val="1"/>
    </w:pPr>
    <w:rPr>
      <w:rFonts w:ascii="Arial" w:eastAsia="Times New Roman" w:hAnsi="Arial" w:cs="Arial"/>
      <w:b/>
      <w:bCs/>
      <w:i/>
      <w:iCs/>
      <w:sz w:val="28"/>
      <w:szCs w:val="28"/>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24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241B"/>
  </w:style>
  <w:style w:type="paragraph" w:styleId="Piedepgina">
    <w:name w:val="footer"/>
    <w:basedOn w:val="Normal"/>
    <w:link w:val="PiedepginaCar"/>
    <w:uiPriority w:val="99"/>
    <w:unhideWhenUsed/>
    <w:rsid w:val="007824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241B"/>
  </w:style>
  <w:style w:type="paragraph" w:styleId="Textodeglobo">
    <w:name w:val="Balloon Text"/>
    <w:basedOn w:val="Normal"/>
    <w:link w:val="TextodegloboCar"/>
    <w:uiPriority w:val="99"/>
    <w:semiHidden/>
    <w:unhideWhenUsed/>
    <w:rsid w:val="007824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241B"/>
    <w:rPr>
      <w:rFonts w:ascii="Tahoma" w:hAnsi="Tahoma" w:cs="Tahoma"/>
      <w:sz w:val="16"/>
      <w:szCs w:val="16"/>
    </w:rPr>
  </w:style>
  <w:style w:type="paragraph" w:styleId="NormalWeb">
    <w:name w:val="Normal (Web)"/>
    <w:basedOn w:val="Normal"/>
    <w:link w:val="NormalWebCar"/>
    <w:uiPriority w:val="99"/>
    <w:unhideWhenUsed/>
    <w:qFormat/>
    <w:rsid w:val="0078241B"/>
    <w:pPr>
      <w:spacing w:before="100" w:beforeAutospacing="1" w:after="119" w:line="240" w:lineRule="auto"/>
    </w:pPr>
    <w:rPr>
      <w:rFonts w:ascii="Times New Roman" w:eastAsia="Times New Roman" w:hAnsi="Times New Roman" w:cs="Times New Roman"/>
      <w:sz w:val="24"/>
      <w:szCs w:val="24"/>
      <w:lang w:eastAsia="es-CR"/>
    </w:rPr>
  </w:style>
  <w:style w:type="character" w:customStyle="1" w:styleId="Ttulo1Car">
    <w:name w:val="Título 1 Car"/>
    <w:basedOn w:val="Fuentedeprrafopredeter"/>
    <w:link w:val="Ttulo1"/>
    <w:uiPriority w:val="9"/>
    <w:rsid w:val="00045432"/>
    <w:rPr>
      <w:rFonts w:ascii="Cambria" w:eastAsia="Times New Roman" w:hAnsi="Cambria" w:cs="Times New Roman"/>
      <w:b/>
      <w:bCs/>
      <w:kern w:val="32"/>
      <w:sz w:val="32"/>
      <w:szCs w:val="32"/>
    </w:rPr>
  </w:style>
  <w:style w:type="paragraph" w:styleId="Prrafodelista">
    <w:name w:val="List Paragraph"/>
    <w:basedOn w:val="Normal"/>
    <w:uiPriority w:val="34"/>
    <w:qFormat/>
    <w:rsid w:val="00045432"/>
    <w:pPr>
      <w:ind w:left="720"/>
      <w:contextualSpacing/>
    </w:pPr>
  </w:style>
  <w:style w:type="table" w:styleId="Tablaconcuadrcula">
    <w:name w:val="Table Grid"/>
    <w:basedOn w:val="Tablanormal"/>
    <w:uiPriority w:val="39"/>
    <w:rsid w:val="00045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C32AAB"/>
    <w:rPr>
      <w:rFonts w:ascii="Arial" w:eastAsia="Times New Roman" w:hAnsi="Arial" w:cs="Arial"/>
      <w:b/>
      <w:bCs/>
      <w:i/>
      <w:iCs/>
      <w:sz w:val="28"/>
      <w:szCs w:val="28"/>
      <w:lang w:val="es-ES" w:eastAsia="ar-SA"/>
    </w:rPr>
  </w:style>
  <w:style w:type="character" w:customStyle="1" w:styleId="NormalWebCar">
    <w:name w:val="Normal (Web) Car"/>
    <w:basedOn w:val="Fuentedeprrafopredeter"/>
    <w:link w:val="NormalWeb"/>
    <w:uiPriority w:val="99"/>
    <w:locked/>
    <w:rsid w:val="008C2533"/>
    <w:rPr>
      <w:rFonts w:ascii="Times New Roman" w:eastAsia="Times New Roman" w:hAnsi="Times New Roman" w:cs="Times New Roman"/>
      <w:sz w:val="24"/>
      <w:szCs w:val="24"/>
      <w:lang w:eastAsia="es-CR"/>
    </w:rPr>
  </w:style>
  <w:style w:type="paragraph" w:styleId="Textoindependiente">
    <w:name w:val="Body Text"/>
    <w:basedOn w:val="Normal"/>
    <w:link w:val="TextoindependienteCar"/>
    <w:uiPriority w:val="99"/>
    <w:semiHidden/>
    <w:unhideWhenUsed/>
    <w:rsid w:val="000C66EC"/>
    <w:pPr>
      <w:spacing w:after="120" w:line="240" w:lineRule="auto"/>
    </w:pPr>
    <w:rPr>
      <w:rFonts w:ascii="Times New Roman" w:hAnsi="Times New Roman" w:cs="Times New Roman"/>
      <w:sz w:val="24"/>
      <w:szCs w:val="24"/>
      <w:lang w:eastAsia="es-CR"/>
    </w:rPr>
  </w:style>
  <w:style w:type="character" w:customStyle="1" w:styleId="TextoindependienteCar">
    <w:name w:val="Texto independiente Car"/>
    <w:basedOn w:val="Fuentedeprrafopredeter"/>
    <w:link w:val="Textoindependiente"/>
    <w:uiPriority w:val="99"/>
    <w:semiHidden/>
    <w:rsid w:val="000C66EC"/>
    <w:rPr>
      <w:rFonts w:ascii="Times New Roman" w:hAnsi="Times New Roman" w:cs="Times New Roman"/>
      <w:sz w:val="24"/>
      <w:szCs w:val="24"/>
      <w:lang w:eastAsia="es-CR"/>
    </w:rPr>
  </w:style>
  <w:style w:type="character" w:styleId="nfasis">
    <w:name w:val="Emphasis"/>
    <w:basedOn w:val="Fuentedeprrafopredeter"/>
    <w:uiPriority w:val="20"/>
    <w:qFormat/>
    <w:rsid w:val="009E1CD7"/>
    <w:rPr>
      <w:i/>
      <w:iCs/>
    </w:rPr>
  </w:style>
  <w:style w:type="character" w:styleId="Textoennegrita">
    <w:name w:val="Strong"/>
    <w:basedOn w:val="Fuentedeprrafopredeter"/>
    <w:uiPriority w:val="22"/>
    <w:qFormat/>
    <w:rsid w:val="009E1CD7"/>
    <w:rPr>
      <w:b/>
      <w:bCs/>
    </w:rPr>
  </w:style>
  <w:style w:type="character" w:styleId="Hipervnculo">
    <w:name w:val="Hyperlink"/>
    <w:basedOn w:val="Fuentedeprrafopredeter"/>
    <w:uiPriority w:val="99"/>
    <w:semiHidden/>
    <w:unhideWhenUsed/>
    <w:rsid w:val="001159BE"/>
    <w:rPr>
      <w:color w:val="0563C1"/>
      <w:u w:val="single"/>
    </w:rPr>
  </w:style>
  <w:style w:type="paragraph" w:styleId="Textoindependiente3">
    <w:name w:val="Body Text 3"/>
    <w:basedOn w:val="Normal"/>
    <w:link w:val="Textoindependiente3Car"/>
    <w:uiPriority w:val="99"/>
    <w:semiHidden/>
    <w:unhideWhenUsed/>
    <w:rsid w:val="006C359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C3592"/>
    <w:rPr>
      <w:sz w:val="16"/>
      <w:szCs w:val="16"/>
    </w:rPr>
  </w:style>
  <w:style w:type="paragraph" w:styleId="Textonotapie">
    <w:name w:val="footnote text"/>
    <w:basedOn w:val="Normal"/>
    <w:link w:val="TextonotapieCar1"/>
    <w:uiPriority w:val="99"/>
    <w:semiHidden/>
    <w:unhideWhenUsed/>
    <w:rsid w:val="006C3592"/>
    <w:pPr>
      <w:spacing w:after="0" w:line="240" w:lineRule="auto"/>
    </w:pPr>
    <w:rPr>
      <w:sz w:val="20"/>
      <w:szCs w:val="20"/>
    </w:rPr>
  </w:style>
  <w:style w:type="character" w:customStyle="1" w:styleId="TextonotapieCar">
    <w:name w:val="Texto nota pie Car"/>
    <w:basedOn w:val="Fuentedeprrafopredeter"/>
    <w:uiPriority w:val="99"/>
    <w:semiHidden/>
    <w:rsid w:val="006C3592"/>
    <w:rPr>
      <w:sz w:val="20"/>
      <w:szCs w:val="20"/>
    </w:rPr>
  </w:style>
  <w:style w:type="character" w:customStyle="1" w:styleId="TextonotapieCar1">
    <w:name w:val="Texto nota pie Car1"/>
    <w:basedOn w:val="Fuentedeprrafopredeter"/>
    <w:link w:val="Textonotapie"/>
    <w:uiPriority w:val="99"/>
    <w:semiHidden/>
    <w:rsid w:val="006C3592"/>
    <w:rPr>
      <w:sz w:val="20"/>
      <w:szCs w:val="20"/>
    </w:rPr>
  </w:style>
  <w:style w:type="character" w:styleId="Refdenotaalpie">
    <w:name w:val="footnote reference"/>
    <w:basedOn w:val="Fuentedeprrafopredeter"/>
    <w:uiPriority w:val="99"/>
    <w:semiHidden/>
    <w:unhideWhenUsed/>
    <w:rsid w:val="006C3592"/>
    <w:rPr>
      <w:vertAlign w:val="superscript"/>
    </w:rPr>
  </w:style>
  <w:style w:type="table" w:customStyle="1" w:styleId="Tablaconcuadrcula1">
    <w:name w:val="Tabla con cuadrícula1"/>
    <w:basedOn w:val="Tablanormal"/>
    <w:next w:val="Tablaconcuadrcula"/>
    <w:uiPriority w:val="59"/>
    <w:rsid w:val="008E0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970BF"/>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apple-converted-space">
    <w:name w:val="apple-converted-space"/>
    <w:basedOn w:val="Fuentedeprrafopredeter"/>
    <w:rsid w:val="00B970BF"/>
  </w:style>
  <w:style w:type="paragraph" w:customStyle="1" w:styleId="Prrafodelista1">
    <w:name w:val="Párrafo de lista1"/>
    <w:basedOn w:val="Normal"/>
    <w:qFormat/>
    <w:rsid w:val="008052F9"/>
    <w:pPr>
      <w:ind w:left="720"/>
      <w:contextualSpacing/>
    </w:pPr>
    <w:rPr>
      <w:rFonts w:ascii="Calibri" w:eastAsia="Times New Roman" w:hAnsi="Calibri" w:cs="Times New Roman"/>
      <w:lang w:val="es-ES"/>
    </w:rPr>
  </w:style>
  <w:style w:type="table" w:customStyle="1" w:styleId="Tablaconcuadrcula2">
    <w:name w:val="Tabla con cuadrícula2"/>
    <w:basedOn w:val="Tablanormal"/>
    <w:next w:val="Tablaconcuadrcula"/>
    <w:uiPriority w:val="59"/>
    <w:rsid w:val="00F3758F"/>
    <w:pPr>
      <w:spacing w:after="0" w:line="240" w:lineRule="auto"/>
    </w:pPr>
    <w:rPr>
      <w:rFonts w:ascii="Calibri" w:eastAsia="Calibri" w:hAnsi="Calibri"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FE75B2"/>
    <w:pPr>
      <w:spacing w:after="120" w:line="480" w:lineRule="auto"/>
    </w:pPr>
  </w:style>
  <w:style w:type="character" w:customStyle="1" w:styleId="Textoindependiente2Car">
    <w:name w:val="Texto independiente 2 Car"/>
    <w:basedOn w:val="Fuentedeprrafopredeter"/>
    <w:link w:val="Textoindependiente2"/>
    <w:uiPriority w:val="99"/>
    <w:semiHidden/>
    <w:rsid w:val="00FE75B2"/>
  </w:style>
  <w:style w:type="table" w:customStyle="1" w:styleId="Tablaconcuadrcula3">
    <w:name w:val="Tabla con cuadrícula3"/>
    <w:basedOn w:val="Tablanormal"/>
    <w:next w:val="Tablaconcuadrcula"/>
    <w:uiPriority w:val="59"/>
    <w:rsid w:val="00FE29B3"/>
    <w:pPr>
      <w:spacing w:after="0" w:line="240" w:lineRule="auto"/>
    </w:pPr>
    <w:rPr>
      <w:rFonts w:eastAsiaTheme="minorEastAsia"/>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uiPriority w:val="99"/>
    <w:rsid w:val="008176E9"/>
    <w:pPr>
      <w:spacing w:after="0" w:line="240" w:lineRule="auto"/>
    </w:pPr>
    <w:rPr>
      <w:rFonts w:ascii="Times New Roman" w:hAnsi="Times New Roman" w:cs="Times New Roman"/>
      <w:sz w:val="24"/>
      <w:szCs w:val="24"/>
      <w:lang w:val="es-ES" w:eastAsia="es-ES"/>
    </w:rPr>
  </w:style>
  <w:style w:type="paragraph" w:customStyle="1" w:styleId="Textodecampo">
    <w:name w:val="Texto de campo"/>
    <w:basedOn w:val="Normal"/>
    <w:rsid w:val="00C049F7"/>
    <w:pPr>
      <w:spacing w:before="60" w:after="60" w:line="240" w:lineRule="auto"/>
    </w:pPr>
    <w:rPr>
      <w:rFonts w:ascii="Arial" w:eastAsia="Times New Roman" w:hAnsi="Arial" w:cs="Arial"/>
      <w:sz w:val="19"/>
      <w:szCs w:val="19"/>
      <w:lang w:val="en-US" w:bidi="en-US"/>
    </w:rPr>
  </w:style>
  <w:style w:type="paragraph" w:styleId="Sinespaciado">
    <w:name w:val="No Spacing"/>
    <w:uiPriority w:val="1"/>
    <w:qFormat/>
    <w:rsid w:val="00955EEE"/>
    <w:pPr>
      <w:spacing w:after="0" w:line="240" w:lineRule="auto"/>
    </w:pPr>
    <w:rPr>
      <w:rFonts w:ascii="Calibri" w:eastAsia="Calibri" w:hAnsi="Calibri" w:cs="Times New Roman"/>
    </w:rPr>
  </w:style>
  <w:style w:type="paragraph" w:customStyle="1" w:styleId="Default">
    <w:name w:val="Default"/>
    <w:rsid w:val="00551420"/>
    <w:pPr>
      <w:autoSpaceDE w:val="0"/>
      <w:autoSpaceDN w:val="0"/>
      <w:adjustRightInd w:val="0"/>
      <w:spacing w:after="0" w:line="240" w:lineRule="auto"/>
    </w:pPr>
    <w:rPr>
      <w:rFonts w:ascii="Book Antiqua" w:eastAsia="Times New Roman" w:hAnsi="Book Antiqua" w:cs="Book Antiqua"/>
      <w:color w:val="000000"/>
      <w:sz w:val="24"/>
      <w:szCs w:val="24"/>
      <w:lang w:eastAsia="es-CR"/>
    </w:rPr>
  </w:style>
  <w:style w:type="paragraph" w:customStyle="1" w:styleId="Car">
    <w:name w:val="Car"/>
    <w:basedOn w:val="Normal"/>
    <w:semiHidden/>
    <w:rsid w:val="00BA122B"/>
    <w:pPr>
      <w:spacing w:after="160" w:line="240" w:lineRule="exact"/>
    </w:pPr>
    <w:rPr>
      <w:rFonts w:ascii="Verdana" w:eastAsia="Times New Roman" w:hAnsi="Verdana" w:cs="Times New Roman"/>
      <w:sz w:val="20"/>
      <w:szCs w:val="21"/>
      <w:lang w:val="en-AU"/>
    </w:rPr>
  </w:style>
  <w:style w:type="paragraph" w:customStyle="1" w:styleId="Car0">
    <w:name w:val="Car"/>
    <w:basedOn w:val="Normal"/>
    <w:semiHidden/>
    <w:rsid w:val="00936AC4"/>
    <w:pPr>
      <w:spacing w:after="160" w:line="240" w:lineRule="exact"/>
    </w:pPr>
    <w:rPr>
      <w:rFonts w:ascii="Verdana" w:eastAsia="Times New Roman" w:hAnsi="Verdana" w:cs="Times New Roman"/>
      <w:sz w:val="20"/>
      <w:szCs w:val="21"/>
      <w:lang w:val="en-AU"/>
    </w:rPr>
  </w:style>
  <w:style w:type="paragraph" w:customStyle="1" w:styleId="xmsonormal0">
    <w:name w:val="xmsonormal"/>
    <w:basedOn w:val="Normal"/>
    <w:rsid w:val="000D7823"/>
    <w:pPr>
      <w:spacing w:before="100" w:beforeAutospacing="1" w:after="100" w:afterAutospacing="1" w:line="240" w:lineRule="auto"/>
    </w:pPr>
    <w:rPr>
      <w:rFonts w:ascii="Calibri" w:hAnsi="Calibri" w:cs="Calibri"/>
      <w:lang w:eastAsia="es-CR"/>
    </w:rPr>
  </w:style>
  <w:style w:type="paragraph" w:customStyle="1" w:styleId="Car00">
    <w:name w:val="Car0"/>
    <w:basedOn w:val="Normal"/>
    <w:semiHidden/>
    <w:rsid w:val="008025B6"/>
    <w:pPr>
      <w:spacing w:after="160" w:line="240" w:lineRule="exact"/>
    </w:pPr>
    <w:rPr>
      <w:rFonts w:ascii="Verdana" w:eastAsia="Times New Roman" w:hAnsi="Verdana" w:cs="Times New Roman"/>
      <w:sz w:val="20"/>
      <w:szCs w:val="21"/>
      <w:lang w:val="en-AU"/>
    </w:rPr>
  </w:style>
  <w:style w:type="character" w:styleId="Refdecomentario">
    <w:name w:val="annotation reference"/>
    <w:basedOn w:val="Fuentedeprrafopredeter"/>
    <w:uiPriority w:val="99"/>
    <w:semiHidden/>
    <w:unhideWhenUsed/>
    <w:rsid w:val="007E44FA"/>
    <w:rPr>
      <w:sz w:val="16"/>
      <w:szCs w:val="16"/>
    </w:rPr>
  </w:style>
  <w:style w:type="paragraph" w:styleId="Textocomentario">
    <w:name w:val="annotation text"/>
    <w:basedOn w:val="Normal"/>
    <w:link w:val="TextocomentarioCar"/>
    <w:uiPriority w:val="99"/>
    <w:semiHidden/>
    <w:unhideWhenUsed/>
    <w:rsid w:val="007E44F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44FA"/>
    <w:rPr>
      <w:sz w:val="20"/>
      <w:szCs w:val="20"/>
    </w:rPr>
  </w:style>
  <w:style w:type="paragraph" w:styleId="Asuntodelcomentario">
    <w:name w:val="annotation subject"/>
    <w:basedOn w:val="Textocomentario"/>
    <w:next w:val="Textocomentario"/>
    <w:link w:val="AsuntodelcomentarioCar"/>
    <w:uiPriority w:val="99"/>
    <w:semiHidden/>
    <w:unhideWhenUsed/>
    <w:rsid w:val="007E44FA"/>
    <w:rPr>
      <w:b/>
      <w:bCs/>
    </w:rPr>
  </w:style>
  <w:style w:type="character" w:customStyle="1" w:styleId="AsuntodelcomentarioCar">
    <w:name w:val="Asunto del comentario Car"/>
    <w:basedOn w:val="TextocomentarioCar"/>
    <w:link w:val="Asuntodelcomentario"/>
    <w:uiPriority w:val="99"/>
    <w:semiHidden/>
    <w:rsid w:val="007E44FA"/>
    <w:rPr>
      <w:b/>
      <w:bCs/>
      <w:sz w:val="20"/>
      <w:szCs w:val="20"/>
    </w:rPr>
  </w:style>
  <w:style w:type="paragraph" w:styleId="Revisin">
    <w:name w:val="Revision"/>
    <w:hidden/>
    <w:uiPriority w:val="99"/>
    <w:semiHidden/>
    <w:rsid w:val="003F49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04285">
      <w:bodyDiv w:val="1"/>
      <w:marLeft w:val="0"/>
      <w:marRight w:val="0"/>
      <w:marTop w:val="0"/>
      <w:marBottom w:val="0"/>
      <w:divBdr>
        <w:top w:val="none" w:sz="0" w:space="0" w:color="auto"/>
        <w:left w:val="none" w:sz="0" w:space="0" w:color="auto"/>
        <w:bottom w:val="none" w:sz="0" w:space="0" w:color="auto"/>
        <w:right w:val="none" w:sz="0" w:space="0" w:color="auto"/>
      </w:divBdr>
    </w:div>
    <w:div w:id="53966799">
      <w:bodyDiv w:val="1"/>
      <w:marLeft w:val="0"/>
      <w:marRight w:val="0"/>
      <w:marTop w:val="0"/>
      <w:marBottom w:val="0"/>
      <w:divBdr>
        <w:top w:val="none" w:sz="0" w:space="0" w:color="auto"/>
        <w:left w:val="none" w:sz="0" w:space="0" w:color="auto"/>
        <w:bottom w:val="none" w:sz="0" w:space="0" w:color="auto"/>
        <w:right w:val="none" w:sz="0" w:space="0" w:color="auto"/>
      </w:divBdr>
    </w:div>
    <w:div w:id="92433382">
      <w:bodyDiv w:val="1"/>
      <w:marLeft w:val="0"/>
      <w:marRight w:val="0"/>
      <w:marTop w:val="0"/>
      <w:marBottom w:val="0"/>
      <w:divBdr>
        <w:top w:val="none" w:sz="0" w:space="0" w:color="auto"/>
        <w:left w:val="none" w:sz="0" w:space="0" w:color="auto"/>
        <w:bottom w:val="none" w:sz="0" w:space="0" w:color="auto"/>
        <w:right w:val="none" w:sz="0" w:space="0" w:color="auto"/>
      </w:divBdr>
    </w:div>
    <w:div w:id="142084999">
      <w:bodyDiv w:val="1"/>
      <w:marLeft w:val="0"/>
      <w:marRight w:val="0"/>
      <w:marTop w:val="0"/>
      <w:marBottom w:val="0"/>
      <w:divBdr>
        <w:top w:val="none" w:sz="0" w:space="0" w:color="auto"/>
        <w:left w:val="none" w:sz="0" w:space="0" w:color="auto"/>
        <w:bottom w:val="none" w:sz="0" w:space="0" w:color="auto"/>
        <w:right w:val="none" w:sz="0" w:space="0" w:color="auto"/>
      </w:divBdr>
    </w:div>
    <w:div w:id="208879565">
      <w:bodyDiv w:val="1"/>
      <w:marLeft w:val="0"/>
      <w:marRight w:val="0"/>
      <w:marTop w:val="0"/>
      <w:marBottom w:val="0"/>
      <w:divBdr>
        <w:top w:val="none" w:sz="0" w:space="0" w:color="auto"/>
        <w:left w:val="none" w:sz="0" w:space="0" w:color="auto"/>
        <w:bottom w:val="none" w:sz="0" w:space="0" w:color="auto"/>
        <w:right w:val="none" w:sz="0" w:space="0" w:color="auto"/>
      </w:divBdr>
    </w:div>
    <w:div w:id="218516160">
      <w:bodyDiv w:val="1"/>
      <w:marLeft w:val="0"/>
      <w:marRight w:val="0"/>
      <w:marTop w:val="0"/>
      <w:marBottom w:val="0"/>
      <w:divBdr>
        <w:top w:val="none" w:sz="0" w:space="0" w:color="auto"/>
        <w:left w:val="none" w:sz="0" w:space="0" w:color="auto"/>
        <w:bottom w:val="none" w:sz="0" w:space="0" w:color="auto"/>
        <w:right w:val="none" w:sz="0" w:space="0" w:color="auto"/>
      </w:divBdr>
    </w:div>
    <w:div w:id="241066197">
      <w:bodyDiv w:val="1"/>
      <w:marLeft w:val="0"/>
      <w:marRight w:val="0"/>
      <w:marTop w:val="0"/>
      <w:marBottom w:val="0"/>
      <w:divBdr>
        <w:top w:val="none" w:sz="0" w:space="0" w:color="auto"/>
        <w:left w:val="none" w:sz="0" w:space="0" w:color="auto"/>
        <w:bottom w:val="none" w:sz="0" w:space="0" w:color="auto"/>
        <w:right w:val="none" w:sz="0" w:space="0" w:color="auto"/>
      </w:divBdr>
    </w:div>
    <w:div w:id="321542220">
      <w:bodyDiv w:val="1"/>
      <w:marLeft w:val="0"/>
      <w:marRight w:val="0"/>
      <w:marTop w:val="0"/>
      <w:marBottom w:val="0"/>
      <w:divBdr>
        <w:top w:val="none" w:sz="0" w:space="0" w:color="auto"/>
        <w:left w:val="none" w:sz="0" w:space="0" w:color="auto"/>
        <w:bottom w:val="none" w:sz="0" w:space="0" w:color="auto"/>
        <w:right w:val="none" w:sz="0" w:space="0" w:color="auto"/>
      </w:divBdr>
    </w:div>
    <w:div w:id="327900482">
      <w:bodyDiv w:val="1"/>
      <w:marLeft w:val="0"/>
      <w:marRight w:val="0"/>
      <w:marTop w:val="0"/>
      <w:marBottom w:val="0"/>
      <w:divBdr>
        <w:top w:val="none" w:sz="0" w:space="0" w:color="auto"/>
        <w:left w:val="none" w:sz="0" w:space="0" w:color="auto"/>
        <w:bottom w:val="none" w:sz="0" w:space="0" w:color="auto"/>
        <w:right w:val="none" w:sz="0" w:space="0" w:color="auto"/>
      </w:divBdr>
    </w:div>
    <w:div w:id="366682500">
      <w:bodyDiv w:val="1"/>
      <w:marLeft w:val="0"/>
      <w:marRight w:val="0"/>
      <w:marTop w:val="0"/>
      <w:marBottom w:val="0"/>
      <w:divBdr>
        <w:top w:val="none" w:sz="0" w:space="0" w:color="auto"/>
        <w:left w:val="none" w:sz="0" w:space="0" w:color="auto"/>
        <w:bottom w:val="none" w:sz="0" w:space="0" w:color="auto"/>
        <w:right w:val="none" w:sz="0" w:space="0" w:color="auto"/>
      </w:divBdr>
    </w:div>
    <w:div w:id="457534227">
      <w:bodyDiv w:val="1"/>
      <w:marLeft w:val="0"/>
      <w:marRight w:val="0"/>
      <w:marTop w:val="0"/>
      <w:marBottom w:val="0"/>
      <w:divBdr>
        <w:top w:val="none" w:sz="0" w:space="0" w:color="auto"/>
        <w:left w:val="none" w:sz="0" w:space="0" w:color="auto"/>
        <w:bottom w:val="none" w:sz="0" w:space="0" w:color="auto"/>
        <w:right w:val="none" w:sz="0" w:space="0" w:color="auto"/>
      </w:divBdr>
    </w:div>
    <w:div w:id="483359047">
      <w:bodyDiv w:val="1"/>
      <w:marLeft w:val="0"/>
      <w:marRight w:val="0"/>
      <w:marTop w:val="0"/>
      <w:marBottom w:val="0"/>
      <w:divBdr>
        <w:top w:val="none" w:sz="0" w:space="0" w:color="auto"/>
        <w:left w:val="none" w:sz="0" w:space="0" w:color="auto"/>
        <w:bottom w:val="none" w:sz="0" w:space="0" w:color="auto"/>
        <w:right w:val="none" w:sz="0" w:space="0" w:color="auto"/>
      </w:divBdr>
    </w:div>
    <w:div w:id="648172719">
      <w:bodyDiv w:val="1"/>
      <w:marLeft w:val="0"/>
      <w:marRight w:val="0"/>
      <w:marTop w:val="0"/>
      <w:marBottom w:val="0"/>
      <w:divBdr>
        <w:top w:val="none" w:sz="0" w:space="0" w:color="auto"/>
        <w:left w:val="none" w:sz="0" w:space="0" w:color="auto"/>
        <w:bottom w:val="none" w:sz="0" w:space="0" w:color="auto"/>
        <w:right w:val="none" w:sz="0" w:space="0" w:color="auto"/>
      </w:divBdr>
    </w:div>
    <w:div w:id="654146349">
      <w:bodyDiv w:val="1"/>
      <w:marLeft w:val="0"/>
      <w:marRight w:val="0"/>
      <w:marTop w:val="0"/>
      <w:marBottom w:val="0"/>
      <w:divBdr>
        <w:top w:val="none" w:sz="0" w:space="0" w:color="auto"/>
        <w:left w:val="none" w:sz="0" w:space="0" w:color="auto"/>
        <w:bottom w:val="none" w:sz="0" w:space="0" w:color="auto"/>
        <w:right w:val="none" w:sz="0" w:space="0" w:color="auto"/>
      </w:divBdr>
    </w:div>
    <w:div w:id="664482215">
      <w:bodyDiv w:val="1"/>
      <w:marLeft w:val="0"/>
      <w:marRight w:val="0"/>
      <w:marTop w:val="0"/>
      <w:marBottom w:val="0"/>
      <w:divBdr>
        <w:top w:val="none" w:sz="0" w:space="0" w:color="auto"/>
        <w:left w:val="none" w:sz="0" w:space="0" w:color="auto"/>
        <w:bottom w:val="none" w:sz="0" w:space="0" w:color="auto"/>
        <w:right w:val="none" w:sz="0" w:space="0" w:color="auto"/>
      </w:divBdr>
    </w:div>
    <w:div w:id="707878006">
      <w:bodyDiv w:val="1"/>
      <w:marLeft w:val="0"/>
      <w:marRight w:val="0"/>
      <w:marTop w:val="0"/>
      <w:marBottom w:val="0"/>
      <w:divBdr>
        <w:top w:val="none" w:sz="0" w:space="0" w:color="auto"/>
        <w:left w:val="none" w:sz="0" w:space="0" w:color="auto"/>
        <w:bottom w:val="none" w:sz="0" w:space="0" w:color="auto"/>
        <w:right w:val="none" w:sz="0" w:space="0" w:color="auto"/>
      </w:divBdr>
    </w:div>
    <w:div w:id="723067824">
      <w:bodyDiv w:val="1"/>
      <w:marLeft w:val="0"/>
      <w:marRight w:val="0"/>
      <w:marTop w:val="0"/>
      <w:marBottom w:val="0"/>
      <w:divBdr>
        <w:top w:val="none" w:sz="0" w:space="0" w:color="auto"/>
        <w:left w:val="none" w:sz="0" w:space="0" w:color="auto"/>
        <w:bottom w:val="none" w:sz="0" w:space="0" w:color="auto"/>
        <w:right w:val="none" w:sz="0" w:space="0" w:color="auto"/>
      </w:divBdr>
    </w:div>
    <w:div w:id="742488539">
      <w:bodyDiv w:val="1"/>
      <w:marLeft w:val="0"/>
      <w:marRight w:val="0"/>
      <w:marTop w:val="0"/>
      <w:marBottom w:val="0"/>
      <w:divBdr>
        <w:top w:val="none" w:sz="0" w:space="0" w:color="auto"/>
        <w:left w:val="none" w:sz="0" w:space="0" w:color="auto"/>
        <w:bottom w:val="none" w:sz="0" w:space="0" w:color="auto"/>
        <w:right w:val="none" w:sz="0" w:space="0" w:color="auto"/>
      </w:divBdr>
    </w:div>
    <w:div w:id="791365627">
      <w:bodyDiv w:val="1"/>
      <w:marLeft w:val="0"/>
      <w:marRight w:val="0"/>
      <w:marTop w:val="0"/>
      <w:marBottom w:val="0"/>
      <w:divBdr>
        <w:top w:val="none" w:sz="0" w:space="0" w:color="auto"/>
        <w:left w:val="none" w:sz="0" w:space="0" w:color="auto"/>
        <w:bottom w:val="none" w:sz="0" w:space="0" w:color="auto"/>
        <w:right w:val="none" w:sz="0" w:space="0" w:color="auto"/>
      </w:divBdr>
    </w:div>
    <w:div w:id="831415425">
      <w:bodyDiv w:val="1"/>
      <w:marLeft w:val="0"/>
      <w:marRight w:val="0"/>
      <w:marTop w:val="0"/>
      <w:marBottom w:val="0"/>
      <w:divBdr>
        <w:top w:val="none" w:sz="0" w:space="0" w:color="auto"/>
        <w:left w:val="none" w:sz="0" w:space="0" w:color="auto"/>
        <w:bottom w:val="none" w:sz="0" w:space="0" w:color="auto"/>
        <w:right w:val="none" w:sz="0" w:space="0" w:color="auto"/>
      </w:divBdr>
    </w:div>
    <w:div w:id="952175298">
      <w:bodyDiv w:val="1"/>
      <w:marLeft w:val="0"/>
      <w:marRight w:val="0"/>
      <w:marTop w:val="0"/>
      <w:marBottom w:val="0"/>
      <w:divBdr>
        <w:top w:val="none" w:sz="0" w:space="0" w:color="auto"/>
        <w:left w:val="none" w:sz="0" w:space="0" w:color="auto"/>
        <w:bottom w:val="none" w:sz="0" w:space="0" w:color="auto"/>
        <w:right w:val="none" w:sz="0" w:space="0" w:color="auto"/>
      </w:divBdr>
    </w:div>
    <w:div w:id="981613631">
      <w:bodyDiv w:val="1"/>
      <w:marLeft w:val="0"/>
      <w:marRight w:val="0"/>
      <w:marTop w:val="0"/>
      <w:marBottom w:val="0"/>
      <w:divBdr>
        <w:top w:val="none" w:sz="0" w:space="0" w:color="auto"/>
        <w:left w:val="none" w:sz="0" w:space="0" w:color="auto"/>
        <w:bottom w:val="none" w:sz="0" w:space="0" w:color="auto"/>
        <w:right w:val="none" w:sz="0" w:space="0" w:color="auto"/>
      </w:divBdr>
    </w:div>
    <w:div w:id="1075125914">
      <w:bodyDiv w:val="1"/>
      <w:marLeft w:val="0"/>
      <w:marRight w:val="0"/>
      <w:marTop w:val="0"/>
      <w:marBottom w:val="0"/>
      <w:divBdr>
        <w:top w:val="none" w:sz="0" w:space="0" w:color="auto"/>
        <w:left w:val="none" w:sz="0" w:space="0" w:color="auto"/>
        <w:bottom w:val="none" w:sz="0" w:space="0" w:color="auto"/>
        <w:right w:val="none" w:sz="0" w:space="0" w:color="auto"/>
      </w:divBdr>
    </w:div>
    <w:div w:id="1150950363">
      <w:bodyDiv w:val="1"/>
      <w:marLeft w:val="0"/>
      <w:marRight w:val="0"/>
      <w:marTop w:val="0"/>
      <w:marBottom w:val="0"/>
      <w:divBdr>
        <w:top w:val="none" w:sz="0" w:space="0" w:color="auto"/>
        <w:left w:val="none" w:sz="0" w:space="0" w:color="auto"/>
        <w:bottom w:val="none" w:sz="0" w:space="0" w:color="auto"/>
        <w:right w:val="none" w:sz="0" w:space="0" w:color="auto"/>
      </w:divBdr>
    </w:div>
    <w:div w:id="1196699369">
      <w:bodyDiv w:val="1"/>
      <w:marLeft w:val="0"/>
      <w:marRight w:val="0"/>
      <w:marTop w:val="0"/>
      <w:marBottom w:val="0"/>
      <w:divBdr>
        <w:top w:val="none" w:sz="0" w:space="0" w:color="auto"/>
        <w:left w:val="none" w:sz="0" w:space="0" w:color="auto"/>
        <w:bottom w:val="none" w:sz="0" w:space="0" w:color="auto"/>
        <w:right w:val="none" w:sz="0" w:space="0" w:color="auto"/>
      </w:divBdr>
    </w:div>
    <w:div w:id="1222591472">
      <w:bodyDiv w:val="1"/>
      <w:marLeft w:val="0"/>
      <w:marRight w:val="0"/>
      <w:marTop w:val="0"/>
      <w:marBottom w:val="0"/>
      <w:divBdr>
        <w:top w:val="none" w:sz="0" w:space="0" w:color="auto"/>
        <w:left w:val="none" w:sz="0" w:space="0" w:color="auto"/>
        <w:bottom w:val="none" w:sz="0" w:space="0" w:color="auto"/>
        <w:right w:val="none" w:sz="0" w:space="0" w:color="auto"/>
      </w:divBdr>
    </w:div>
    <w:div w:id="1280143407">
      <w:bodyDiv w:val="1"/>
      <w:marLeft w:val="0"/>
      <w:marRight w:val="0"/>
      <w:marTop w:val="0"/>
      <w:marBottom w:val="0"/>
      <w:divBdr>
        <w:top w:val="none" w:sz="0" w:space="0" w:color="auto"/>
        <w:left w:val="none" w:sz="0" w:space="0" w:color="auto"/>
        <w:bottom w:val="none" w:sz="0" w:space="0" w:color="auto"/>
        <w:right w:val="none" w:sz="0" w:space="0" w:color="auto"/>
      </w:divBdr>
    </w:div>
    <w:div w:id="1333020699">
      <w:bodyDiv w:val="1"/>
      <w:marLeft w:val="0"/>
      <w:marRight w:val="0"/>
      <w:marTop w:val="0"/>
      <w:marBottom w:val="0"/>
      <w:divBdr>
        <w:top w:val="none" w:sz="0" w:space="0" w:color="auto"/>
        <w:left w:val="none" w:sz="0" w:space="0" w:color="auto"/>
        <w:bottom w:val="none" w:sz="0" w:space="0" w:color="auto"/>
        <w:right w:val="none" w:sz="0" w:space="0" w:color="auto"/>
      </w:divBdr>
    </w:div>
    <w:div w:id="1460488223">
      <w:bodyDiv w:val="1"/>
      <w:marLeft w:val="0"/>
      <w:marRight w:val="0"/>
      <w:marTop w:val="0"/>
      <w:marBottom w:val="0"/>
      <w:divBdr>
        <w:top w:val="none" w:sz="0" w:space="0" w:color="auto"/>
        <w:left w:val="none" w:sz="0" w:space="0" w:color="auto"/>
        <w:bottom w:val="none" w:sz="0" w:space="0" w:color="auto"/>
        <w:right w:val="none" w:sz="0" w:space="0" w:color="auto"/>
      </w:divBdr>
    </w:div>
    <w:div w:id="1474561344">
      <w:bodyDiv w:val="1"/>
      <w:marLeft w:val="0"/>
      <w:marRight w:val="0"/>
      <w:marTop w:val="0"/>
      <w:marBottom w:val="0"/>
      <w:divBdr>
        <w:top w:val="none" w:sz="0" w:space="0" w:color="auto"/>
        <w:left w:val="none" w:sz="0" w:space="0" w:color="auto"/>
        <w:bottom w:val="none" w:sz="0" w:space="0" w:color="auto"/>
        <w:right w:val="none" w:sz="0" w:space="0" w:color="auto"/>
      </w:divBdr>
    </w:div>
    <w:div w:id="1505514413">
      <w:bodyDiv w:val="1"/>
      <w:marLeft w:val="0"/>
      <w:marRight w:val="0"/>
      <w:marTop w:val="0"/>
      <w:marBottom w:val="0"/>
      <w:divBdr>
        <w:top w:val="none" w:sz="0" w:space="0" w:color="auto"/>
        <w:left w:val="none" w:sz="0" w:space="0" w:color="auto"/>
        <w:bottom w:val="none" w:sz="0" w:space="0" w:color="auto"/>
        <w:right w:val="none" w:sz="0" w:space="0" w:color="auto"/>
      </w:divBdr>
    </w:div>
    <w:div w:id="1634481844">
      <w:bodyDiv w:val="1"/>
      <w:marLeft w:val="0"/>
      <w:marRight w:val="0"/>
      <w:marTop w:val="0"/>
      <w:marBottom w:val="0"/>
      <w:divBdr>
        <w:top w:val="none" w:sz="0" w:space="0" w:color="auto"/>
        <w:left w:val="none" w:sz="0" w:space="0" w:color="auto"/>
        <w:bottom w:val="none" w:sz="0" w:space="0" w:color="auto"/>
        <w:right w:val="none" w:sz="0" w:space="0" w:color="auto"/>
      </w:divBdr>
    </w:div>
    <w:div w:id="1744837730">
      <w:bodyDiv w:val="1"/>
      <w:marLeft w:val="0"/>
      <w:marRight w:val="0"/>
      <w:marTop w:val="0"/>
      <w:marBottom w:val="0"/>
      <w:divBdr>
        <w:top w:val="none" w:sz="0" w:space="0" w:color="auto"/>
        <w:left w:val="none" w:sz="0" w:space="0" w:color="auto"/>
        <w:bottom w:val="none" w:sz="0" w:space="0" w:color="auto"/>
        <w:right w:val="none" w:sz="0" w:space="0" w:color="auto"/>
      </w:divBdr>
    </w:div>
    <w:div w:id="1800536710">
      <w:bodyDiv w:val="1"/>
      <w:marLeft w:val="0"/>
      <w:marRight w:val="0"/>
      <w:marTop w:val="0"/>
      <w:marBottom w:val="0"/>
      <w:divBdr>
        <w:top w:val="none" w:sz="0" w:space="0" w:color="auto"/>
        <w:left w:val="none" w:sz="0" w:space="0" w:color="auto"/>
        <w:bottom w:val="none" w:sz="0" w:space="0" w:color="auto"/>
        <w:right w:val="none" w:sz="0" w:space="0" w:color="auto"/>
      </w:divBdr>
    </w:div>
    <w:div w:id="1868637818">
      <w:bodyDiv w:val="1"/>
      <w:marLeft w:val="0"/>
      <w:marRight w:val="0"/>
      <w:marTop w:val="0"/>
      <w:marBottom w:val="0"/>
      <w:divBdr>
        <w:top w:val="none" w:sz="0" w:space="0" w:color="auto"/>
        <w:left w:val="none" w:sz="0" w:space="0" w:color="auto"/>
        <w:bottom w:val="none" w:sz="0" w:space="0" w:color="auto"/>
        <w:right w:val="none" w:sz="0" w:space="0" w:color="auto"/>
      </w:divBdr>
    </w:div>
    <w:div w:id="1878350688">
      <w:bodyDiv w:val="1"/>
      <w:marLeft w:val="0"/>
      <w:marRight w:val="0"/>
      <w:marTop w:val="0"/>
      <w:marBottom w:val="0"/>
      <w:divBdr>
        <w:top w:val="none" w:sz="0" w:space="0" w:color="auto"/>
        <w:left w:val="none" w:sz="0" w:space="0" w:color="auto"/>
        <w:bottom w:val="none" w:sz="0" w:space="0" w:color="auto"/>
        <w:right w:val="none" w:sz="0" w:space="0" w:color="auto"/>
      </w:divBdr>
    </w:div>
    <w:div w:id="2020230416">
      <w:bodyDiv w:val="1"/>
      <w:marLeft w:val="0"/>
      <w:marRight w:val="0"/>
      <w:marTop w:val="0"/>
      <w:marBottom w:val="0"/>
      <w:divBdr>
        <w:top w:val="none" w:sz="0" w:space="0" w:color="auto"/>
        <w:left w:val="none" w:sz="0" w:space="0" w:color="auto"/>
        <w:bottom w:val="none" w:sz="0" w:space="0" w:color="auto"/>
        <w:right w:val="none" w:sz="0" w:space="0" w:color="auto"/>
      </w:divBdr>
    </w:div>
    <w:div w:id="2129085252">
      <w:bodyDiv w:val="1"/>
      <w:marLeft w:val="0"/>
      <w:marRight w:val="0"/>
      <w:marTop w:val="0"/>
      <w:marBottom w:val="0"/>
      <w:divBdr>
        <w:top w:val="none" w:sz="0" w:space="0" w:color="auto"/>
        <w:left w:val="none" w:sz="0" w:space="0" w:color="auto"/>
        <w:bottom w:val="none" w:sz="0" w:space="0" w:color="auto"/>
        <w:right w:val="none" w:sz="0" w:space="0" w:color="auto"/>
      </w:divBdr>
    </w:div>
    <w:div w:id="213466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2.docx"/><Relationship Id="rId21" Type="http://schemas.openxmlformats.org/officeDocument/2006/relationships/image" Target="media/image1.emf"/><Relationship Id="rId42" Type="http://schemas.openxmlformats.org/officeDocument/2006/relationships/image" Target="media/image8.emf"/><Relationship Id="rId47" Type="http://schemas.openxmlformats.org/officeDocument/2006/relationships/diagramQuickStyle" Target="diagrams/quickStyle4.xml"/><Relationship Id="rId63" Type="http://schemas.openxmlformats.org/officeDocument/2006/relationships/image" Target="media/image15.emf"/><Relationship Id="rId68" Type="http://schemas.openxmlformats.org/officeDocument/2006/relationships/diagramData" Target="diagrams/data5.xml"/><Relationship Id="rId16" Type="http://schemas.openxmlformats.org/officeDocument/2006/relationships/diagramData" Target="diagrams/data2.xml"/><Relationship Id="rId11" Type="http://schemas.openxmlformats.org/officeDocument/2006/relationships/diagramData" Target="diagrams/data1.xml"/><Relationship Id="rId24" Type="http://schemas.openxmlformats.org/officeDocument/2006/relationships/package" Target="embeddings/Microsoft_Word_Document1.docx"/><Relationship Id="rId32" Type="http://schemas.openxmlformats.org/officeDocument/2006/relationships/diagramColors" Target="diagrams/colors3.xml"/><Relationship Id="rId37" Type="http://schemas.openxmlformats.org/officeDocument/2006/relationships/package" Target="embeddings/Microsoft_Word_Document5.docx"/><Relationship Id="rId40" Type="http://schemas.openxmlformats.org/officeDocument/2006/relationships/image" Target="media/image7.emf"/><Relationship Id="rId45" Type="http://schemas.openxmlformats.org/officeDocument/2006/relationships/diagramData" Target="diagrams/data4.xml"/><Relationship Id="rId53" Type="http://schemas.openxmlformats.org/officeDocument/2006/relationships/image" Target="media/image10.emf"/><Relationship Id="rId58" Type="http://schemas.openxmlformats.org/officeDocument/2006/relationships/package" Target="embeddings/Microsoft_Word_Document15.docx"/><Relationship Id="rId66" Type="http://schemas.openxmlformats.org/officeDocument/2006/relationships/package" Target="embeddings/Microsoft_Word_Document19.docx"/><Relationship Id="rId74" Type="http://schemas.openxmlformats.org/officeDocument/2006/relationships/package" Target="embeddings/Microsoft_Word_Document22.docx"/><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14.emf"/><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package" Target="embeddings/Microsoft_Word_Document.docx"/><Relationship Id="rId27" Type="http://schemas.openxmlformats.org/officeDocument/2006/relationships/image" Target="media/image4.emf"/><Relationship Id="rId30" Type="http://schemas.openxmlformats.org/officeDocument/2006/relationships/diagramLayout" Target="diagrams/layout3.xml"/><Relationship Id="rId35" Type="http://schemas.openxmlformats.org/officeDocument/2006/relationships/package" Target="embeddings/Microsoft_Word_Document4.docx"/><Relationship Id="rId43" Type="http://schemas.openxmlformats.org/officeDocument/2006/relationships/package" Target="embeddings/Microsoft_Word_Document9.docx"/><Relationship Id="rId48" Type="http://schemas.openxmlformats.org/officeDocument/2006/relationships/diagramColors" Target="diagrams/colors4.xml"/><Relationship Id="rId56" Type="http://schemas.openxmlformats.org/officeDocument/2006/relationships/package" Target="embeddings/Microsoft_Word_Document14.docx"/><Relationship Id="rId64" Type="http://schemas.openxmlformats.org/officeDocument/2006/relationships/package" Target="embeddings/Microsoft_Word_Document18.docx"/><Relationship Id="rId69" Type="http://schemas.openxmlformats.org/officeDocument/2006/relationships/diagramLayout" Target="diagrams/layout5.xml"/><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package" Target="embeddings/Microsoft_Word_Document11.docx"/><Relationship Id="rId72" Type="http://schemas.microsoft.com/office/2007/relationships/diagramDrawing" Target="diagrams/drawing5.xml"/><Relationship Id="rId3" Type="http://schemas.openxmlformats.org/officeDocument/2006/relationships/customXml" Target="../customXml/item3.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3.emf"/><Relationship Id="rId33" Type="http://schemas.microsoft.com/office/2007/relationships/diagramDrawing" Target="diagrams/drawing3.xml"/><Relationship Id="rId38" Type="http://schemas.openxmlformats.org/officeDocument/2006/relationships/package" Target="embeddings/Microsoft_Word_Document6.docx"/><Relationship Id="rId46" Type="http://schemas.openxmlformats.org/officeDocument/2006/relationships/diagramLayout" Target="diagrams/layout4.xml"/><Relationship Id="rId59" Type="http://schemas.openxmlformats.org/officeDocument/2006/relationships/image" Target="media/image13.emf"/><Relationship Id="rId67" Type="http://schemas.openxmlformats.org/officeDocument/2006/relationships/package" Target="embeddings/Microsoft_Word_Document20.docx"/><Relationship Id="rId20" Type="http://schemas.microsoft.com/office/2007/relationships/diagramDrawing" Target="diagrams/drawing2.xml"/><Relationship Id="rId41" Type="http://schemas.openxmlformats.org/officeDocument/2006/relationships/package" Target="embeddings/Microsoft_Word_Document8.docx"/><Relationship Id="rId54" Type="http://schemas.openxmlformats.org/officeDocument/2006/relationships/package" Target="embeddings/Microsoft_Word_Document13.docx"/><Relationship Id="rId62" Type="http://schemas.openxmlformats.org/officeDocument/2006/relationships/package" Target="embeddings/Microsoft_Word_Document17.docx"/><Relationship Id="rId70" Type="http://schemas.openxmlformats.org/officeDocument/2006/relationships/diagramQuickStyle" Target="diagrams/quickStyle5.xml"/><Relationship Id="rId75"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image" Target="media/image2.emf"/><Relationship Id="rId28" Type="http://schemas.openxmlformats.org/officeDocument/2006/relationships/package" Target="embeddings/Microsoft_Word_Document3.docx"/><Relationship Id="rId36" Type="http://schemas.openxmlformats.org/officeDocument/2006/relationships/image" Target="media/image6.emf"/><Relationship Id="rId49" Type="http://schemas.microsoft.com/office/2007/relationships/diagramDrawing" Target="diagrams/drawing4.xml"/><Relationship Id="rId57" Type="http://schemas.openxmlformats.org/officeDocument/2006/relationships/image" Target="media/image12.emf"/><Relationship Id="rId10" Type="http://schemas.openxmlformats.org/officeDocument/2006/relationships/endnotes" Target="endnotes.xml"/><Relationship Id="rId31" Type="http://schemas.openxmlformats.org/officeDocument/2006/relationships/diagramQuickStyle" Target="diagrams/quickStyle3.xml"/><Relationship Id="rId44" Type="http://schemas.openxmlformats.org/officeDocument/2006/relationships/package" Target="embeddings/Microsoft_Word_Document10.docx"/><Relationship Id="rId52" Type="http://schemas.openxmlformats.org/officeDocument/2006/relationships/package" Target="embeddings/Microsoft_Word_Document12.docx"/><Relationship Id="rId60" Type="http://schemas.openxmlformats.org/officeDocument/2006/relationships/package" Target="embeddings/Microsoft_Word_Document16.docx"/><Relationship Id="rId65" Type="http://schemas.openxmlformats.org/officeDocument/2006/relationships/image" Target="media/image16.emf"/><Relationship Id="rId73" Type="http://schemas.openxmlformats.org/officeDocument/2006/relationships/package" Target="embeddings/Microsoft_Word_Document21.docx"/><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package" Target="embeddings/Microsoft_Word_Document7.docx"/><Relationship Id="rId34" Type="http://schemas.openxmlformats.org/officeDocument/2006/relationships/image" Target="media/image5.emf"/><Relationship Id="rId50" Type="http://schemas.openxmlformats.org/officeDocument/2006/relationships/image" Target="media/image9.emf"/><Relationship Id="rId55" Type="http://schemas.openxmlformats.org/officeDocument/2006/relationships/image" Target="media/image11.emf"/><Relationship Id="rId76" Type="http://schemas.openxmlformats.org/officeDocument/2006/relationships/package" Target="embeddings/Microsoft_Word_Document23.docx"/><Relationship Id="rId7" Type="http://schemas.openxmlformats.org/officeDocument/2006/relationships/settings" Target="settings.xml"/><Relationship Id="rId71" Type="http://schemas.openxmlformats.org/officeDocument/2006/relationships/diagramColors" Target="diagrams/colors5.xml"/><Relationship Id="rId2" Type="http://schemas.openxmlformats.org/officeDocument/2006/relationships/customXml" Target="../customXml/item2.xml"/><Relationship Id="rId29" Type="http://schemas.openxmlformats.org/officeDocument/2006/relationships/diagramData" Target="diagrams/data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9F49FF-C964-442D-B16E-9AFC596ADB97}"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1C0298F7-D109-4EAF-933A-1C84C8CFB60D}">
      <dgm:prSet phldrT="[Texto]"/>
      <dgm:spPr>
        <a:xfrm>
          <a:off x="1676731" y="110913"/>
          <a:ext cx="464343" cy="464343"/>
        </a:xfrm>
        <a:prstGeom prst="roundRect">
          <a:avLst/>
        </a:prstGeom>
        <a:solidFill>
          <a:srgbClr val="FFFF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Text" lastClr="000000"/>
              </a:solidFill>
              <a:latin typeface="Calibri"/>
              <a:ea typeface="+mn-ea"/>
              <a:cs typeface="+mn-cs"/>
            </a:rPr>
            <a:t>Face 2 Alerta Amarilla</a:t>
          </a:r>
        </a:p>
      </dgm:t>
    </dgm:pt>
    <dgm:pt modelId="{57B3B9C3-40FD-43F1-9B62-DD367E3BB31B}" type="parTrans" cxnId="{54CE3D84-625F-46DC-AF7F-1188944B71AA}">
      <dgm:prSet/>
      <dgm:spPr/>
      <dgm:t>
        <a:bodyPr/>
        <a:lstStyle/>
        <a:p>
          <a:endParaRPr lang="es-CR"/>
        </a:p>
      </dgm:t>
    </dgm:pt>
    <dgm:pt modelId="{9DE503D3-2863-46A3-B817-28AB0837640D}" type="sibTrans" cxnId="{54CE3D84-625F-46DC-AF7F-1188944B71AA}">
      <dgm:prSet/>
      <dgm:spPr/>
      <dgm:t>
        <a:bodyPr/>
        <a:lstStyle/>
        <a:p>
          <a:endParaRPr lang="es-CR"/>
        </a:p>
      </dgm:t>
    </dgm:pt>
    <dgm:pt modelId="{F79214B8-1CC7-4058-B330-E4D6D7AC8D6E}">
      <dgm:prSet phldrT="[Texto]"/>
      <dgm:spPr>
        <a:xfrm>
          <a:off x="1169683" y="629157"/>
          <a:ext cx="464343" cy="464343"/>
        </a:xfrm>
        <a:prstGeom prst="roundRect">
          <a:avLst/>
        </a:prstGeom>
        <a:solidFill>
          <a:srgbClr val="EF9721"/>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Face 3 Alerta Naranja</a:t>
          </a:r>
        </a:p>
      </dgm:t>
    </dgm:pt>
    <dgm:pt modelId="{F574C5D4-EF3F-41C8-94B8-4E0671BA5B13}" type="parTrans" cxnId="{07D6614E-AA82-4177-8EC1-2E176F5A4A8A}">
      <dgm:prSet/>
      <dgm:spPr/>
      <dgm:t>
        <a:bodyPr/>
        <a:lstStyle/>
        <a:p>
          <a:endParaRPr lang="es-CR"/>
        </a:p>
      </dgm:t>
    </dgm:pt>
    <dgm:pt modelId="{1E0C15EE-38D5-4EDC-BEC8-55DF2FA09ACF}" type="sibTrans" cxnId="{07D6614E-AA82-4177-8EC1-2E176F5A4A8A}">
      <dgm:prSet/>
      <dgm:spPr/>
      <dgm:t>
        <a:bodyPr/>
        <a:lstStyle/>
        <a:p>
          <a:endParaRPr lang="es-CR"/>
        </a:p>
      </dgm:t>
    </dgm:pt>
    <dgm:pt modelId="{D531A1ED-BE4D-4DC6-BAAF-121C4CCCFEE0}">
      <dgm:prSet phldrT="[Texto]"/>
      <dgm:spPr>
        <a:xfrm>
          <a:off x="1704787" y="617703"/>
          <a:ext cx="464343" cy="464343"/>
        </a:xfrm>
        <a:prstGeom prst="roundRect">
          <a:avLst/>
        </a:prstGeom>
        <a:solidFill>
          <a:srgbClr val="FF00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Face 4</a:t>
          </a:r>
        </a:p>
        <a:p>
          <a:pPr>
            <a:buNone/>
          </a:pPr>
          <a:r>
            <a:rPr lang="es-CR">
              <a:solidFill>
                <a:sysClr val="window" lastClr="FFFFFF"/>
              </a:solidFill>
              <a:latin typeface="Calibri"/>
              <a:ea typeface="+mn-ea"/>
              <a:cs typeface="+mn-cs"/>
            </a:rPr>
            <a:t>Alerta Roja</a:t>
          </a:r>
        </a:p>
      </dgm:t>
    </dgm:pt>
    <dgm:pt modelId="{48E3A5D2-33F9-4521-9C3F-D3E8E8EFE478}" type="parTrans" cxnId="{D8507D8F-A4B7-44F9-A398-4D52577B7100}">
      <dgm:prSet/>
      <dgm:spPr/>
      <dgm:t>
        <a:bodyPr/>
        <a:lstStyle/>
        <a:p>
          <a:endParaRPr lang="es-CR"/>
        </a:p>
      </dgm:t>
    </dgm:pt>
    <dgm:pt modelId="{EFF051A2-CD14-4B2A-A050-92FC959E2283}" type="sibTrans" cxnId="{D8507D8F-A4B7-44F9-A398-4D52577B7100}">
      <dgm:prSet/>
      <dgm:spPr/>
      <dgm:t>
        <a:bodyPr/>
        <a:lstStyle/>
        <a:p>
          <a:endParaRPr lang="es-CR"/>
        </a:p>
      </dgm:t>
    </dgm:pt>
    <dgm:pt modelId="{26108B60-C995-4133-9AD0-403FB36EED75}">
      <dgm:prSet phldrT="[Texto]"/>
      <dgm:spPr>
        <a:xfrm>
          <a:off x="1148286" y="84892"/>
          <a:ext cx="464343" cy="464343"/>
        </a:xfrm>
        <a:prstGeom prst="roundRect">
          <a:avLst/>
        </a:prstGeom>
        <a:solidFill>
          <a:srgbClr val="00B05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Fase 1 Alerta Verde</a:t>
          </a:r>
        </a:p>
      </dgm:t>
    </dgm:pt>
    <dgm:pt modelId="{9C6C2937-43A8-4DC8-99AA-8E1637BB7B3F}" type="parTrans" cxnId="{7EF02828-8F8B-45A2-9914-E417D5713AB5}">
      <dgm:prSet/>
      <dgm:spPr/>
      <dgm:t>
        <a:bodyPr/>
        <a:lstStyle/>
        <a:p>
          <a:endParaRPr lang="es-CR"/>
        </a:p>
      </dgm:t>
    </dgm:pt>
    <dgm:pt modelId="{C8CFE4F3-3082-44F5-90B1-882D3B054AE9}" type="sibTrans" cxnId="{7EF02828-8F8B-45A2-9914-E417D5713AB5}">
      <dgm:prSet/>
      <dgm:spPr/>
      <dgm:t>
        <a:bodyPr/>
        <a:lstStyle/>
        <a:p>
          <a:endParaRPr lang="es-CR"/>
        </a:p>
      </dgm:t>
    </dgm:pt>
    <dgm:pt modelId="{E207D763-F3BA-4B64-B429-8BBD46C1D97F}" type="pres">
      <dgm:prSet presAssocID="{3A9F49FF-C964-442D-B16E-9AFC596ADB97}" presName="matrix" presStyleCnt="0">
        <dgm:presLayoutVars>
          <dgm:chMax val="1"/>
          <dgm:dir/>
          <dgm:resizeHandles val="exact"/>
        </dgm:presLayoutVars>
      </dgm:prSet>
      <dgm:spPr/>
    </dgm:pt>
    <dgm:pt modelId="{C47D2921-4383-4A60-A07A-2F0E84B77D11}" type="pres">
      <dgm:prSet presAssocID="{3A9F49FF-C964-442D-B16E-9AFC596ADB97}" presName="diamond" presStyleLbl="bgShp" presStyleIdx="0" presStyleCnt="1"/>
      <dgm:spPr>
        <a:xfrm>
          <a:off x="1052830" y="0"/>
          <a:ext cx="1190625" cy="1190625"/>
        </a:xfrm>
        <a:prstGeom prst="diamond">
          <a:avLst/>
        </a:prstGeom>
        <a:solidFill>
          <a:srgbClr val="4F81BD">
            <a:tint val="40000"/>
            <a:hueOff val="0"/>
            <a:satOff val="0"/>
            <a:lumOff val="0"/>
            <a:alphaOff val="0"/>
          </a:srgbClr>
        </a:solidFill>
        <a:ln>
          <a:noFill/>
        </a:ln>
        <a:effectLst/>
      </dgm:spPr>
    </dgm:pt>
    <dgm:pt modelId="{E560C209-537B-4D77-96D7-38A7F3883B23}" type="pres">
      <dgm:prSet presAssocID="{3A9F49FF-C964-442D-B16E-9AFC596ADB97}" presName="quad1" presStyleLbl="node1" presStyleIdx="0" presStyleCnt="4" custLinFactX="10003" custLinFactNeighborX="100000" custLinFactNeighborY="-473">
        <dgm:presLayoutVars>
          <dgm:chMax val="0"/>
          <dgm:chPref val="0"/>
          <dgm:bulletEnabled val="1"/>
        </dgm:presLayoutVars>
      </dgm:prSet>
      <dgm:spPr/>
    </dgm:pt>
    <dgm:pt modelId="{17A15B2C-CE3B-4AC8-922A-C12F4DE23EAC}" type="pres">
      <dgm:prSet presAssocID="{3A9F49FF-C964-442D-B16E-9AFC596ADB97}" presName="quad2" presStyleLbl="node1" presStyleIdx="1" presStyleCnt="4" custLinFactX="-6886" custLinFactY="11135" custLinFactNeighborX="-100000" custLinFactNeighborY="100000">
        <dgm:presLayoutVars>
          <dgm:chMax val="0"/>
          <dgm:chPref val="0"/>
          <dgm:bulletEnabled val="1"/>
        </dgm:presLayoutVars>
      </dgm:prSet>
      <dgm:spPr/>
    </dgm:pt>
    <dgm:pt modelId="{C8F90DD5-F11D-4E9B-BCD2-FC901DC21A83}" type="pres">
      <dgm:prSet presAssocID="{3A9F49FF-C964-442D-B16E-9AFC596ADB97}" presName="quad3" presStyleLbl="node1" presStyleIdx="2" presStyleCnt="4" custLinFactX="16045" custLinFactNeighborX="100000" custLinFactNeighborY="976">
        <dgm:presLayoutVars>
          <dgm:chMax val="0"/>
          <dgm:chPref val="0"/>
          <dgm:bulletEnabled val="1"/>
        </dgm:presLayoutVars>
      </dgm:prSet>
      <dgm:spPr/>
    </dgm:pt>
    <dgm:pt modelId="{5398FB92-473B-4D22-A81E-AC1E3A6983EA}" type="pres">
      <dgm:prSet presAssocID="{3A9F49FF-C964-442D-B16E-9AFC596ADB97}" presName="quad4" presStyleLbl="node1" presStyleIdx="3" presStyleCnt="4" custLinFactX="-11494" custLinFactY="-13769" custLinFactNeighborX="-100000" custLinFactNeighborY="-100000">
        <dgm:presLayoutVars>
          <dgm:chMax val="0"/>
          <dgm:chPref val="0"/>
          <dgm:bulletEnabled val="1"/>
        </dgm:presLayoutVars>
      </dgm:prSet>
      <dgm:spPr/>
    </dgm:pt>
  </dgm:ptLst>
  <dgm:cxnLst>
    <dgm:cxn modelId="{6E2A2801-73EF-4B9B-8502-4CD06D43B23D}" type="presOf" srcId="{F79214B8-1CC7-4058-B330-E4D6D7AC8D6E}" destId="{17A15B2C-CE3B-4AC8-922A-C12F4DE23EAC}" srcOrd="0" destOrd="0" presId="urn:microsoft.com/office/officeart/2005/8/layout/matrix3"/>
    <dgm:cxn modelId="{7EF02828-8F8B-45A2-9914-E417D5713AB5}" srcId="{3A9F49FF-C964-442D-B16E-9AFC596ADB97}" destId="{26108B60-C995-4133-9AD0-403FB36EED75}" srcOrd="3" destOrd="0" parTransId="{9C6C2937-43A8-4DC8-99AA-8E1637BB7B3F}" sibTransId="{C8CFE4F3-3082-44F5-90B1-882D3B054AE9}"/>
    <dgm:cxn modelId="{6EAECE34-7969-48B6-A145-65648E4E13CE}" type="presOf" srcId="{1C0298F7-D109-4EAF-933A-1C84C8CFB60D}" destId="{E560C209-537B-4D77-96D7-38A7F3883B23}" srcOrd="0" destOrd="0" presId="urn:microsoft.com/office/officeart/2005/8/layout/matrix3"/>
    <dgm:cxn modelId="{07D6614E-AA82-4177-8EC1-2E176F5A4A8A}" srcId="{3A9F49FF-C964-442D-B16E-9AFC596ADB97}" destId="{F79214B8-1CC7-4058-B330-E4D6D7AC8D6E}" srcOrd="1" destOrd="0" parTransId="{F574C5D4-EF3F-41C8-94B8-4E0671BA5B13}" sibTransId="{1E0C15EE-38D5-4EDC-BEC8-55DF2FA09ACF}"/>
    <dgm:cxn modelId="{54CE3D84-625F-46DC-AF7F-1188944B71AA}" srcId="{3A9F49FF-C964-442D-B16E-9AFC596ADB97}" destId="{1C0298F7-D109-4EAF-933A-1C84C8CFB60D}" srcOrd="0" destOrd="0" parTransId="{57B3B9C3-40FD-43F1-9B62-DD367E3BB31B}" sibTransId="{9DE503D3-2863-46A3-B817-28AB0837640D}"/>
    <dgm:cxn modelId="{D8507D8F-A4B7-44F9-A398-4D52577B7100}" srcId="{3A9F49FF-C964-442D-B16E-9AFC596ADB97}" destId="{D531A1ED-BE4D-4DC6-BAAF-121C4CCCFEE0}" srcOrd="2" destOrd="0" parTransId="{48E3A5D2-33F9-4521-9C3F-D3E8E8EFE478}" sibTransId="{EFF051A2-CD14-4B2A-A050-92FC959E2283}"/>
    <dgm:cxn modelId="{355E57D1-44F4-4E68-A7E9-F47CBCBA61FE}" type="presOf" srcId="{3A9F49FF-C964-442D-B16E-9AFC596ADB97}" destId="{E207D763-F3BA-4B64-B429-8BBD46C1D97F}" srcOrd="0" destOrd="0" presId="urn:microsoft.com/office/officeart/2005/8/layout/matrix3"/>
    <dgm:cxn modelId="{988A9ED4-D229-4043-8CB7-CB59A6851216}" type="presOf" srcId="{D531A1ED-BE4D-4DC6-BAAF-121C4CCCFEE0}" destId="{C8F90DD5-F11D-4E9B-BCD2-FC901DC21A83}" srcOrd="0" destOrd="0" presId="urn:microsoft.com/office/officeart/2005/8/layout/matrix3"/>
    <dgm:cxn modelId="{019C9FE0-D6E6-4547-9102-8AA6E4355DB8}" type="presOf" srcId="{26108B60-C995-4133-9AD0-403FB36EED75}" destId="{5398FB92-473B-4D22-A81E-AC1E3A6983EA}" srcOrd="0" destOrd="0" presId="urn:microsoft.com/office/officeart/2005/8/layout/matrix3"/>
    <dgm:cxn modelId="{39A12E11-48D6-40C2-969F-240E0AB94109}" type="presParOf" srcId="{E207D763-F3BA-4B64-B429-8BBD46C1D97F}" destId="{C47D2921-4383-4A60-A07A-2F0E84B77D11}" srcOrd="0" destOrd="0" presId="urn:microsoft.com/office/officeart/2005/8/layout/matrix3"/>
    <dgm:cxn modelId="{A478E284-3584-40E3-9292-4A5479858235}" type="presParOf" srcId="{E207D763-F3BA-4B64-B429-8BBD46C1D97F}" destId="{E560C209-537B-4D77-96D7-38A7F3883B23}" srcOrd="1" destOrd="0" presId="urn:microsoft.com/office/officeart/2005/8/layout/matrix3"/>
    <dgm:cxn modelId="{A4C459DC-925B-4C78-BA9E-CCD0F0523E4B}" type="presParOf" srcId="{E207D763-F3BA-4B64-B429-8BBD46C1D97F}" destId="{17A15B2C-CE3B-4AC8-922A-C12F4DE23EAC}" srcOrd="2" destOrd="0" presId="urn:microsoft.com/office/officeart/2005/8/layout/matrix3"/>
    <dgm:cxn modelId="{3A3394DB-9513-4B26-92D9-2AA332FD26BA}" type="presParOf" srcId="{E207D763-F3BA-4B64-B429-8BBD46C1D97F}" destId="{C8F90DD5-F11D-4E9B-BCD2-FC901DC21A83}" srcOrd="3" destOrd="0" presId="urn:microsoft.com/office/officeart/2005/8/layout/matrix3"/>
    <dgm:cxn modelId="{224AE0C7-E826-4303-8E9A-AB95FD841D7D}" type="presParOf" srcId="{E207D763-F3BA-4B64-B429-8BBD46C1D97F}" destId="{5398FB92-473B-4D22-A81E-AC1E3A6983EA}" srcOrd="4" destOrd="0" presId="urn:microsoft.com/office/officeart/2005/8/layout/matrix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036791C-61DC-49F0-988E-8F99A95E3A16}"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659DB6B6-2D3A-4C2A-A8EC-7149128490DC}">
      <dgm:prSet phldrT="[Texto]"/>
      <dgm:spPr>
        <a:xfrm>
          <a:off x="224599" y="82041"/>
          <a:ext cx="336804" cy="33680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23962C27-9670-48DA-BF35-0919BAFEC344}" type="parTrans" cxnId="{1AB74DEE-263E-4584-968A-9A415FF06EB7}">
      <dgm:prSet/>
      <dgm:spPr/>
      <dgm:t>
        <a:bodyPr/>
        <a:lstStyle/>
        <a:p>
          <a:endParaRPr lang="es-CR"/>
        </a:p>
      </dgm:t>
    </dgm:pt>
    <dgm:pt modelId="{3F500E43-9532-4DE2-B027-33932235B794}" type="sibTrans" cxnId="{1AB74DEE-263E-4584-968A-9A415FF06EB7}">
      <dgm:prSet/>
      <dgm:spPr/>
      <dgm:t>
        <a:bodyPr/>
        <a:lstStyle/>
        <a:p>
          <a:endParaRPr lang="es-CR"/>
        </a:p>
      </dgm:t>
    </dgm:pt>
    <dgm:pt modelId="{0E07891C-E990-4940-A74F-3C6E787307F5}">
      <dgm:prSet phldrT="[Texto]"/>
      <dgm:spPr>
        <a:xfrm>
          <a:off x="587311" y="82041"/>
          <a:ext cx="336804" cy="33680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D356F2C7-DD74-4104-A563-25D5975FDB17}" type="parTrans" cxnId="{48DA5B39-7E24-4249-8D2A-B8F9351E69C0}">
      <dgm:prSet/>
      <dgm:spPr/>
      <dgm:t>
        <a:bodyPr/>
        <a:lstStyle/>
        <a:p>
          <a:endParaRPr lang="es-CR"/>
        </a:p>
      </dgm:t>
    </dgm:pt>
    <dgm:pt modelId="{F1E82F12-7313-43E1-A890-C7219C8523B2}" type="sibTrans" cxnId="{48DA5B39-7E24-4249-8D2A-B8F9351E69C0}">
      <dgm:prSet/>
      <dgm:spPr/>
      <dgm:t>
        <a:bodyPr/>
        <a:lstStyle/>
        <a:p>
          <a:endParaRPr lang="es-CR"/>
        </a:p>
      </dgm:t>
    </dgm:pt>
    <dgm:pt modelId="{93ECF00D-F881-482D-8459-B1CF3BDDDC53}">
      <dgm:prSet phldrT="[Texto]"/>
      <dgm:spPr>
        <a:xfrm>
          <a:off x="224599" y="444753"/>
          <a:ext cx="336804" cy="33680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4409925F-93CC-4095-BFBC-5FBDA73C949F}" type="parTrans" cxnId="{76F8394E-B3DB-47A4-A5DD-E7C0CEF86515}">
      <dgm:prSet/>
      <dgm:spPr/>
      <dgm:t>
        <a:bodyPr/>
        <a:lstStyle/>
        <a:p>
          <a:endParaRPr lang="es-CR"/>
        </a:p>
      </dgm:t>
    </dgm:pt>
    <dgm:pt modelId="{94CDAB61-2EC2-4754-AAC9-C30F2D0C33A2}" type="sibTrans" cxnId="{76F8394E-B3DB-47A4-A5DD-E7C0CEF86515}">
      <dgm:prSet/>
      <dgm:spPr/>
      <dgm:t>
        <a:bodyPr/>
        <a:lstStyle/>
        <a:p>
          <a:endParaRPr lang="es-CR"/>
        </a:p>
      </dgm:t>
    </dgm:pt>
    <dgm:pt modelId="{6007022B-FCBB-4F89-AC13-A4A307E8F678}">
      <dgm:prSet phldrT="[Texto]"/>
      <dgm:spPr>
        <a:xfrm>
          <a:off x="587311" y="444753"/>
          <a:ext cx="336804" cy="336804"/>
        </a:xfrm>
        <a:prstGeom prst="roundRect">
          <a:avLst/>
        </a:prstGeom>
        <a:solidFill>
          <a:srgbClr val="00B05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Fase 1 Alerta Verde</a:t>
          </a:r>
        </a:p>
      </dgm:t>
    </dgm:pt>
    <dgm:pt modelId="{18AF5093-7DCD-4B42-A603-B1DB3C94F70A}" type="parTrans" cxnId="{15A3ADB2-5484-48D3-A0CC-835284A75CC5}">
      <dgm:prSet/>
      <dgm:spPr/>
      <dgm:t>
        <a:bodyPr/>
        <a:lstStyle/>
        <a:p>
          <a:endParaRPr lang="es-CR"/>
        </a:p>
      </dgm:t>
    </dgm:pt>
    <dgm:pt modelId="{12A59CAB-AC1C-4714-823D-135D183878EA}" type="sibTrans" cxnId="{15A3ADB2-5484-48D3-A0CC-835284A75CC5}">
      <dgm:prSet/>
      <dgm:spPr/>
      <dgm:t>
        <a:bodyPr/>
        <a:lstStyle/>
        <a:p>
          <a:endParaRPr lang="es-CR"/>
        </a:p>
      </dgm:t>
    </dgm:pt>
    <dgm:pt modelId="{930A92BE-BA59-46F4-804A-C8EF8BB094B2}" type="pres">
      <dgm:prSet presAssocID="{5036791C-61DC-49F0-988E-8F99A95E3A16}" presName="matrix" presStyleCnt="0">
        <dgm:presLayoutVars>
          <dgm:chMax val="1"/>
          <dgm:dir/>
          <dgm:resizeHandles val="exact"/>
        </dgm:presLayoutVars>
      </dgm:prSet>
      <dgm:spPr/>
    </dgm:pt>
    <dgm:pt modelId="{0B7E4DF4-7C84-42FD-818D-C2C313CEC559}" type="pres">
      <dgm:prSet presAssocID="{5036791C-61DC-49F0-988E-8F99A95E3A16}" presName="diamond" presStyleLbl="bgShp" presStyleIdx="0" presStyleCnt="1"/>
      <dgm:spPr>
        <a:xfrm>
          <a:off x="142557" y="0"/>
          <a:ext cx="863600" cy="863600"/>
        </a:xfrm>
        <a:prstGeom prst="diamond">
          <a:avLst/>
        </a:prstGeom>
        <a:solidFill>
          <a:srgbClr val="4F81BD">
            <a:tint val="40000"/>
            <a:hueOff val="0"/>
            <a:satOff val="0"/>
            <a:lumOff val="0"/>
            <a:alphaOff val="0"/>
          </a:srgbClr>
        </a:solidFill>
        <a:ln>
          <a:noFill/>
        </a:ln>
        <a:effectLst/>
      </dgm:spPr>
    </dgm:pt>
    <dgm:pt modelId="{70B57F67-7A19-4E30-9DF2-770E5C2D2770}" type="pres">
      <dgm:prSet presAssocID="{5036791C-61DC-49F0-988E-8F99A95E3A16}" presName="quad1" presStyleLbl="node1" presStyleIdx="0" presStyleCnt="4">
        <dgm:presLayoutVars>
          <dgm:chMax val="0"/>
          <dgm:chPref val="0"/>
          <dgm:bulletEnabled val="1"/>
        </dgm:presLayoutVars>
      </dgm:prSet>
      <dgm:spPr/>
    </dgm:pt>
    <dgm:pt modelId="{BFE6A6F9-BB15-484A-B22D-123B2FB4FE54}" type="pres">
      <dgm:prSet presAssocID="{5036791C-61DC-49F0-988E-8F99A95E3A16}" presName="quad2" presStyleLbl="node1" presStyleIdx="1" presStyleCnt="4">
        <dgm:presLayoutVars>
          <dgm:chMax val="0"/>
          <dgm:chPref val="0"/>
          <dgm:bulletEnabled val="1"/>
        </dgm:presLayoutVars>
      </dgm:prSet>
      <dgm:spPr/>
    </dgm:pt>
    <dgm:pt modelId="{000CEC01-D480-45CB-8EA7-D865E1D3FFAA}" type="pres">
      <dgm:prSet presAssocID="{5036791C-61DC-49F0-988E-8F99A95E3A16}" presName="quad3" presStyleLbl="node1" presStyleIdx="2" presStyleCnt="4">
        <dgm:presLayoutVars>
          <dgm:chMax val="0"/>
          <dgm:chPref val="0"/>
          <dgm:bulletEnabled val="1"/>
        </dgm:presLayoutVars>
      </dgm:prSet>
      <dgm:spPr/>
    </dgm:pt>
    <dgm:pt modelId="{E534F928-6E77-4FB3-B7DD-908C67840957}" type="pres">
      <dgm:prSet presAssocID="{5036791C-61DC-49F0-988E-8F99A95E3A16}" presName="quad4" presStyleLbl="node1" presStyleIdx="3" presStyleCnt="4">
        <dgm:presLayoutVars>
          <dgm:chMax val="0"/>
          <dgm:chPref val="0"/>
          <dgm:bulletEnabled val="1"/>
        </dgm:presLayoutVars>
      </dgm:prSet>
      <dgm:spPr/>
    </dgm:pt>
  </dgm:ptLst>
  <dgm:cxnLst>
    <dgm:cxn modelId="{48DA5B39-7E24-4249-8D2A-B8F9351E69C0}" srcId="{5036791C-61DC-49F0-988E-8F99A95E3A16}" destId="{0E07891C-E990-4940-A74F-3C6E787307F5}" srcOrd="1" destOrd="0" parTransId="{D356F2C7-DD74-4104-A563-25D5975FDB17}" sibTransId="{F1E82F12-7313-43E1-A890-C7219C8523B2}"/>
    <dgm:cxn modelId="{76F8394E-B3DB-47A4-A5DD-E7C0CEF86515}" srcId="{5036791C-61DC-49F0-988E-8F99A95E3A16}" destId="{93ECF00D-F881-482D-8459-B1CF3BDDDC53}" srcOrd="2" destOrd="0" parTransId="{4409925F-93CC-4095-BFBC-5FBDA73C949F}" sibTransId="{94CDAB61-2EC2-4754-AAC9-C30F2D0C33A2}"/>
    <dgm:cxn modelId="{EEF76458-08D6-463C-BACC-2A020204DD3B}" type="presOf" srcId="{659DB6B6-2D3A-4C2A-A8EC-7149128490DC}" destId="{70B57F67-7A19-4E30-9DF2-770E5C2D2770}" srcOrd="0" destOrd="0" presId="urn:microsoft.com/office/officeart/2005/8/layout/matrix3"/>
    <dgm:cxn modelId="{025B16A6-F782-493C-9AB7-F49FBE96C784}" type="presOf" srcId="{0E07891C-E990-4940-A74F-3C6E787307F5}" destId="{BFE6A6F9-BB15-484A-B22D-123B2FB4FE54}" srcOrd="0" destOrd="0" presId="urn:microsoft.com/office/officeart/2005/8/layout/matrix3"/>
    <dgm:cxn modelId="{10A3DDAB-A9C6-49C1-B7F2-318FE5670D7E}" type="presOf" srcId="{5036791C-61DC-49F0-988E-8F99A95E3A16}" destId="{930A92BE-BA59-46F4-804A-C8EF8BB094B2}" srcOrd="0" destOrd="0" presId="urn:microsoft.com/office/officeart/2005/8/layout/matrix3"/>
    <dgm:cxn modelId="{A5790AAC-7250-4F5E-A05E-02D4EF4A77A6}" type="presOf" srcId="{93ECF00D-F881-482D-8459-B1CF3BDDDC53}" destId="{000CEC01-D480-45CB-8EA7-D865E1D3FFAA}" srcOrd="0" destOrd="0" presId="urn:microsoft.com/office/officeart/2005/8/layout/matrix3"/>
    <dgm:cxn modelId="{E1F1E0B0-35BB-4552-93D0-D82076FCFADF}" type="presOf" srcId="{6007022B-FCBB-4F89-AC13-A4A307E8F678}" destId="{E534F928-6E77-4FB3-B7DD-908C67840957}" srcOrd="0" destOrd="0" presId="urn:microsoft.com/office/officeart/2005/8/layout/matrix3"/>
    <dgm:cxn modelId="{15A3ADB2-5484-48D3-A0CC-835284A75CC5}" srcId="{5036791C-61DC-49F0-988E-8F99A95E3A16}" destId="{6007022B-FCBB-4F89-AC13-A4A307E8F678}" srcOrd="3" destOrd="0" parTransId="{18AF5093-7DCD-4B42-A603-B1DB3C94F70A}" sibTransId="{12A59CAB-AC1C-4714-823D-135D183878EA}"/>
    <dgm:cxn modelId="{1AB74DEE-263E-4584-968A-9A415FF06EB7}" srcId="{5036791C-61DC-49F0-988E-8F99A95E3A16}" destId="{659DB6B6-2D3A-4C2A-A8EC-7149128490DC}" srcOrd="0" destOrd="0" parTransId="{23962C27-9670-48DA-BF35-0919BAFEC344}" sibTransId="{3F500E43-9532-4DE2-B027-33932235B794}"/>
    <dgm:cxn modelId="{D1FA9749-405B-42E9-9BC2-2BA5C04DC0B3}" type="presParOf" srcId="{930A92BE-BA59-46F4-804A-C8EF8BB094B2}" destId="{0B7E4DF4-7C84-42FD-818D-C2C313CEC559}" srcOrd="0" destOrd="0" presId="urn:microsoft.com/office/officeart/2005/8/layout/matrix3"/>
    <dgm:cxn modelId="{0CFF8340-932C-42B9-8E90-AB59C921558B}" type="presParOf" srcId="{930A92BE-BA59-46F4-804A-C8EF8BB094B2}" destId="{70B57F67-7A19-4E30-9DF2-770E5C2D2770}" srcOrd="1" destOrd="0" presId="urn:microsoft.com/office/officeart/2005/8/layout/matrix3"/>
    <dgm:cxn modelId="{DE12AA24-9008-4E6F-99B1-52AE2EDD795F}" type="presParOf" srcId="{930A92BE-BA59-46F4-804A-C8EF8BB094B2}" destId="{BFE6A6F9-BB15-484A-B22D-123B2FB4FE54}" srcOrd="2" destOrd="0" presId="urn:microsoft.com/office/officeart/2005/8/layout/matrix3"/>
    <dgm:cxn modelId="{2C0777E6-15D6-42A9-95E0-5264D6D6DBC0}" type="presParOf" srcId="{930A92BE-BA59-46F4-804A-C8EF8BB094B2}" destId="{000CEC01-D480-45CB-8EA7-D865E1D3FFAA}" srcOrd="3" destOrd="0" presId="urn:microsoft.com/office/officeart/2005/8/layout/matrix3"/>
    <dgm:cxn modelId="{D359B9F1-87A6-4BD0-BFC4-A1CEC23460F6}" type="presParOf" srcId="{930A92BE-BA59-46F4-804A-C8EF8BB094B2}" destId="{E534F928-6E77-4FB3-B7DD-908C67840957}" srcOrd="4" destOrd="0" presId="urn:microsoft.com/office/officeart/2005/8/layout/matrix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E770F04-EEA9-4A4F-9D37-8471E59B4E40}"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C0CC81C3-53EB-4753-944A-946310CD1BDD}">
      <dgm:prSet phldrT="[Texto]"/>
      <dgm:spPr>
        <a:xfrm>
          <a:off x="85583" y="571756"/>
          <a:ext cx="395744" cy="395744"/>
        </a:xfrm>
        <a:prstGeom prst="roundRect">
          <a:avLst/>
        </a:prstGeom>
        <a:solidFill>
          <a:srgbClr val="FFFF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Text" lastClr="000000"/>
              </a:solidFill>
              <a:latin typeface="Calibri"/>
              <a:ea typeface="+mn-ea"/>
              <a:cs typeface="+mn-cs"/>
            </a:rPr>
            <a:t>Face 2</a:t>
          </a:r>
        </a:p>
        <a:p>
          <a:pPr>
            <a:buNone/>
          </a:pPr>
          <a:r>
            <a:rPr lang="es-CR">
              <a:solidFill>
                <a:sysClr val="windowText" lastClr="000000"/>
              </a:solidFill>
              <a:latin typeface="Calibri"/>
              <a:ea typeface="+mn-ea"/>
              <a:cs typeface="+mn-cs"/>
            </a:rPr>
            <a:t>Alerta Amarilla </a:t>
          </a:r>
        </a:p>
      </dgm:t>
    </dgm:pt>
    <dgm:pt modelId="{08CE9948-69DB-432A-8550-1B7DF8C5C118}" type="parTrans" cxnId="{E87FB28B-A911-4741-BB8A-DF617C755B69}">
      <dgm:prSet/>
      <dgm:spPr/>
      <dgm:t>
        <a:bodyPr/>
        <a:lstStyle/>
        <a:p>
          <a:endParaRPr lang="es-CR"/>
        </a:p>
      </dgm:t>
    </dgm:pt>
    <dgm:pt modelId="{42A5474C-EAC1-4588-A901-18A3B7429C6D}" type="sibTrans" cxnId="{E87FB28B-A911-4741-BB8A-DF617C755B69}">
      <dgm:prSet/>
      <dgm:spPr/>
      <dgm:t>
        <a:bodyPr/>
        <a:lstStyle/>
        <a:p>
          <a:endParaRPr lang="es-CR"/>
        </a:p>
      </dgm:t>
    </dgm:pt>
    <dgm:pt modelId="{374CB9BE-E157-497D-8FA6-B5D2955D68B4}">
      <dgm:prSet phldrT="[Texto]"/>
      <dgm:spPr>
        <a:xfrm>
          <a:off x="522585" y="121481"/>
          <a:ext cx="395744" cy="39574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5B772A04-86E6-4A2D-BDEC-E0B83A8F7670}" type="parTrans" cxnId="{AED70E49-7A19-4AC7-A1D7-64BFEDB3681D}">
      <dgm:prSet/>
      <dgm:spPr/>
      <dgm:t>
        <a:bodyPr/>
        <a:lstStyle/>
        <a:p>
          <a:endParaRPr lang="es-CR"/>
        </a:p>
      </dgm:t>
    </dgm:pt>
    <dgm:pt modelId="{58BD78A8-9B27-49B6-A9B2-495EDBEB53D2}" type="sibTrans" cxnId="{AED70E49-7A19-4AC7-A1D7-64BFEDB3681D}">
      <dgm:prSet/>
      <dgm:spPr/>
      <dgm:t>
        <a:bodyPr/>
        <a:lstStyle/>
        <a:p>
          <a:endParaRPr lang="es-CR"/>
        </a:p>
      </dgm:t>
    </dgm:pt>
    <dgm:pt modelId="{2B6E7F07-A15A-4D7E-B010-4F6C72E05C4C}">
      <dgm:prSet phldrT="[Texto]"/>
      <dgm:spPr>
        <a:xfrm>
          <a:off x="82544" y="132033"/>
          <a:ext cx="395744" cy="39574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61884B65-7376-4428-8DD2-0352376B8C28}" type="parTrans" cxnId="{F9519C62-6146-4D48-90E6-9CC666E650E4}">
      <dgm:prSet/>
      <dgm:spPr/>
      <dgm:t>
        <a:bodyPr/>
        <a:lstStyle/>
        <a:p>
          <a:endParaRPr lang="es-CR"/>
        </a:p>
      </dgm:t>
    </dgm:pt>
    <dgm:pt modelId="{20887A0F-4EEA-499D-BD74-98CBE1E58F31}" type="sibTrans" cxnId="{F9519C62-6146-4D48-90E6-9CC666E650E4}">
      <dgm:prSet/>
      <dgm:spPr/>
      <dgm:t>
        <a:bodyPr/>
        <a:lstStyle/>
        <a:p>
          <a:endParaRPr lang="es-CR"/>
        </a:p>
      </dgm:t>
    </dgm:pt>
    <dgm:pt modelId="{547E3D82-0E76-4449-B5F8-33F849E23A8F}">
      <dgm:prSet phldrT="[Texto]"/>
      <dgm:spPr>
        <a:xfrm>
          <a:off x="522585" y="547668"/>
          <a:ext cx="395744" cy="39574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A9437339-B1C5-4069-AB0E-635A3577B81F}" type="parTrans" cxnId="{EA8C8E6E-4FE9-4875-B867-58919713C994}">
      <dgm:prSet/>
      <dgm:spPr/>
      <dgm:t>
        <a:bodyPr/>
        <a:lstStyle/>
        <a:p>
          <a:endParaRPr lang="es-CR"/>
        </a:p>
      </dgm:t>
    </dgm:pt>
    <dgm:pt modelId="{49654B64-C42B-4996-8BB4-4B80C7781D4D}" type="sibTrans" cxnId="{EA8C8E6E-4FE9-4875-B867-58919713C994}">
      <dgm:prSet/>
      <dgm:spPr/>
      <dgm:t>
        <a:bodyPr/>
        <a:lstStyle/>
        <a:p>
          <a:endParaRPr lang="es-CR"/>
        </a:p>
      </dgm:t>
    </dgm:pt>
    <dgm:pt modelId="{F7F3CC9A-58AF-4906-8A5B-0CC9F13A107D}" type="pres">
      <dgm:prSet presAssocID="{CE770F04-EEA9-4A4F-9D37-8471E59B4E40}" presName="matrix" presStyleCnt="0">
        <dgm:presLayoutVars>
          <dgm:chMax val="1"/>
          <dgm:dir/>
          <dgm:resizeHandles val="exact"/>
        </dgm:presLayoutVars>
      </dgm:prSet>
      <dgm:spPr/>
    </dgm:pt>
    <dgm:pt modelId="{611EC791-DBA0-4212-9640-E8E6A6D06943}" type="pres">
      <dgm:prSet presAssocID="{CE770F04-EEA9-4A4F-9D37-8471E59B4E40}" presName="diamond" presStyleLbl="bgShp" presStyleIdx="0" presStyleCnt="1"/>
      <dgm:spPr>
        <a:xfrm>
          <a:off x="0" y="25082"/>
          <a:ext cx="1014730" cy="1014730"/>
        </a:xfrm>
        <a:prstGeom prst="diamond">
          <a:avLst/>
        </a:prstGeom>
        <a:solidFill>
          <a:srgbClr val="4F81BD">
            <a:tint val="40000"/>
            <a:hueOff val="0"/>
            <a:satOff val="0"/>
            <a:lumOff val="0"/>
            <a:alphaOff val="0"/>
          </a:srgbClr>
        </a:solidFill>
        <a:ln>
          <a:noFill/>
        </a:ln>
        <a:effectLst/>
      </dgm:spPr>
    </dgm:pt>
    <dgm:pt modelId="{F26BD06A-80CE-456D-B6C0-FE9DEE6A314F}" type="pres">
      <dgm:prSet presAssocID="{CE770F04-EEA9-4A4F-9D37-8471E59B4E40}" presName="quad1" presStyleLbl="node1" presStyleIdx="0" presStyleCnt="4" custLinFactY="13779" custLinFactNeighborX="-2733" custLinFactNeighborY="100000">
        <dgm:presLayoutVars>
          <dgm:chMax val="0"/>
          <dgm:chPref val="0"/>
          <dgm:bulletEnabled val="1"/>
        </dgm:presLayoutVars>
      </dgm:prSet>
      <dgm:spPr/>
    </dgm:pt>
    <dgm:pt modelId="{045A18E7-4DE8-459E-93CF-EACED27DA93D}" type="pres">
      <dgm:prSet presAssocID="{CE770F04-EEA9-4A4F-9D37-8471E59B4E40}" presName="quad2" presStyleLbl="node1" presStyleIdx="1" presStyleCnt="4">
        <dgm:presLayoutVars>
          <dgm:chMax val="0"/>
          <dgm:chPref val="0"/>
          <dgm:bulletEnabled val="1"/>
        </dgm:presLayoutVars>
      </dgm:prSet>
      <dgm:spPr/>
    </dgm:pt>
    <dgm:pt modelId="{2A6F4F2A-D3B7-41DF-8761-C01F44E2ABA1}" type="pres">
      <dgm:prSet presAssocID="{CE770F04-EEA9-4A4F-9D37-8471E59B4E40}" presName="quad3" presStyleLbl="node1" presStyleIdx="2" presStyleCnt="4" custLinFactY="-5026" custLinFactNeighborX="-3501" custLinFactNeighborY="-100000">
        <dgm:presLayoutVars>
          <dgm:chMax val="0"/>
          <dgm:chPref val="0"/>
          <dgm:bulletEnabled val="1"/>
        </dgm:presLayoutVars>
      </dgm:prSet>
      <dgm:spPr/>
    </dgm:pt>
    <dgm:pt modelId="{603C8C77-9E0B-4882-9756-7D7DC8D9F222}" type="pres">
      <dgm:prSet presAssocID="{CE770F04-EEA9-4A4F-9D37-8471E59B4E40}" presName="quad4" presStyleLbl="node1" presStyleIdx="3" presStyleCnt="4">
        <dgm:presLayoutVars>
          <dgm:chMax val="0"/>
          <dgm:chPref val="0"/>
          <dgm:bulletEnabled val="1"/>
        </dgm:presLayoutVars>
      </dgm:prSet>
      <dgm:spPr/>
    </dgm:pt>
  </dgm:ptLst>
  <dgm:cxnLst>
    <dgm:cxn modelId="{99911C00-7DBD-4D6E-8E50-71D50AAD454A}" type="presOf" srcId="{374CB9BE-E157-497D-8FA6-B5D2955D68B4}" destId="{045A18E7-4DE8-459E-93CF-EACED27DA93D}" srcOrd="0" destOrd="0" presId="urn:microsoft.com/office/officeart/2005/8/layout/matrix3"/>
    <dgm:cxn modelId="{BDFDA30A-1F8B-4F86-B235-DE7B7E553349}" type="presOf" srcId="{CE770F04-EEA9-4A4F-9D37-8471E59B4E40}" destId="{F7F3CC9A-58AF-4906-8A5B-0CC9F13A107D}" srcOrd="0" destOrd="0" presId="urn:microsoft.com/office/officeart/2005/8/layout/matrix3"/>
    <dgm:cxn modelId="{AB28EF2A-56A7-46BD-A606-685E375B1F76}" type="presOf" srcId="{547E3D82-0E76-4449-B5F8-33F849E23A8F}" destId="{603C8C77-9E0B-4882-9756-7D7DC8D9F222}" srcOrd="0" destOrd="0" presId="urn:microsoft.com/office/officeart/2005/8/layout/matrix3"/>
    <dgm:cxn modelId="{F9519C62-6146-4D48-90E6-9CC666E650E4}" srcId="{CE770F04-EEA9-4A4F-9D37-8471E59B4E40}" destId="{2B6E7F07-A15A-4D7E-B010-4F6C72E05C4C}" srcOrd="2" destOrd="0" parTransId="{61884B65-7376-4428-8DD2-0352376B8C28}" sibTransId="{20887A0F-4EEA-499D-BD74-98CBE1E58F31}"/>
    <dgm:cxn modelId="{AED70E49-7A19-4AC7-A1D7-64BFEDB3681D}" srcId="{CE770F04-EEA9-4A4F-9D37-8471E59B4E40}" destId="{374CB9BE-E157-497D-8FA6-B5D2955D68B4}" srcOrd="1" destOrd="0" parTransId="{5B772A04-86E6-4A2D-BDEC-E0B83A8F7670}" sibTransId="{58BD78A8-9B27-49B6-A9B2-495EDBEB53D2}"/>
    <dgm:cxn modelId="{EA8C8E6E-4FE9-4875-B867-58919713C994}" srcId="{CE770F04-EEA9-4A4F-9D37-8471E59B4E40}" destId="{547E3D82-0E76-4449-B5F8-33F849E23A8F}" srcOrd="3" destOrd="0" parTransId="{A9437339-B1C5-4069-AB0E-635A3577B81F}" sibTransId="{49654B64-C42B-4996-8BB4-4B80C7781D4D}"/>
    <dgm:cxn modelId="{EF696B57-1168-41EF-A941-B78FFD0ADAA2}" type="presOf" srcId="{2B6E7F07-A15A-4D7E-B010-4F6C72E05C4C}" destId="{2A6F4F2A-D3B7-41DF-8761-C01F44E2ABA1}" srcOrd="0" destOrd="0" presId="urn:microsoft.com/office/officeart/2005/8/layout/matrix3"/>
    <dgm:cxn modelId="{E87FB28B-A911-4741-BB8A-DF617C755B69}" srcId="{CE770F04-EEA9-4A4F-9D37-8471E59B4E40}" destId="{C0CC81C3-53EB-4753-944A-946310CD1BDD}" srcOrd="0" destOrd="0" parTransId="{08CE9948-69DB-432A-8550-1B7DF8C5C118}" sibTransId="{42A5474C-EAC1-4588-A901-18A3B7429C6D}"/>
    <dgm:cxn modelId="{241BA3CA-AE75-40DC-91D2-026B58351192}" type="presOf" srcId="{C0CC81C3-53EB-4753-944A-946310CD1BDD}" destId="{F26BD06A-80CE-456D-B6C0-FE9DEE6A314F}" srcOrd="0" destOrd="0" presId="urn:microsoft.com/office/officeart/2005/8/layout/matrix3"/>
    <dgm:cxn modelId="{5D16DD3D-C546-4511-BC1B-2E234D055DA0}" type="presParOf" srcId="{F7F3CC9A-58AF-4906-8A5B-0CC9F13A107D}" destId="{611EC791-DBA0-4212-9640-E8E6A6D06943}" srcOrd="0" destOrd="0" presId="urn:microsoft.com/office/officeart/2005/8/layout/matrix3"/>
    <dgm:cxn modelId="{38661573-43BC-4AAB-8045-86836BEFF49B}" type="presParOf" srcId="{F7F3CC9A-58AF-4906-8A5B-0CC9F13A107D}" destId="{F26BD06A-80CE-456D-B6C0-FE9DEE6A314F}" srcOrd="1" destOrd="0" presId="urn:microsoft.com/office/officeart/2005/8/layout/matrix3"/>
    <dgm:cxn modelId="{8E509963-14E8-48A0-99C5-68E327BCA25E}" type="presParOf" srcId="{F7F3CC9A-58AF-4906-8A5B-0CC9F13A107D}" destId="{045A18E7-4DE8-459E-93CF-EACED27DA93D}" srcOrd="2" destOrd="0" presId="urn:microsoft.com/office/officeart/2005/8/layout/matrix3"/>
    <dgm:cxn modelId="{B9046D3C-C462-4FE1-9482-7B63EDB3BCD1}" type="presParOf" srcId="{F7F3CC9A-58AF-4906-8A5B-0CC9F13A107D}" destId="{2A6F4F2A-D3B7-41DF-8761-C01F44E2ABA1}" srcOrd="3" destOrd="0" presId="urn:microsoft.com/office/officeart/2005/8/layout/matrix3"/>
    <dgm:cxn modelId="{0E158C1B-A780-415E-838E-7E7D95459447}" type="presParOf" srcId="{F7F3CC9A-58AF-4906-8A5B-0CC9F13A107D}" destId="{603C8C77-9E0B-4882-9756-7D7DC8D9F222}" srcOrd="4" destOrd="0" presId="urn:microsoft.com/office/officeart/2005/8/layout/matrix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759D99D-0177-4CF5-AD11-3437727039F1}"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C0543D85-BADE-4179-8F43-F33E8F6BD7CE}">
      <dgm:prSet phldrT="[Texto]"/>
      <dgm:spPr>
        <a:xfrm>
          <a:off x="389477" y="104362"/>
          <a:ext cx="428434" cy="42843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lgn="ctr">
            <a:buNone/>
          </a:pPr>
          <a:endParaRPr lang="es-CR">
            <a:solidFill>
              <a:sysClr val="window" lastClr="FFFFFF"/>
            </a:solidFill>
            <a:latin typeface="Calibri"/>
            <a:ea typeface="+mn-ea"/>
            <a:cs typeface="+mn-cs"/>
          </a:endParaRPr>
        </a:p>
      </dgm:t>
    </dgm:pt>
    <dgm:pt modelId="{A6C419FC-7EB3-4755-88A8-75C26B2CAA85}" type="parTrans" cxnId="{C1CEF425-4299-48C3-B21C-247F2C498445}">
      <dgm:prSet/>
      <dgm:spPr/>
      <dgm:t>
        <a:bodyPr/>
        <a:lstStyle/>
        <a:p>
          <a:pPr algn="ctr"/>
          <a:endParaRPr lang="es-CR"/>
        </a:p>
      </dgm:t>
    </dgm:pt>
    <dgm:pt modelId="{45B6FE61-3EB0-4D8D-BB9C-79370C8F247D}" type="sibTrans" cxnId="{C1CEF425-4299-48C3-B21C-247F2C498445}">
      <dgm:prSet/>
      <dgm:spPr/>
      <dgm:t>
        <a:bodyPr/>
        <a:lstStyle/>
        <a:p>
          <a:pPr algn="ctr"/>
          <a:endParaRPr lang="es-CR"/>
        </a:p>
      </dgm:t>
    </dgm:pt>
    <dgm:pt modelId="{968C28A0-A36A-40FD-9A70-8D70E4D7A79C}">
      <dgm:prSet phldrT="[Texto]"/>
      <dgm:spPr>
        <a:xfrm>
          <a:off x="850868" y="104362"/>
          <a:ext cx="428434" cy="428434"/>
        </a:xfrm>
        <a:prstGeom prst="roundRect">
          <a:avLst/>
        </a:prstGeom>
        <a:solidFill>
          <a:srgbClr val="FFC000"/>
        </a:solidFill>
        <a:ln w="25400" cap="flat" cmpd="sng" algn="ctr">
          <a:solidFill>
            <a:sysClr val="window" lastClr="FFFFFF">
              <a:hueOff val="0"/>
              <a:satOff val="0"/>
              <a:lumOff val="0"/>
              <a:alphaOff val="0"/>
            </a:sysClr>
          </a:solidFill>
          <a:prstDash val="solid"/>
        </a:ln>
        <a:effectLst/>
      </dgm:spPr>
      <dgm:t>
        <a:bodyPr/>
        <a:lstStyle/>
        <a:p>
          <a:pPr algn="ctr">
            <a:buNone/>
          </a:pPr>
          <a:r>
            <a:rPr lang="es-CR">
              <a:solidFill>
                <a:sysClr val="window" lastClr="FFFFFF"/>
              </a:solidFill>
              <a:latin typeface="Calibri"/>
              <a:ea typeface="+mn-ea"/>
              <a:cs typeface="+mn-cs"/>
            </a:rPr>
            <a:t>Fase 3 Alerta Naranja</a:t>
          </a:r>
        </a:p>
      </dgm:t>
    </dgm:pt>
    <dgm:pt modelId="{B339FB3F-BE79-480C-B99F-8EC0518D83BC}" type="parTrans" cxnId="{1305AF59-3F9A-41F8-BC8A-2928AE6F2D8A}">
      <dgm:prSet/>
      <dgm:spPr/>
      <dgm:t>
        <a:bodyPr/>
        <a:lstStyle/>
        <a:p>
          <a:pPr algn="ctr"/>
          <a:endParaRPr lang="es-CR"/>
        </a:p>
      </dgm:t>
    </dgm:pt>
    <dgm:pt modelId="{59F5DA10-9B89-478F-A25B-F7A8027066B8}" type="sibTrans" cxnId="{1305AF59-3F9A-41F8-BC8A-2928AE6F2D8A}">
      <dgm:prSet/>
      <dgm:spPr/>
      <dgm:t>
        <a:bodyPr/>
        <a:lstStyle/>
        <a:p>
          <a:pPr algn="ctr"/>
          <a:endParaRPr lang="es-CR"/>
        </a:p>
      </dgm:t>
    </dgm:pt>
    <dgm:pt modelId="{B5D4C925-8572-496E-9659-3EEA58DAD774}">
      <dgm:prSet phldrT="[Texto]"/>
      <dgm:spPr>
        <a:xfrm>
          <a:off x="389477" y="565753"/>
          <a:ext cx="428434" cy="428434"/>
        </a:xfrm>
        <a:prstGeom prst="roundRect">
          <a:avLst/>
        </a:prstGeom>
        <a:solidFill>
          <a:sysClr val="window" lastClr="FFFFFF"/>
        </a:solidFill>
        <a:ln w="25400" cap="flat" cmpd="sng" algn="ctr">
          <a:solidFill>
            <a:srgbClr val="4BACC6">
              <a:lumMod val="40000"/>
              <a:lumOff val="60000"/>
            </a:srgbClr>
          </a:solidFill>
          <a:prstDash val="solid"/>
        </a:ln>
        <a:effectLst/>
      </dgm:spPr>
      <dgm:t>
        <a:bodyPr/>
        <a:lstStyle/>
        <a:p>
          <a:pPr algn="ctr">
            <a:buNone/>
          </a:pPr>
          <a:endParaRPr lang="es-CR">
            <a:solidFill>
              <a:sysClr val="window" lastClr="FFFFFF"/>
            </a:solidFill>
            <a:latin typeface="Calibri"/>
            <a:ea typeface="+mn-ea"/>
            <a:cs typeface="+mn-cs"/>
          </a:endParaRPr>
        </a:p>
      </dgm:t>
    </dgm:pt>
    <dgm:pt modelId="{1D9100B4-D0ED-4F76-839B-DB089AB89944}" type="parTrans" cxnId="{7641D79A-C94B-4961-A766-D5A529020881}">
      <dgm:prSet/>
      <dgm:spPr/>
      <dgm:t>
        <a:bodyPr/>
        <a:lstStyle/>
        <a:p>
          <a:pPr algn="ctr"/>
          <a:endParaRPr lang="es-CR"/>
        </a:p>
      </dgm:t>
    </dgm:pt>
    <dgm:pt modelId="{29E27642-E8B3-4E0A-841F-2E454820E765}" type="sibTrans" cxnId="{7641D79A-C94B-4961-A766-D5A529020881}">
      <dgm:prSet/>
      <dgm:spPr/>
      <dgm:t>
        <a:bodyPr/>
        <a:lstStyle/>
        <a:p>
          <a:pPr algn="ctr"/>
          <a:endParaRPr lang="es-CR"/>
        </a:p>
      </dgm:t>
    </dgm:pt>
    <dgm:pt modelId="{C6FD720D-5EB7-4DA8-B695-714B1087D581}">
      <dgm:prSet phldrT="[Texto]"/>
      <dgm:spPr>
        <a:xfrm>
          <a:off x="850868" y="565753"/>
          <a:ext cx="428434" cy="42843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lgn="ctr">
            <a:buNone/>
          </a:pPr>
          <a:endParaRPr lang="es-CR">
            <a:solidFill>
              <a:sysClr val="window" lastClr="FFFFFF"/>
            </a:solidFill>
            <a:latin typeface="Calibri"/>
            <a:ea typeface="+mn-ea"/>
            <a:cs typeface="+mn-cs"/>
          </a:endParaRPr>
        </a:p>
      </dgm:t>
    </dgm:pt>
    <dgm:pt modelId="{4DDB6F56-6B54-47A7-BE9D-8DA5B7BD67EB}" type="parTrans" cxnId="{08E97D78-4540-4FF8-94B3-D3DE2ACC83A1}">
      <dgm:prSet/>
      <dgm:spPr/>
      <dgm:t>
        <a:bodyPr/>
        <a:lstStyle/>
        <a:p>
          <a:pPr algn="ctr"/>
          <a:endParaRPr lang="es-CR"/>
        </a:p>
      </dgm:t>
    </dgm:pt>
    <dgm:pt modelId="{14FC6CDB-D275-485E-B227-9611A8D72E72}" type="sibTrans" cxnId="{08E97D78-4540-4FF8-94B3-D3DE2ACC83A1}">
      <dgm:prSet/>
      <dgm:spPr/>
      <dgm:t>
        <a:bodyPr/>
        <a:lstStyle/>
        <a:p>
          <a:pPr algn="ctr"/>
          <a:endParaRPr lang="es-CR"/>
        </a:p>
      </dgm:t>
    </dgm:pt>
    <dgm:pt modelId="{767C6880-2073-478F-8183-BFF59F28724C}" type="pres">
      <dgm:prSet presAssocID="{E759D99D-0177-4CF5-AD11-3437727039F1}" presName="matrix" presStyleCnt="0">
        <dgm:presLayoutVars>
          <dgm:chMax val="1"/>
          <dgm:dir/>
          <dgm:resizeHandles val="exact"/>
        </dgm:presLayoutVars>
      </dgm:prSet>
      <dgm:spPr/>
    </dgm:pt>
    <dgm:pt modelId="{58DD3DAF-E3DC-4C37-B191-008AE1CFED6B}" type="pres">
      <dgm:prSet presAssocID="{E759D99D-0177-4CF5-AD11-3437727039F1}" presName="diamond" presStyleLbl="bgShp" presStyleIdx="0" presStyleCnt="1"/>
      <dgm:spPr>
        <a:xfrm>
          <a:off x="285114" y="0"/>
          <a:ext cx="1098550" cy="1098550"/>
        </a:xfrm>
        <a:prstGeom prst="diamond">
          <a:avLst/>
        </a:prstGeom>
        <a:solidFill>
          <a:srgbClr val="4F81BD">
            <a:tint val="40000"/>
            <a:hueOff val="0"/>
            <a:satOff val="0"/>
            <a:lumOff val="0"/>
            <a:alphaOff val="0"/>
          </a:srgbClr>
        </a:solidFill>
        <a:ln>
          <a:noFill/>
        </a:ln>
        <a:effectLst/>
      </dgm:spPr>
    </dgm:pt>
    <dgm:pt modelId="{0E82E74D-536B-4979-958E-E00278AB59FA}" type="pres">
      <dgm:prSet presAssocID="{E759D99D-0177-4CF5-AD11-3437727039F1}" presName="quad1" presStyleLbl="node1" presStyleIdx="0" presStyleCnt="4">
        <dgm:presLayoutVars>
          <dgm:chMax val="0"/>
          <dgm:chPref val="0"/>
          <dgm:bulletEnabled val="1"/>
        </dgm:presLayoutVars>
      </dgm:prSet>
      <dgm:spPr/>
    </dgm:pt>
    <dgm:pt modelId="{8A023B21-E5D1-42C6-9E71-78F200824456}" type="pres">
      <dgm:prSet presAssocID="{E759D99D-0177-4CF5-AD11-3437727039F1}" presName="quad2" presStyleLbl="node1" presStyleIdx="1" presStyleCnt="4">
        <dgm:presLayoutVars>
          <dgm:chMax val="0"/>
          <dgm:chPref val="0"/>
          <dgm:bulletEnabled val="1"/>
        </dgm:presLayoutVars>
      </dgm:prSet>
      <dgm:spPr/>
    </dgm:pt>
    <dgm:pt modelId="{15E1E579-6156-4E0C-ADF0-736C44811838}" type="pres">
      <dgm:prSet presAssocID="{E759D99D-0177-4CF5-AD11-3437727039F1}" presName="quad3" presStyleLbl="node1" presStyleIdx="2" presStyleCnt="4">
        <dgm:presLayoutVars>
          <dgm:chMax val="0"/>
          <dgm:chPref val="0"/>
          <dgm:bulletEnabled val="1"/>
        </dgm:presLayoutVars>
      </dgm:prSet>
      <dgm:spPr/>
    </dgm:pt>
    <dgm:pt modelId="{FC73A99D-F085-44E9-BCB1-20B818B5E5D8}" type="pres">
      <dgm:prSet presAssocID="{E759D99D-0177-4CF5-AD11-3437727039F1}" presName="quad4" presStyleLbl="node1" presStyleIdx="3" presStyleCnt="4">
        <dgm:presLayoutVars>
          <dgm:chMax val="0"/>
          <dgm:chPref val="0"/>
          <dgm:bulletEnabled val="1"/>
        </dgm:presLayoutVars>
      </dgm:prSet>
      <dgm:spPr/>
    </dgm:pt>
  </dgm:ptLst>
  <dgm:cxnLst>
    <dgm:cxn modelId="{C1736C09-5E02-43BA-A7A7-4EE8D29B1B3C}" type="presOf" srcId="{E759D99D-0177-4CF5-AD11-3437727039F1}" destId="{767C6880-2073-478F-8183-BFF59F28724C}" srcOrd="0" destOrd="0" presId="urn:microsoft.com/office/officeart/2005/8/layout/matrix3"/>
    <dgm:cxn modelId="{C23F6B0C-6EEF-4D39-B3A9-369AD1B47917}" type="presOf" srcId="{C0543D85-BADE-4179-8F43-F33E8F6BD7CE}" destId="{0E82E74D-536B-4979-958E-E00278AB59FA}" srcOrd="0" destOrd="0" presId="urn:microsoft.com/office/officeart/2005/8/layout/matrix3"/>
    <dgm:cxn modelId="{F00FF717-14FE-4E9B-AB7C-8BE105619D4C}" type="presOf" srcId="{B5D4C925-8572-496E-9659-3EEA58DAD774}" destId="{15E1E579-6156-4E0C-ADF0-736C44811838}" srcOrd="0" destOrd="0" presId="urn:microsoft.com/office/officeart/2005/8/layout/matrix3"/>
    <dgm:cxn modelId="{C1CEF425-4299-48C3-B21C-247F2C498445}" srcId="{E759D99D-0177-4CF5-AD11-3437727039F1}" destId="{C0543D85-BADE-4179-8F43-F33E8F6BD7CE}" srcOrd="0" destOrd="0" parTransId="{A6C419FC-7EB3-4755-88A8-75C26B2CAA85}" sibTransId="{45B6FE61-3EB0-4D8D-BB9C-79370C8F247D}"/>
    <dgm:cxn modelId="{08E97D78-4540-4FF8-94B3-D3DE2ACC83A1}" srcId="{E759D99D-0177-4CF5-AD11-3437727039F1}" destId="{C6FD720D-5EB7-4DA8-B695-714B1087D581}" srcOrd="3" destOrd="0" parTransId="{4DDB6F56-6B54-47A7-BE9D-8DA5B7BD67EB}" sibTransId="{14FC6CDB-D275-485E-B227-9611A8D72E72}"/>
    <dgm:cxn modelId="{1305AF59-3F9A-41F8-BC8A-2928AE6F2D8A}" srcId="{E759D99D-0177-4CF5-AD11-3437727039F1}" destId="{968C28A0-A36A-40FD-9A70-8D70E4D7A79C}" srcOrd="1" destOrd="0" parTransId="{B339FB3F-BE79-480C-B99F-8EC0518D83BC}" sibTransId="{59F5DA10-9B89-478F-A25B-F7A8027066B8}"/>
    <dgm:cxn modelId="{9B55F290-6EB5-4A5D-A667-0650688F37DC}" type="presOf" srcId="{968C28A0-A36A-40FD-9A70-8D70E4D7A79C}" destId="{8A023B21-E5D1-42C6-9E71-78F200824456}" srcOrd="0" destOrd="0" presId="urn:microsoft.com/office/officeart/2005/8/layout/matrix3"/>
    <dgm:cxn modelId="{7641D79A-C94B-4961-A766-D5A529020881}" srcId="{E759D99D-0177-4CF5-AD11-3437727039F1}" destId="{B5D4C925-8572-496E-9659-3EEA58DAD774}" srcOrd="2" destOrd="0" parTransId="{1D9100B4-D0ED-4F76-839B-DB089AB89944}" sibTransId="{29E27642-E8B3-4E0A-841F-2E454820E765}"/>
    <dgm:cxn modelId="{74A709DE-81A1-4CAA-8D1C-CE63B6DE6830}" type="presOf" srcId="{C6FD720D-5EB7-4DA8-B695-714B1087D581}" destId="{FC73A99D-F085-44E9-BCB1-20B818B5E5D8}" srcOrd="0" destOrd="0" presId="urn:microsoft.com/office/officeart/2005/8/layout/matrix3"/>
    <dgm:cxn modelId="{C78D1AA8-6C7E-4490-99BF-86A8936231D8}" type="presParOf" srcId="{767C6880-2073-478F-8183-BFF59F28724C}" destId="{58DD3DAF-E3DC-4C37-B191-008AE1CFED6B}" srcOrd="0" destOrd="0" presId="urn:microsoft.com/office/officeart/2005/8/layout/matrix3"/>
    <dgm:cxn modelId="{3F2AC1C5-9D44-4CF6-B9C1-F8F43AF724C1}" type="presParOf" srcId="{767C6880-2073-478F-8183-BFF59F28724C}" destId="{0E82E74D-536B-4979-958E-E00278AB59FA}" srcOrd="1" destOrd="0" presId="urn:microsoft.com/office/officeart/2005/8/layout/matrix3"/>
    <dgm:cxn modelId="{E62FA75E-B2B3-4C18-AA54-30320B2978A0}" type="presParOf" srcId="{767C6880-2073-478F-8183-BFF59F28724C}" destId="{8A023B21-E5D1-42C6-9E71-78F200824456}" srcOrd="2" destOrd="0" presId="urn:microsoft.com/office/officeart/2005/8/layout/matrix3"/>
    <dgm:cxn modelId="{A68DD23C-E129-45C8-AC12-EF7D1C9EF70F}" type="presParOf" srcId="{767C6880-2073-478F-8183-BFF59F28724C}" destId="{15E1E579-6156-4E0C-ADF0-736C44811838}" srcOrd="3" destOrd="0" presId="urn:microsoft.com/office/officeart/2005/8/layout/matrix3"/>
    <dgm:cxn modelId="{0A5D8D22-10A5-40A9-AD85-FD563CA3BAFF}" type="presParOf" srcId="{767C6880-2073-478F-8183-BFF59F28724C}" destId="{FC73A99D-F085-44E9-BCB1-20B818B5E5D8}" srcOrd="4" destOrd="0" presId="urn:microsoft.com/office/officeart/2005/8/layout/matrix3"/>
  </dgm:cxnLst>
  <dgm:bg>
    <a:noFill/>
  </dgm:bg>
  <dgm:whole/>
  <dgm:extLst>
    <a:ext uri="http://schemas.microsoft.com/office/drawing/2008/diagram">
      <dsp:dataModelExt xmlns:dsp="http://schemas.microsoft.com/office/drawing/2008/diagram" relId="rId4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4BAA265-2323-4D3C-BDCB-895A62C5DDA9}"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D66AA132-A05C-40CA-8C57-4B930A2C78A2}">
      <dgm:prSet phldrT="[Texto]"/>
      <dgm:spPr>
        <a:xfrm>
          <a:off x="221379" y="465437"/>
          <a:ext cx="349929" cy="349929"/>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600353AA-243E-4945-99BA-0EDB95CDA068}" type="parTrans" cxnId="{7D46E907-B1C0-4E35-8F0F-BFEF3171A5AF}">
      <dgm:prSet/>
      <dgm:spPr/>
      <dgm:t>
        <a:bodyPr/>
        <a:lstStyle/>
        <a:p>
          <a:endParaRPr lang="es-CR"/>
        </a:p>
      </dgm:t>
    </dgm:pt>
    <dgm:pt modelId="{5A983C52-00AF-4C26-A7D1-82A42F353729}" type="sibTrans" cxnId="{7D46E907-B1C0-4E35-8F0F-BFEF3171A5AF}">
      <dgm:prSet/>
      <dgm:spPr/>
      <dgm:t>
        <a:bodyPr/>
        <a:lstStyle/>
        <a:p>
          <a:endParaRPr lang="es-CR"/>
        </a:p>
      </dgm:t>
    </dgm:pt>
    <dgm:pt modelId="{12597DD6-C676-4C32-972F-B8FC8BFF443A}">
      <dgm:prSet phldrT="[Texto]"/>
      <dgm:spPr>
        <a:xfrm>
          <a:off x="587816" y="85239"/>
          <a:ext cx="349929" cy="349929"/>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EC7A8BC4-EA51-4070-A7CF-65E6D2315D6C}" type="parTrans" cxnId="{65165552-ED47-4DEF-84C3-A5BE1BF76791}">
      <dgm:prSet/>
      <dgm:spPr/>
      <dgm:t>
        <a:bodyPr/>
        <a:lstStyle/>
        <a:p>
          <a:endParaRPr lang="es-CR"/>
        </a:p>
      </dgm:t>
    </dgm:pt>
    <dgm:pt modelId="{A03C6A4B-1221-4619-9C9B-42F6BF88F00E}" type="sibTrans" cxnId="{65165552-ED47-4DEF-84C3-A5BE1BF76791}">
      <dgm:prSet/>
      <dgm:spPr/>
      <dgm:t>
        <a:bodyPr/>
        <a:lstStyle/>
        <a:p>
          <a:endParaRPr lang="es-CR"/>
        </a:p>
      </dgm:t>
    </dgm:pt>
    <dgm:pt modelId="{1FA4A65E-2F38-4188-9CE1-676AA947B168}">
      <dgm:prSet phldrT="[Texto]"/>
      <dgm:spPr>
        <a:xfrm>
          <a:off x="213600" y="101065"/>
          <a:ext cx="344666" cy="340449"/>
        </a:xfrm>
        <a:prstGeom prst="roundRect">
          <a:avLst/>
        </a:prstGeom>
        <a:solidFill>
          <a:srgbClr val="FF00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Face 4</a:t>
          </a:r>
        </a:p>
        <a:p>
          <a:pPr>
            <a:buNone/>
          </a:pPr>
          <a:r>
            <a:rPr lang="es-CR">
              <a:solidFill>
                <a:sysClr val="window" lastClr="FFFFFF"/>
              </a:solidFill>
              <a:latin typeface="Calibri"/>
              <a:ea typeface="+mn-ea"/>
              <a:cs typeface="+mn-cs"/>
            </a:rPr>
            <a:t>Alerta Roja</a:t>
          </a:r>
        </a:p>
      </dgm:t>
    </dgm:pt>
    <dgm:pt modelId="{803EE07C-0F8C-47E6-B6C4-D240EBA94CF7}" type="parTrans" cxnId="{BCD0E32B-98C4-4B44-9576-F075D7BF8A10}">
      <dgm:prSet/>
      <dgm:spPr/>
      <dgm:t>
        <a:bodyPr/>
        <a:lstStyle/>
        <a:p>
          <a:endParaRPr lang="es-CR"/>
        </a:p>
      </dgm:t>
    </dgm:pt>
    <dgm:pt modelId="{60094AD2-C5EF-4F6D-9B05-4D8A292890EB}" type="sibTrans" cxnId="{BCD0E32B-98C4-4B44-9576-F075D7BF8A10}">
      <dgm:prSet/>
      <dgm:spPr/>
      <dgm:t>
        <a:bodyPr/>
        <a:lstStyle/>
        <a:p>
          <a:endParaRPr lang="es-CR"/>
        </a:p>
      </dgm:t>
    </dgm:pt>
    <dgm:pt modelId="{9F4E1C05-11BB-441C-A12E-9A43C5FEBB5D}">
      <dgm:prSet phldrT="[Texto]"/>
      <dgm:spPr>
        <a:xfrm>
          <a:off x="587816" y="462086"/>
          <a:ext cx="349929" cy="349929"/>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6017A963-34E1-49F0-B043-15CFB5467BC5}" type="parTrans" cxnId="{B00380D5-1B6B-43F5-B5A6-8960275388E5}">
      <dgm:prSet/>
      <dgm:spPr/>
      <dgm:t>
        <a:bodyPr/>
        <a:lstStyle/>
        <a:p>
          <a:endParaRPr lang="es-CR"/>
        </a:p>
      </dgm:t>
    </dgm:pt>
    <dgm:pt modelId="{58388ECD-BFCB-46DD-B4A9-9DD371D98390}" type="sibTrans" cxnId="{B00380D5-1B6B-43F5-B5A6-8960275388E5}">
      <dgm:prSet/>
      <dgm:spPr/>
      <dgm:t>
        <a:bodyPr/>
        <a:lstStyle/>
        <a:p>
          <a:endParaRPr lang="es-CR"/>
        </a:p>
      </dgm:t>
    </dgm:pt>
    <dgm:pt modelId="{47E22B2C-F430-4532-AC1C-E021149596DE}" type="pres">
      <dgm:prSet presAssocID="{64BAA265-2323-4D3C-BDCB-895A62C5DDA9}" presName="matrix" presStyleCnt="0">
        <dgm:presLayoutVars>
          <dgm:chMax val="1"/>
          <dgm:dir/>
          <dgm:resizeHandles val="exact"/>
        </dgm:presLayoutVars>
      </dgm:prSet>
      <dgm:spPr/>
    </dgm:pt>
    <dgm:pt modelId="{0BF69942-C08F-466C-8377-D500B08A731B}" type="pres">
      <dgm:prSet presAssocID="{64BAA265-2323-4D3C-BDCB-895A62C5DDA9}" presName="diamond" presStyleLbl="bgShp" presStyleIdx="0" presStyleCnt="1"/>
      <dgm:spPr>
        <a:xfrm>
          <a:off x="125730" y="0"/>
          <a:ext cx="897255" cy="897255"/>
        </a:xfrm>
        <a:prstGeom prst="diamond">
          <a:avLst/>
        </a:prstGeom>
        <a:solidFill>
          <a:srgbClr val="4F81BD">
            <a:tint val="40000"/>
            <a:hueOff val="0"/>
            <a:satOff val="0"/>
            <a:lumOff val="0"/>
            <a:alphaOff val="0"/>
          </a:srgbClr>
        </a:solidFill>
        <a:ln>
          <a:noFill/>
        </a:ln>
        <a:effectLst/>
      </dgm:spPr>
    </dgm:pt>
    <dgm:pt modelId="{D90A37BE-E42E-43A9-BBB0-642B90F3EDFD}" type="pres">
      <dgm:prSet presAssocID="{64BAA265-2323-4D3C-BDCB-895A62C5DDA9}" presName="quad1" presStyleLbl="node1" presStyleIdx="0" presStyleCnt="4" custLinFactY="8650" custLinFactNeighborX="2975" custLinFactNeighborY="100000">
        <dgm:presLayoutVars>
          <dgm:chMax val="0"/>
          <dgm:chPref val="0"/>
          <dgm:bulletEnabled val="1"/>
        </dgm:presLayoutVars>
      </dgm:prSet>
      <dgm:spPr/>
    </dgm:pt>
    <dgm:pt modelId="{0140D089-7837-4BE9-B3B9-556CCF420A0C}" type="pres">
      <dgm:prSet presAssocID="{64BAA265-2323-4D3C-BDCB-895A62C5DDA9}" presName="quad2" presStyleLbl="node1" presStyleIdx="1" presStyleCnt="4">
        <dgm:presLayoutVars>
          <dgm:chMax val="0"/>
          <dgm:chPref val="0"/>
          <dgm:bulletEnabled val="1"/>
        </dgm:presLayoutVars>
      </dgm:prSet>
      <dgm:spPr/>
    </dgm:pt>
    <dgm:pt modelId="{EC247000-4B9D-4BCA-BB28-46AFC825B2F9}" type="pres">
      <dgm:prSet presAssocID="{64BAA265-2323-4D3C-BDCB-895A62C5DDA9}" presName="quad3" presStyleLbl="node1" presStyleIdx="2" presStyleCnt="4" custScaleX="98496" custScaleY="97291" custLinFactY="-4524" custLinFactNeighborY="-100000">
        <dgm:presLayoutVars>
          <dgm:chMax val="0"/>
          <dgm:chPref val="0"/>
          <dgm:bulletEnabled val="1"/>
        </dgm:presLayoutVars>
      </dgm:prSet>
      <dgm:spPr/>
    </dgm:pt>
    <dgm:pt modelId="{A15C9538-301B-41D0-B9D4-7B563297A846}" type="pres">
      <dgm:prSet presAssocID="{64BAA265-2323-4D3C-BDCB-895A62C5DDA9}" presName="quad4" presStyleLbl="node1" presStyleIdx="3" presStyleCnt="4">
        <dgm:presLayoutVars>
          <dgm:chMax val="0"/>
          <dgm:chPref val="0"/>
          <dgm:bulletEnabled val="1"/>
        </dgm:presLayoutVars>
      </dgm:prSet>
      <dgm:spPr/>
    </dgm:pt>
  </dgm:ptLst>
  <dgm:cxnLst>
    <dgm:cxn modelId="{7D46E907-B1C0-4E35-8F0F-BFEF3171A5AF}" srcId="{64BAA265-2323-4D3C-BDCB-895A62C5DDA9}" destId="{D66AA132-A05C-40CA-8C57-4B930A2C78A2}" srcOrd="0" destOrd="0" parTransId="{600353AA-243E-4945-99BA-0EDB95CDA068}" sibTransId="{5A983C52-00AF-4C26-A7D1-82A42F353729}"/>
    <dgm:cxn modelId="{BCD0E32B-98C4-4B44-9576-F075D7BF8A10}" srcId="{64BAA265-2323-4D3C-BDCB-895A62C5DDA9}" destId="{1FA4A65E-2F38-4188-9CE1-676AA947B168}" srcOrd="2" destOrd="0" parTransId="{803EE07C-0F8C-47E6-B6C4-D240EBA94CF7}" sibTransId="{60094AD2-C5EF-4F6D-9B05-4D8A292890EB}"/>
    <dgm:cxn modelId="{65165552-ED47-4DEF-84C3-A5BE1BF76791}" srcId="{64BAA265-2323-4D3C-BDCB-895A62C5DDA9}" destId="{12597DD6-C676-4C32-972F-B8FC8BFF443A}" srcOrd="1" destOrd="0" parTransId="{EC7A8BC4-EA51-4070-A7CF-65E6D2315D6C}" sibTransId="{A03C6A4B-1221-4619-9C9B-42F6BF88F00E}"/>
    <dgm:cxn modelId="{7280E09A-8F2B-40C9-8FE4-A0958046132A}" type="presOf" srcId="{9F4E1C05-11BB-441C-A12E-9A43C5FEBB5D}" destId="{A15C9538-301B-41D0-B9D4-7B563297A846}" srcOrd="0" destOrd="0" presId="urn:microsoft.com/office/officeart/2005/8/layout/matrix3"/>
    <dgm:cxn modelId="{2293C7CB-B557-49FB-82AF-6B0EBCE98964}" type="presOf" srcId="{1FA4A65E-2F38-4188-9CE1-676AA947B168}" destId="{EC247000-4B9D-4BCA-BB28-46AFC825B2F9}" srcOrd="0" destOrd="0" presId="urn:microsoft.com/office/officeart/2005/8/layout/matrix3"/>
    <dgm:cxn modelId="{A27CC0D0-3FBC-4AC5-8C8A-EB16EEA49EDE}" type="presOf" srcId="{12597DD6-C676-4C32-972F-B8FC8BFF443A}" destId="{0140D089-7837-4BE9-B3B9-556CCF420A0C}" srcOrd="0" destOrd="0" presId="urn:microsoft.com/office/officeart/2005/8/layout/matrix3"/>
    <dgm:cxn modelId="{B00380D5-1B6B-43F5-B5A6-8960275388E5}" srcId="{64BAA265-2323-4D3C-BDCB-895A62C5DDA9}" destId="{9F4E1C05-11BB-441C-A12E-9A43C5FEBB5D}" srcOrd="3" destOrd="0" parTransId="{6017A963-34E1-49F0-B043-15CFB5467BC5}" sibTransId="{58388ECD-BFCB-46DD-B4A9-9DD371D98390}"/>
    <dgm:cxn modelId="{6F7887E9-888E-444E-81DB-4ED41FCCE9C9}" type="presOf" srcId="{64BAA265-2323-4D3C-BDCB-895A62C5DDA9}" destId="{47E22B2C-F430-4532-AC1C-E021149596DE}" srcOrd="0" destOrd="0" presId="urn:microsoft.com/office/officeart/2005/8/layout/matrix3"/>
    <dgm:cxn modelId="{A46268ED-533D-4930-8D4F-CD22074E82BD}" type="presOf" srcId="{D66AA132-A05C-40CA-8C57-4B930A2C78A2}" destId="{D90A37BE-E42E-43A9-BBB0-642B90F3EDFD}" srcOrd="0" destOrd="0" presId="urn:microsoft.com/office/officeart/2005/8/layout/matrix3"/>
    <dgm:cxn modelId="{B0A88621-A797-4EE2-A970-F671C14429DA}" type="presParOf" srcId="{47E22B2C-F430-4532-AC1C-E021149596DE}" destId="{0BF69942-C08F-466C-8377-D500B08A731B}" srcOrd="0" destOrd="0" presId="urn:microsoft.com/office/officeart/2005/8/layout/matrix3"/>
    <dgm:cxn modelId="{4307D5B4-BFEC-48A7-B771-88DCB08AEC3A}" type="presParOf" srcId="{47E22B2C-F430-4532-AC1C-E021149596DE}" destId="{D90A37BE-E42E-43A9-BBB0-642B90F3EDFD}" srcOrd="1" destOrd="0" presId="urn:microsoft.com/office/officeart/2005/8/layout/matrix3"/>
    <dgm:cxn modelId="{9CF392DA-A4DC-4BE8-A322-23E3AA7C4C73}" type="presParOf" srcId="{47E22B2C-F430-4532-AC1C-E021149596DE}" destId="{0140D089-7837-4BE9-B3B9-556CCF420A0C}" srcOrd="2" destOrd="0" presId="urn:microsoft.com/office/officeart/2005/8/layout/matrix3"/>
    <dgm:cxn modelId="{E607F7AB-031B-41F3-8B1A-3FD58529FE84}" type="presParOf" srcId="{47E22B2C-F430-4532-AC1C-E021149596DE}" destId="{EC247000-4B9D-4BCA-BB28-46AFC825B2F9}" srcOrd="3" destOrd="0" presId="urn:microsoft.com/office/officeart/2005/8/layout/matrix3"/>
    <dgm:cxn modelId="{2D8DC632-4BD0-4536-8393-A6249BC0F695}" type="presParOf" srcId="{47E22B2C-F430-4532-AC1C-E021149596DE}" destId="{A15C9538-301B-41D0-B9D4-7B563297A846}" srcOrd="4" destOrd="0" presId="urn:microsoft.com/office/officeart/2005/8/layout/matrix3"/>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7D2921-4383-4A60-A07A-2F0E84B77D11}">
      <dsp:nvSpPr>
        <dsp:cNvPr id="0" name=""/>
        <dsp:cNvSpPr/>
      </dsp:nvSpPr>
      <dsp:spPr>
        <a:xfrm>
          <a:off x="1052818" y="0"/>
          <a:ext cx="1191237" cy="1191237"/>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E560C209-537B-4D77-96D7-38A7F3883B23}">
      <dsp:nvSpPr>
        <dsp:cNvPr id="0" name=""/>
        <dsp:cNvSpPr/>
      </dsp:nvSpPr>
      <dsp:spPr>
        <a:xfrm>
          <a:off x="1677040" y="110970"/>
          <a:ext cx="464582" cy="464582"/>
        </a:xfrm>
        <a:prstGeom prst="roundRect">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Text" lastClr="000000"/>
              </a:solidFill>
              <a:latin typeface="Calibri"/>
              <a:ea typeface="+mn-ea"/>
              <a:cs typeface="+mn-cs"/>
            </a:rPr>
            <a:t>Face 2 Alerta Amarilla</a:t>
          </a:r>
        </a:p>
      </dsp:txBody>
      <dsp:txXfrm>
        <a:off x="1699719" y="133649"/>
        <a:ext cx="419224" cy="419224"/>
      </dsp:txXfrm>
    </dsp:sp>
    <dsp:sp modelId="{17A15B2C-CE3B-4AC8-922A-C12F4DE23EAC}">
      <dsp:nvSpPr>
        <dsp:cNvPr id="0" name=""/>
        <dsp:cNvSpPr/>
      </dsp:nvSpPr>
      <dsp:spPr>
        <a:xfrm>
          <a:off x="1169731" y="629481"/>
          <a:ext cx="464582" cy="464582"/>
        </a:xfrm>
        <a:prstGeom prst="roundRect">
          <a:avLst/>
        </a:prstGeom>
        <a:solidFill>
          <a:srgbClr val="EF9721"/>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Face 3 Alerta Naranja</a:t>
          </a:r>
        </a:p>
      </dsp:txBody>
      <dsp:txXfrm>
        <a:off x="1192410" y="652160"/>
        <a:ext cx="419224" cy="419224"/>
      </dsp:txXfrm>
    </dsp:sp>
    <dsp:sp modelId="{C8F90DD5-F11D-4E9B-BCD2-FC901DC21A83}">
      <dsp:nvSpPr>
        <dsp:cNvPr id="0" name=""/>
        <dsp:cNvSpPr/>
      </dsp:nvSpPr>
      <dsp:spPr>
        <a:xfrm>
          <a:off x="1705110" y="618021"/>
          <a:ext cx="464582" cy="464582"/>
        </a:xfrm>
        <a:prstGeom prst="roundRect">
          <a:avLst/>
        </a:prstGeom>
        <a:solidFill>
          <a:srgbClr val="FF0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Face 4</a:t>
          </a:r>
        </a:p>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Alerta Roja</a:t>
          </a:r>
        </a:p>
      </dsp:txBody>
      <dsp:txXfrm>
        <a:off x="1727789" y="640700"/>
        <a:ext cx="419224" cy="419224"/>
      </dsp:txXfrm>
    </dsp:sp>
    <dsp:sp modelId="{5398FB92-473B-4D22-A81E-AC1E3A6983EA}">
      <dsp:nvSpPr>
        <dsp:cNvPr id="0" name=""/>
        <dsp:cNvSpPr/>
      </dsp:nvSpPr>
      <dsp:spPr>
        <a:xfrm>
          <a:off x="1148324" y="84936"/>
          <a:ext cx="464582" cy="464582"/>
        </a:xfrm>
        <a:prstGeom prst="roundRect">
          <a:avLst/>
        </a:prstGeom>
        <a:solidFill>
          <a:srgbClr val="00B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Fase 1 Alerta Verde</a:t>
          </a:r>
        </a:p>
      </dsp:txBody>
      <dsp:txXfrm>
        <a:off x="1171003" y="107615"/>
        <a:ext cx="419224" cy="4192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7E4DF4-7C84-42FD-818D-C2C313CEC559}">
      <dsp:nvSpPr>
        <dsp:cNvPr id="0" name=""/>
        <dsp:cNvSpPr/>
      </dsp:nvSpPr>
      <dsp:spPr>
        <a:xfrm>
          <a:off x="142612" y="0"/>
          <a:ext cx="864066" cy="864066"/>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0B57F67-7A19-4E30-9DF2-770E5C2D2770}">
      <dsp:nvSpPr>
        <dsp:cNvPr id="0" name=""/>
        <dsp:cNvSpPr/>
      </dsp:nvSpPr>
      <dsp:spPr>
        <a:xfrm>
          <a:off x="224699" y="82086"/>
          <a:ext cx="336985" cy="336985"/>
        </a:xfrm>
        <a:prstGeom prst="roundRect">
          <a:avLst/>
        </a:prstGeom>
        <a:solidFill>
          <a:sysClr val="window" lastClr="FFFFFF"/>
        </a:solidFill>
        <a:ln w="25400" cap="flat" cmpd="sng" algn="ctr">
          <a:solidFill>
            <a:srgbClr val="4F81BD">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241149" y="98536"/>
        <a:ext cx="304085" cy="304085"/>
      </dsp:txXfrm>
    </dsp:sp>
    <dsp:sp modelId="{BFE6A6F9-BB15-484A-B22D-123B2FB4FE54}">
      <dsp:nvSpPr>
        <dsp:cNvPr id="0" name=""/>
        <dsp:cNvSpPr/>
      </dsp:nvSpPr>
      <dsp:spPr>
        <a:xfrm>
          <a:off x="587606" y="82086"/>
          <a:ext cx="336985" cy="336985"/>
        </a:xfrm>
        <a:prstGeom prst="roundRect">
          <a:avLst/>
        </a:prstGeom>
        <a:solidFill>
          <a:sysClr val="window" lastClr="FFFFFF"/>
        </a:solidFill>
        <a:ln w="25400" cap="flat" cmpd="sng" algn="ctr">
          <a:solidFill>
            <a:srgbClr val="4F81BD">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604056" y="98536"/>
        <a:ext cx="304085" cy="304085"/>
      </dsp:txXfrm>
    </dsp:sp>
    <dsp:sp modelId="{000CEC01-D480-45CB-8EA7-D865E1D3FFAA}">
      <dsp:nvSpPr>
        <dsp:cNvPr id="0" name=""/>
        <dsp:cNvSpPr/>
      </dsp:nvSpPr>
      <dsp:spPr>
        <a:xfrm>
          <a:off x="224699" y="444993"/>
          <a:ext cx="336985" cy="336985"/>
        </a:xfrm>
        <a:prstGeom prst="roundRect">
          <a:avLst/>
        </a:prstGeom>
        <a:solidFill>
          <a:sysClr val="window" lastClr="FFFFFF"/>
        </a:solidFill>
        <a:ln w="25400" cap="flat" cmpd="sng" algn="ctr">
          <a:solidFill>
            <a:srgbClr val="4F81BD">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241149" y="461443"/>
        <a:ext cx="304085" cy="304085"/>
      </dsp:txXfrm>
    </dsp:sp>
    <dsp:sp modelId="{E534F928-6E77-4FB3-B7DD-908C67840957}">
      <dsp:nvSpPr>
        <dsp:cNvPr id="0" name=""/>
        <dsp:cNvSpPr/>
      </dsp:nvSpPr>
      <dsp:spPr>
        <a:xfrm>
          <a:off x="587606" y="444993"/>
          <a:ext cx="336985" cy="336985"/>
        </a:xfrm>
        <a:prstGeom prst="roundRect">
          <a:avLst/>
        </a:prstGeom>
        <a:solidFill>
          <a:srgbClr val="00B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s-CR" sz="600" kern="1200">
              <a:solidFill>
                <a:sysClr val="window" lastClr="FFFFFF"/>
              </a:solidFill>
              <a:latin typeface="Calibri"/>
              <a:ea typeface="+mn-ea"/>
              <a:cs typeface="+mn-cs"/>
            </a:rPr>
            <a:t>Fase 1 Alerta Verde</a:t>
          </a:r>
        </a:p>
      </dsp:txBody>
      <dsp:txXfrm>
        <a:off x="604056" y="461443"/>
        <a:ext cx="304085" cy="3040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1EC791-DBA0-4212-9640-E8E6A6D06943}">
      <dsp:nvSpPr>
        <dsp:cNvPr id="0" name=""/>
        <dsp:cNvSpPr/>
      </dsp:nvSpPr>
      <dsp:spPr>
        <a:xfrm>
          <a:off x="0" y="25082"/>
          <a:ext cx="1014730" cy="1014730"/>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F26BD06A-80CE-456D-B6C0-FE9DEE6A314F}">
      <dsp:nvSpPr>
        <dsp:cNvPr id="0" name=""/>
        <dsp:cNvSpPr/>
      </dsp:nvSpPr>
      <dsp:spPr>
        <a:xfrm>
          <a:off x="85583" y="571756"/>
          <a:ext cx="395744" cy="395744"/>
        </a:xfrm>
        <a:prstGeom prst="roundRect">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s-CR" sz="600" kern="1200">
              <a:solidFill>
                <a:sysClr val="windowText" lastClr="000000"/>
              </a:solidFill>
              <a:latin typeface="Calibri"/>
              <a:ea typeface="+mn-ea"/>
              <a:cs typeface="+mn-cs"/>
            </a:rPr>
            <a:t>Face 2</a:t>
          </a:r>
        </a:p>
        <a:p>
          <a:pPr marL="0" lvl="0" indent="0" algn="ctr" defTabSz="266700">
            <a:lnSpc>
              <a:spcPct val="90000"/>
            </a:lnSpc>
            <a:spcBef>
              <a:spcPct val="0"/>
            </a:spcBef>
            <a:spcAft>
              <a:spcPct val="35000"/>
            </a:spcAft>
            <a:buNone/>
          </a:pPr>
          <a:r>
            <a:rPr lang="es-CR" sz="600" kern="1200">
              <a:solidFill>
                <a:sysClr val="windowText" lastClr="000000"/>
              </a:solidFill>
              <a:latin typeface="Calibri"/>
              <a:ea typeface="+mn-ea"/>
              <a:cs typeface="+mn-cs"/>
            </a:rPr>
            <a:t>Alerta Amarilla </a:t>
          </a:r>
        </a:p>
      </dsp:txBody>
      <dsp:txXfrm>
        <a:off x="104902" y="591075"/>
        <a:ext cx="357106" cy="357106"/>
      </dsp:txXfrm>
    </dsp:sp>
    <dsp:sp modelId="{045A18E7-4DE8-459E-93CF-EACED27DA93D}">
      <dsp:nvSpPr>
        <dsp:cNvPr id="0" name=""/>
        <dsp:cNvSpPr/>
      </dsp:nvSpPr>
      <dsp:spPr>
        <a:xfrm>
          <a:off x="522585" y="121481"/>
          <a:ext cx="395744" cy="395744"/>
        </a:xfrm>
        <a:prstGeom prst="roundRect">
          <a:avLst/>
        </a:prstGeom>
        <a:solidFill>
          <a:sysClr val="window" lastClr="FFFFFF"/>
        </a:solidFill>
        <a:ln w="25400" cap="flat" cmpd="sng" algn="ctr">
          <a:solidFill>
            <a:srgbClr val="4F81BD">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541904" y="140800"/>
        <a:ext cx="357106" cy="357106"/>
      </dsp:txXfrm>
    </dsp:sp>
    <dsp:sp modelId="{2A6F4F2A-D3B7-41DF-8761-C01F44E2ABA1}">
      <dsp:nvSpPr>
        <dsp:cNvPr id="0" name=""/>
        <dsp:cNvSpPr/>
      </dsp:nvSpPr>
      <dsp:spPr>
        <a:xfrm>
          <a:off x="82544" y="132033"/>
          <a:ext cx="395744" cy="395744"/>
        </a:xfrm>
        <a:prstGeom prst="roundRect">
          <a:avLst/>
        </a:prstGeom>
        <a:solidFill>
          <a:sysClr val="window" lastClr="FFFFFF"/>
        </a:solidFill>
        <a:ln w="25400" cap="flat" cmpd="sng" algn="ctr">
          <a:solidFill>
            <a:srgbClr val="4F81BD">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101863" y="151352"/>
        <a:ext cx="357106" cy="357106"/>
      </dsp:txXfrm>
    </dsp:sp>
    <dsp:sp modelId="{603C8C77-9E0B-4882-9756-7D7DC8D9F222}">
      <dsp:nvSpPr>
        <dsp:cNvPr id="0" name=""/>
        <dsp:cNvSpPr/>
      </dsp:nvSpPr>
      <dsp:spPr>
        <a:xfrm>
          <a:off x="522585" y="547668"/>
          <a:ext cx="395744" cy="395744"/>
        </a:xfrm>
        <a:prstGeom prst="roundRect">
          <a:avLst/>
        </a:prstGeom>
        <a:solidFill>
          <a:sysClr val="window" lastClr="FFFFFF"/>
        </a:solidFill>
        <a:ln w="25400" cap="flat" cmpd="sng" algn="ctr">
          <a:solidFill>
            <a:srgbClr val="4F81BD">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541904" y="566987"/>
        <a:ext cx="357106" cy="35710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DD3DAF-E3DC-4C37-B191-008AE1CFED6B}">
      <dsp:nvSpPr>
        <dsp:cNvPr id="0" name=""/>
        <dsp:cNvSpPr/>
      </dsp:nvSpPr>
      <dsp:spPr>
        <a:xfrm>
          <a:off x="285114" y="0"/>
          <a:ext cx="1098550" cy="1098550"/>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0E82E74D-536B-4979-958E-E00278AB59FA}">
      <dsp:nvSpPr>
        <dsp:cNvPr id="0" name=""/>
        <dsp:cNvSpPr/>
      </dsp:nvSpPr>
      <dsp:spPr>
        <a:xfrm>
          <a:off x="389477" y="104362"/>
          <a:ext cx="428434" cy="428434"/>
        </a:xfrm>
        <a:prstGeom prst="roundRect">
          <a:avLst/>
        </a:prstGeom>
        <a:solidFill>
          <a:sysClr val="window" lastClr="FFFFFF"/>
        </a:solidFill>
        <a:ln w="25400" cap="flat" cmpd="sng" algn="ctr">
          <a:solidFill>
            <a:srgbClr val="4F81BD">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410391" y="125276"/>
        <a:ext cx="386606" cy="386606"/>
      </dsp:txXfrm>
    </dsp:sp>
    <dsp:sp modelId="{8A023B21-E5D1-42C6-9E71-78F200824456}">
      <dsp:nvSpPr>
        <dsp:cNvPr id="0" name=""/>
        <dsp:cNvSpPr/>
      </dsp:nvSpPr>
      <dsp:spPr>
        <a:xfrm>
          <a:off x="850868" y="104362"/>
          <a:ext cx="428434" cy="428434"/>
        </a:xfrm>
        <a:prstGeom prst="roundRect">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Fase 3 Alerta Naranja</a:t>
          </a:r>
        </a:p>
      </dsp:txBody>
      <dsp:txXfrm>
        <a:off x="871782" y="125276"/>
        <a:ext cx="386606" cy="386606"/>
      </dsp:txXfrm>
    </dsp:sp>
    <dsp:sp modelId="{15E1E579-6156-4E0C-ADF0-736C44811838}">
      <dsp:nvSpPr>
        <dsp:cNvPr id="0" name=""/>
        <dsp:cNvSpPr/>
      </dsp:nvSpPr>
      <dsp:spPr>
        <a:xfrm>
          <a:off x="389477" y="565753"/>
          <a:ext cx="428434" cy="428434"/>
        </a:xfrm>
        <a:prstGeom prst="roundRect">
          <a:avLst/>
        </a:prstGeom>
        <a:solidFill>
          <a:sysClr val="window" lastClr="FFFFFF"/>
        </a:solidFill>
        <a:ln w="25400" cap="flat" cmpd="sng" algn="ctr">
          <a:solidFill>
            <a:srgbClr val="4BACC6">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410391" y="586667"/>
        <a:ext cx="386606" cy="386606"/>
      </dsp:txXfrm>
    </dsp:sp>
    <dsp:sp modelId="{FC73A99D-F085-44E9-BCB1-20B818B5E5D8}">
      <dsp:nvSpPr>
        <dsp:cNvPr id="0" name=""/>
        <dsp:cNvSpPr/>
      </dsp:nvSpPr>
      <dsp:spPr>
        <a:xfrm>
          <a:off x="850868" y="565753"/>
          <a:ext cx="428434" cy="428434"/>
        </a:xfrm>
        <a:prstGeom prst="roundRect">
          <a:avLst/>
        </a:prstGeom>
        <a:solidFill>
          <a:sysClr val="window" lastClr="FFFFFF"/>
        </a:solidFill>
        <a:ln w="25400" cap="flat" cmpd="sng" algn="ctr">
          <a:solidFill>
            <a:srgbClr val="4F81BD">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871782" y="586667"/>
        <a:ext cx="386606" cy="38660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F69942-C08F-466C-8377-D500B08A731B}">
      <dsp:nvSpPr>
        <dsp:cNvPr id="0" name=""/>
        <dsp:cNvSpPr/>
      </dsp:nvSpPr>
      <dsp:spPr>
        <a:xfrm>
          <a:off x="125730" y="0"/>
          <a:ext cx="897255" cy="897255"/>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D90A37BE-E42E-43A9-BBB0-642B90F3EDFD}">
      <dsp:nvSpPr>
        <dsp:cNvPr id="0" name=""/>
        <dsp:cNvSpPr/>
      </dsp:nvSpPr>
      <dsp:spPr>
        <a:xfrm>
          <a:off x="221379" y="465437"/>
          <a:ext cx="349929" cy="349929"/>
        </a:xfrm>
        <a:prstGeom prst="roundRect">
          <a:avLst/>
        </a:prstGeom>
        <a:solidFill>
          <a:sysClr val="window" lastClr="FFFFFF"/>
        </a:solidFill>
        <a:ln w="25400" cap="flat" cmpd="sng" algn="ctr">
          <a:solidFill>
            <a:srgbClr val="4F81BD">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s-CR" sz="500" kern="1200">
            <a:solidFill>
              <a:sysClr val="window" lastClr="FFFFFF"/>
            </a:solidFill>
            <a:latin typeface="Calibri"/>
            <a:ea typeface="+mn-ea"/>
            <a:cs typeface="+mn-cs"/>
          </a:endParaRPr>
        </a:p>
      </dsp:txBody>
      <dsp:txXfrm>
        <a:off x="238461" y="482519"/>
        <a:ext cx="315765" cy="315765"/>
      </dsp:txXfrm>
    </dsp:sp>
    <dsp:sp modelId="{0140D089-7837-4BE9-B3B9-556CCF420A0C}">
      <dsp:nvSpPr>
        <dsp:cNvPr id="0" name=""/>
        <dsp:cNvSpPr/>
      </dsp:nvSpPr>
      <dsp:spPr>
        <a:xfrm>
          <a:off x="587816" y="85239"/>
          <a:ext cx="349929" cy="349929"/>
        </a:xfrm>
        <a:prstGeom prst="roundRect">
          <a:avLst/>
        </a:prstGeom>
        <a:solidFill>
          <a:sysClr val="window" lastClr="FFFFFF"/>
        </a:solidFill>
        <a:ln w="25400" cap="flat" cmpd="sng" algn="ctr">
          <a:solidFill>
            <a:srgbClr val="4F81BD">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s-CR" sz="500" kern="1200">
            <a:solidFill>
              <a:sysClr val="window" lastClr="FFFFFF"/>
            </a:solidFill>
            <a:latin typeface="Calibri"/>
            <a:ea typeface="+mn-ea"/>
            <a:cs typeface="+mn-cs"/>
          </a:endParaRPr>
        </a:p>
      </dsp:txBody>
      <dsp:txXfrm>
        <a:off x="604898" y="102321"/>
        <a:ext cx="315765" cy="315765"/>
      </dsp:txXfrm>
    </dsp:sp>
    <dsp:sp modelId="{EC247000-4B9D-4BCA-BB28-46AFC825B2F9}">
      <dsp:nvSpPr>
        <dsp:cNvPr id="0" name=""/>
        <dsp:cNvSpPr/>
      </dsp:nvSpPr>
      <dsp:spPr>
        <a:xfrm>
          <a:off x="213600" y="101065"/>
          <a:ext cx="344666" cy="340449"/>
        </a:xfrm>
        <a:prstGeom prst="roundRect">
          <a:avLst/>
        </a:prstGeom>
        <a:solidFill>
          <a:srgbClr val="FF0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CR" sz="500" kern="1200">
              <a:solidFill>
                <a:sysClr val="window" lastClr="FFFFFF"/>
              </a:solidFill>
              <a:latin typeface="Calibri"/>
              <a:ea typeface="+mn-ea"/>
              <a:cs typeface="+mn-cs"/>
            </a:rPr>
            <a:t>Face 4</a:t>
          </a:r>
        </a:p>
        <a:p>
          <a:pPr marL="0" lvl="0" indent="0" algn="ctr" defTabSz="222250">
            <a:lnSpc>
              <a:spcPct val="90000"/>
            </a:lnSpc>
            <a:spcBef>
              <a:spcPct val="0"/>
            </a:spcBef>
            <a:spcAft>
              <a:spcPct val="35000"/>
            </a:spcAft>
            <a:buNone/>
          </a:pPr>
          <a:r>
            <a:rPr lang="es-CR" sz="500" kern="1200">
              <a:solidFill>
                <a:sysClr val="window" lastClr="FFFFFF"/>
              </a:solidFill>
              <a:latin typeface="Calibri"/>
              <a:ea typeface="+mn-ea"/>
              <a:cs typeface="+mn-cs"/>
            </a:rPr>
            <a:t>Alerta Roja</a:t>
          </a:r>
        </a:p>
      </dsp:txBody>
      <dsp:txXfrm>
        <a:off x="230219" y="117684"/>
        <a:ext cx="311428" cy="307211"/>
      </dsp:txXfrm>
    </dsp:sp>
    <dsp:sp modelId="{A15C9538-301B-41D0-B9D4-7B563297A846}">
      <dsp:nvSpPr>
        <dsp:cNvPr id="0" name=""/>
        <dsp:cNvSpPr/>
      </dsp:nvSpPr>
      <dsp:spPr>
        <a:xfrm>
          <a:off x="587816" y="462086"/>
          <a:ext cx="349929" cy="349929"/>
        </a:xfrm>
        <a:prstGeom prst="roundRect">
          <a:avLst/>
        </a:prstGeom>
        <a:solidFill>
          <a:sysClr val="window" lastClr="FFFFFF"/>
        </a:solidFill>
        <a:ln w="25400" cap="flat" cmpd="sng" algn="ctr">
          <a:solidFill>
            <a:srgbClr val="4F81BD">
              <a:lumMod val="40000"/>
              <a:lumOff val="6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s-CR" sz="500" kern="1200">
            <a:solidFill>
              <a:sysClr val="window" lastClr="FFFFFF"/>
            </a:solidFill>
            <a:latin typeface="Calibri"/>
            <a:ea typeface="+mn-ea"/>
            <a:cs typeface="+mn-cs"/>
          </a:endParaRPr>
        </a:p>
      </dsp:txBody>
      <dsp:txXfrm>
        <a:off x="604898" y="479168"/>
        <a:ext cx="315765" cy="315765"/>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40AC0ECB1D9CB49A76C6086FD3B0D12" ma:contentTypeVersion="13" ma:contentTypeDescription="Crear nuevo documento." ma:contentTypeScope="" ma:versionID="4a6dd83c10a72558d7f938144cbdc765">
  <xsd:schema xmlns:xsd="http://www.w3.org/2001/XMLSchema" xmlns:xs="http://www.w3.org/2001/XMLSchema" xmlns:p="http://schemas.microsoft.com/office/2006/metadata/properties" xmlns:ns3="f14307a1-a0bd-404c-9c57-43b478bd60b0" xmlns:ns4="05979464-4e3f-4463-aab6-a5676e8797e3" targetNamespace="http://schemas.microsoft.com/office/2006/metadata/properties" ma:root="true" ma:fieldsID="057583fff44a9981106bfc7d588aa90f" ns3:_="" ns4:_="">
    <xsd:import namespace="f14307a1-a0bd-404c-9c57-43b478bd60b0"/>
    <xsd:import namespace="05979464-4e3f-4463-aab6-a5676e8797e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307a1-a0bd-404c-9c57-43b478bd60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979464-4e3f-4463-aab6-a5676e8797e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205D59-55BE-4194-8FDE-5957B049A06B}">
  <ds:schemaRefs>
    <ds:schemaRef ds:uri="http://schemas.openxmlformats.org/officeDocument/2006/bibliography"/>
  </ds:schemaRefs>
</ds:datastoreItem>
</file>

<file path=customXml/itemProps2.xml><?xml version="1.0" encoding="utf-8"?>
<ds:datastoreItem xmlns:ds="http://schemas.openxmlformats.org/officeDocument/2006/customXml" ds:itemID="{1E6B9C2C-7A6C-4FB6-B060-3669CEB2C3CA}">
  <ds:schemaRefs>
    <ds:schemaRef ds:uri="http://schemas.microsoft.com/sharepoint/v3/contenttype/forms"/>
  </ds:schemaRefs>
</ds:datastoreItem>
</file>

<file path=customXml/itemProps3.xml><?xml version="1.0" encoding="utf-8"?>
<ds:datastoreItem xmlns:ds="http://schemas.openxmlformats.org/officeDocument/2006/customXml" ds:itemID="{48FDF505-D878-4226-AB5F-9A4DFE747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307a1-a0bd-404c-9c57-43b478bd60b0"/>
    <ds:schemaRef ds:uri="05979464-4e3f-4463-aab6-a5676e879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4E8D55-7115-4231-8543-BA9035DAD4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5903</Words>
  <Characters>32467</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fbrenes</dc:creator>
  <cp:keywords/>
  <cp:lastModifiedBy>Daniel Stuard Méndez Barrantes</cp:lastModifiedBy>
  <cp:revision>1</cp:revision>
  <cp:lastPrinted>2020-06-30T18:33:00Z</cp:lastPrinted>
  <dcterms:created xsi:type="dcterms:W3CDTF">2021-01-14T14:22:00Z</dcterms:created>
  <dcterms:modified xsi:type="dcterms:W3CDTF">2021-01-14T14:22:00Z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0x010100D40AC0ECB1D9CB49A76C6086FD3B0D12</vt:lpwstr>
  </property>
</Properties>
</file>