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35" w:rsidRDefault="006B7D35" w:rsidP="006B7D35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63C2C" w:rsidRPr="006B7D35" w:rsidRDefault="00563C2C" w:rsidP="006B7D35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>CONSENTIMIENTO</w:t>
      </w:r>
      <w:r w:rsidR="00B6031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INFORMADO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  <w:lang w:val="es-CR"/>
        </w:rPr>
        <w:t xml:space="preserve">DE LA </w:t>
      </w:r>
      <w:r w:rsidR="00E73B6F"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>VÍCTIMA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  <w:lang w:val="es-CR"/>
        </w:rPr>
        <w:t xml:space="preserve"> </w:t>
      </w:r>
      <w:r w:rsidR="00B60317">
        <w:rPr>
          <w:rFonts w:ascii="Times New Roman" w:eastAsia="Times New Roman" w:hAnsi="Times New Roman" w:cs="Times New Roman"/>
          <w:b/>
          <w:bCs/>
          <w:color w:val="000000" w:themeColor="text1"/>
          <w:lang w:val="es-CR"/>
        </w:rPr>
        <w:t>PARA PARTICIPAR EN EL PROCESO DE JUSTICIA PENAL RESTAURATIVA</w:t>
      </w:r>
    </w:p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25A59" w:rsidRPr="006B7D35" w:rsidRDefault="00525A5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63C2C" w:rsidRPr="006B7D35" w:rsidRDefault="002463B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  <w:lang w:val="es-CR"/>
        </w:rPr>
        <w:t>°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>. ÚNICO: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  <w:lang w:val="es-CR"/>
        </w:rPr>
        <w:t xml:space="preserve"> </w:t>
      </w:r>
    </w:p>
    <w:p w:rsidR="00563C2C" w:rsidRPr="006B7D35" w:rsidRDefault="004304A7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>PERSONA OFENSORA</w:t>
      </w:r>
      <w:r w:rsidR="002463B9"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:rsidR="00563C2C" w:rsidRPr="006B7D35" w:rsidRDefault="002463B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VÍCTIMA: </w:t>
      </w:r>
    </w:p>
    <w:p w:rsidR="00563C2C" w:rsidRPr="006B7D35" w:rsidRDefault="002463B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DELITO: </w:t>
      </w:r>
    </w:p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color w:val="000000" w:themeColor="text1"/>
        </w:rPr>
        <w:t>Quien suscribe,</w:t>
      </w:r>
      <w:r w:rsidR="00B045DB" w:rsidRPr="006B7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_____________________ , hace constar que la persona </w:t>
      </w:r>
      <w:r w:rsidR="00694460" w:rsidRPr="006B7D35">
        <w:rPr>
          <w:rFonts w:ascii="Times New Roman" w:eastAsia="Times New Roman" w:hAnsi="Times New Roman" w:cs="Times New Roman"/>
          <w:color w:val="000000" w:themeColor="text1"/>
        </w:rPr>
        <w:t xml:space="preserve">Fiscal o Fiscala </w:t>
      </w:r>
      <w:r w:rsidR="00CE62F6" w:rsidRPr="006B7D35">
        <w:rPr>
          <w:rFonts w:ascii="Times New Roman" w:eastAsia="Times New Roman" w:hAnsi="Times New Roman" w:cs="Times New Roman"/>
          <w:color w:val="000000" w:themeColor="text1"/>
        </w:rPr>
        <w:t>A</w:t>
      </w:r>
      <w:r w:rsidR="00694460" w:rsidRPr="006B7D35">
        <w:rPr>
          <w:rFonts w:ascii="Times New Roman" w:eastAsia="Times New Roman" w:hAnsi="Times New Roman" w:cs="Times New Roman"/>
          <w:color w:val="000000" w:themeColor="text1"/>
        </w:rPr>
        <w:t xml:space="preserve">uxiliar 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>de la Oficina de Justicia Restaurativa asignad</w:t>
      </w:r>
      <w:r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>a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4A7" w:rsidRPr="006B7D35">
        <w:rPr>
          <w:rFonts w:ascii="Times New Roman" w:eastAsia="Times New Roman" w:hAnsi="Times New Roman" w:cs="Times New Roman"/>
          <w:color w:val="000000" w:themeColor="text1"/>
        </w:rPr>
        <w:t xml:space="preserve">para </w:t>
      </w:r>
      <w:r w:rsidR="00525A59" w:rsidRPr="006B7D35">
        <w:rPr>
          <w:rFonts w:ascii="Times New Roman" w:eastAsia="Times New Roman" w:hAnsi="Times New Roman" w:cs="Times New Roman"/>
          <w:color w:val="000000" w:themeColor="text1"/>
        </w:rPr>
        <w:t>asesorarme jurídicamente</w:t>
      </w:r>
      <w:r w:rsidR="004376C3">
        <w:rPr>
          <w:rFonts w:ascii="Times New Roman" w:eastAsia="Times New Roman" w:hAnsi="Times New Roman" w:cs="Times New Roman"/>
          <w:color w:val="000000" w:themeColor="text1"/>
        </w:rPr>
        <w:t>,</w:t>
      </w:r>
      <w:r w:rsidR="00525A59" w:rsidRPr="006B7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>me explicó los siguientes derechos y obligaciones</w:t>
      </w:r>
      <w:r w:rsidR="000760EF" w:rsidRPr="006B7D35">
        <w:rPr>
          <w:rFonts w:ascii="Times New Roman" w:eastAsia="Times New Roman" w:hAnsi="Times New Roman" w:cs="Times New Roman"/>
          <w:color w:val="000000" w:themeColor="text1"/>
        </w:rPr>
        <w:t>, establecidos en el artículo 9 de la Ley de Justicia Restaurativa,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 a saber:</w:t>
      </w:r>
    </w:p>
    <w:p w:rsidR="00525A59" w:rsidRPr="006B7D35" w:rsidRDefault="00525A59" w:rsidP="006B7D35">
      <w:pPr>
        <w:widowControl/>
        <w:tabs>
          <w:tab w:val="left" w:pos="851"/>
        </w:tabs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jc w:val="center"/>
        <w:tblLook w:val="0000"/>
      </w:tblPr>
      <w:tblGrid>
        <w:gridCol w:w="9372"/>
      </w:tblGrid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80353D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tengo la posibilidad de resolver esta causa 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 la que figuro como víctima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mediante Justicia Restaurativa.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A59" w:rsidRPr="006B7D35" w:rsidRDefault="00525A59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como víctima tengo derecho a la atención</w:t>
            </w:r>
            <w:r w:rsidR="008035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la Oficina de Atención y Protección de la Víctima del Ministerio Público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E4653D" w:rsidRPr="006B7D35" w:rsidRDefault="00525A59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tengo derecho a contar con asesoría profesional jurídica, social y psicológica </w:t>
            </w:r>
            <w:r w:rsidR="00E4653D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cuando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así </w:t>
            </w:r>
            <w:r w:rsidR="00E4653D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lo requiera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563C2C" w:rsidRPr="006B7D35" w:rsidRDefault="00563C2C" w:rsidP="004376C3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la Justicia Restaurativ</w:t>
            </w:r>
            <w:r w:rsidR="0005243F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es un proceso desformalizado,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pero </w:t>
            </w:r>
            <w:r w:rsidR="00923B0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 el que se respetan y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garantiza</w:t>
            </w:r>
            <w:r w:rsidR="0005243F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n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mis derechos y garantías procesales como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víctima, de la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persona </w:t>
            </w:r>
            <w:r w:rsidR="004F568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ofensora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 la comunidad (Red de Apoyo), 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contribuyendo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 la armonía social y a 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dar solución al conflicto,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considerando 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mis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necesidades y pretensiones, 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la comunidad y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la persona ofensora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conforme a lo dispuesto en </w:t>
            </w:r>
            <w:r w:rsidR="00F36450">
              <w:rPr>
                <w:rFonts w:ascii="Times New Roman" w:eastAsia="Times New Roman" w:hAnsi="Times New Roman" w:cs="Times New Roman"/>
                <w:color w:val="000000" w:themeColor="text1"/>
              </w:rPr>
              <w:t>la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Ley de Justicia Restaurativa</w:t>
            </w:r>
            <w:r w:rsidR="00B60317">
              <w:rPr>
                <w:rFonts w:ascii="Times New Roman" w:eastAsia="Times New Roman" w:hAnsi="Times New Roman" w:cs="Times New Roman"/>
                <w:color w:val="000000" w:themeColor="text1"/>
              </w:rPr>
              <w:t>, bajo confidencialidad y privacidad</w:t>
            </w:r>
            <w:r w:rsidR="004376C3">
              <w:rPr>
                <w:rFonts w:ascii="Times New Roman" w:eastAsia="Times New Roman" w:hAnsi="Times New Roman" w:cs="Times New Roman"/>
                <w:color w:val="000000" w:themeColor="text1"/>
              </w:rPr>
              <w:t>, por lo que no pueda divulgar ninguna de las manifestaciones que se realizan durante este proceso restaurativo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63C2C" w:rsidRPr="006B7D35" w:rsidRDefault="00563C2C" w:rsidP="00B60317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mi participación en el proceso restaurativo es voluntaria y me puedo retirar en cualquier momento que considere que mis intereses se afectan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, como lo establece el artículo</w:t>
            </w:r>
            <w:r w:rsidR="00B603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9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inciso </w:t>
            </w:r>
            <w:r w:rsidR="00B60317">
              <w:rPr>
                <w:rFonts w:ascii="Times New Roman" w:eastAsia="Times New Roman" w:hAnsi="Times New Roman" w:cs="Times New Roman"/>
                <w:color w:val="000000" w:themeColor="text1"/>
              </w:rPr>
              <w:t>g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) de Ley de Justicia Restaurativa</w:t>
            </w:r>
            <w:r w:rsidR="0005243F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, hasta antes de la judicialización de los acuerdos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tengo derecho a conocer toda la información que const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a sobre los hechos investigados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:rsidR="006B7D35" w:rsidRDefault="006B7D35" w:rsidP="006B7D35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B7D35" w:rsidRPr="006B7D35" w:rsidRDefault="006B7D35" w:rsidP="006B7D35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2043E0">
            <w:pPr>
              <w:widowControl/>
              <w:numPr>
                <w:ilvl w:val="0"/>
                <w:numId w:val="8"/>
              </w:numPr>
              <w:spacing w:before="120" w:after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Que entiendo que las manifestaciones (palabras y hechos) realizad</w:t>
            </w:r>
            <w:r w:rsidR="002043E0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s en la Reunión Restaurativa son confidenciales.  Ello implica que toda la información obtenida por los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 las profesionales involucrados(a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s) en el 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proceso restaurativo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estará cubierta por el secreto profesional</w:t>
            </w:r>
            <w:r w:rsidR="0080353D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conformidad con lo que establece el numeral 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4 inciso c) de Ley de Justicia Restaurativa y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los Códigos de Ética de cada profesión. 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comprendo que la información que se conozca en el </w:t>
            </w:r>
            <w:r w:rsidR="00A3484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proceso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Justicia Restaurativa no podrá ser utilizada en la justicia ordina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ria por ninguna de las partes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en caso de que el proc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eso restaurativo no se concrete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563C2C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en el </w:t>
            </w:r>
            <w:r w:rsidR="00A3484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proceso restaurativo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puedo hacerme acompañar de una persona de mi confianza que me brinde apoyo en la Reunión Restaurativa (que no sea testigo en el caso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previo al debate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).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de considerarse necesario por el tipo de delito, en </w:t>
            </w:r>
            <w:r w:rsidR="00A3484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la Reunión Restaurativa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, los representantes de la Red de Apoyo (instituciones gubernamentales y de la sociedad civil) podrán participar con el fin de que exista una solución integral del conflicto brindando colaboración y reinserción social de las partes.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431" w:rsidRPr="006B7D35" w:rsidRDefault="00563C2C" w:rsidP="009F57EF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como parte del </w:t>
            </w:r>
            <w:r w:rsidR="00971B8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proceso restaurativo 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>me estará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contacta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>ndo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el equipo </w:t>
            </w:r>
            <w:r w:rsidR="00A3484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psicosocial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integrado por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C76882">
              <w:rPr>
                <w:rFonts w:ascii="Times New Roman" w:eastAsia="Times New Roman" w:hAnsi="Times New Roman" w:cs="Times New Roman"/>
              </w:rPr>
              <w:t>personas profesionales en Trabajo Social y en Psicología</w:t>
            </w:r>
            <w:r w:rsidR="00C76882" w:rsidRPr="00C971FD">
              <w:rPr>
                <w:rFonts w:ascii="Times New Roman" w:eastAsia="Times New Roman" w:hAnsi="Times New Roman" w:cs="Times New Roman"/>
              </w:rPr>
              <w:t xml:space="preserve"> de Justicia Restaurativa, para realizar una </w:t>
            </w:r>
            <w:r w:rsidR="00C76882">
              <w:rPr>
                <w:rFonts w:ascii="Times New Roman" w:eastAsia="Times New Roman" w:hAnsi="Times New Roman" w:cs="Times New Roman"/>
              </w:rPr>
              <w:t xml:space="preserve">Valoración Inicial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para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9F57EF">
              <w:rPr>
                <w:rFonts w:ascii="Times New Roman" w:eastAsia="Times New Roman" w:hAnsi="Times New Roman" w:cs="Times New Roman"/>
                <w:color w:val="000000" w:themeColor="text1"/>
              </w:rPr>
              <w:t>identificar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aspectos esenciales para la p</w:t>
            </w:r>
            <w:r w:rsidR="009F57EF">
              <w:rPr>
                <w:rFonts w:ascii="Times New Roman" w:eastAsia="Times New Roman" w:hAnsi="Times New Roman" w:cs="Times New Roman"/>
                <w:color w:val="000000" w:themeColor="text1"/>
              </w:rPr>
              <w:t>reparación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Reunión Restaurativa en la que </w:t>
            </w:r>
            <w:r w:rsidR="004376C3">
              <w:rPr>
                <w:rFonts w:ascii="Times New Roman" w:eastAsia="Times New Roman" w:hAnsi="Times New Roman" w:cs="Times New Roman"/>
                <w:color w:val="000000" w:themeColor="text1"/>
              </w:rPr>
              <w:t>estará presente</w:t>
            </w:r>
            <w:r w:rsidR="004376C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persona ofensora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78" w:rsidRPr="006B7D35" w:rsidRDefault="00E25578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se me ha informado que</w:t>
            </w:r>
            <w:r w:rsidR="009F57E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me harán preguntas de índole restaurativa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en relación con los hechos, cuyas respuestas igualmente estarán bajo confidencialidad y no podrán ser utilizadas en caso de continuar las diligencias en la vía ordinaria.</w:t>
            </w:r>
          </w:p>
          <w:p w:rsidR="00971B89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si decido </w:t>
            </w:r>
            <w:r w:rsidR="00971B8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participar en el proceso restaurativo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se celebrará una Reunión Restaurativa para la búsqueda de acuerdos para solucionar el conflicto mediante el diálogo, tomando en consideración mi punto de vista, el de la 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persona ofensora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 el de la comunidad, los cuales se presentarán ante </w:t>
            </w:r>
            <w:r w:rsidR="00971B8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una persona juzgadora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con la finalidad de solicitar la aplicación de</w:t>
            </w:r>
            <w:r w:rsidR="00971B8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:rsidR="008E10FD" w:rsidRPr="006B7D35" w:rsidRDefault="008E10FD" w:rsidP="006B7D35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tbl>
            <w:tblPr>
              <w:tblStyle w:val="Tablaconcuadrcula"/>
              <w:tblW w:w="0" w:type="auto"/>
              <w:jc w:val="center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77"/>
              <w:gridCol w:w="7149"/>
            </w:tblGrid>
            <w:tr w:rsidR="006B7D35" w:rsidRPr="006B7D35" w:rsidTr="002962F0">
              <w:trPr>
                <w:jc w:val="center"/>
              </w:trPr>
              <w:tc>
                <w:tcPr>
                  <w:tcW w:w="1277" w:type="dxa"/>
                </w:tcPr>
                <w:p w:rsidR="006B7D35" w:rsidRPr="006B7D35" w:rsidRDefault="006B7D35" w:rsidP="00226686">
                  <w:pPr>
                    <w:widowControl/>
                    <w:tabs>
                      <w:tab w:val="left" w:pos="885"/>
                    </w:tabs>
                    <w:spacing w:before="120" w:line="276" w:lineRule="auto"/>
                    <w:ind w:left="318" w:right="4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  <w:p w:rsidR="006B7D35" w:rsidRPr="006B7D35" w:rsidRDefault="006B7D35" w:rsidP="006B7D35">
                  <w:pPr>
                    <w:widowControl/>
                    <w:tabs>
                      <w:tab w:val="left" w:pos="885"/>
                    </w:tabs>
                    <w:spacing w:before="120" w:line="276" w:lineRule="auto"/>
                    <w:ind w:left="318" w:right="4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49" w:type="dxa"/>
                </w:tcPr>
                <w:p w:rsidR="006B7D35" w:rsidRPr="006B7D35" w:rsidRDefault="006B7D35" w:rsidP="006B7D35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Una solución alterna (conciliación, reparación integral del daño o suspensión del proceso a prueba) </w:t>
                  </w:r>
                  <w:r w:rsidR="004376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 el proceso penal </w:t>
                  </w: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prevista en el Código Procesal Penal.</w:t>
                  </w:r>
                </w:p>
              </w:tc>
            </w:tr>
            <w:tr w:rsidR="006B7D35" w:rsidRPr="006B7D35" w:rsidTr="002962F0">
              <w:trPr>
                <w:jc w:val="center"/>
              </w:trPr>
              <w:tc>
                <w:tcPr>
                  <w:tcW w:w="1277" w:type="dxa"/>
                </w:tcPr>
                <w:p w:rsidR="006B7D35" w:rsidRPr="006B7D35" w:rsidRDefault="006B7D35" w:rsidP="006B7D3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    )</w:t>
                  </w:r>
                </w:p>
              </w:tc>
              <w:tc>
                <w:tcPr>
                  <w:tcW w:w="7149" w:type="dxa"/>
                </w:tcPr>
                <w:p w:rsidR="006B7D35" w:rsidRPr="006B7D35" w:rsidRDefault="006B7D35" w:rsidP="006B7D35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Una pena alternativa no privativa de libertad o beneficio de ejecución condicional mediante el procedimiento abreviado.</w:t>
                  </w:r>
                </w:p>
              </w:tc>
            </w:tr>
            <w:tr w:rsidR="006B7D35" w:rsidRPr="006B7D35" w:rsidTr="002962F0">
              <w:trPr>
                <w:jc w:val="center"/>
              </w:trPr>
              <w:tc>
                <w:tcPr>
                  <w:tcW w:w="1277" w:type="dxa"/>
                </w:tcPr>
                <w:p w:rsidR="006B7D35" w:rsidRPr="006B7D35" w:rsidRDefault="006B7D35" w:rsidP="006B7D3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</w:tc>
              <w:tc>
                <w:tcPr>
                  <w:tcW w:w="7149" w:type="dxa"/>
                </w:tcPr>
                <w:p w:rsidR="006B7D35" w:rsidRPr="006B7D35" w:rsidRDefault="006B7D35" w:rsidP="006B7D35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Una pena alternativa no privativa de libertad o beneficio de ejecución condicional mediante el procedimiento cesura</w:t>
                  </w:r>
                  <w:r w:rsidR="001272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962F0" w:rsidRPr="006B7D35" w:rsidTr="002962F0">
              <w:trPr>
                <w:jc w:val="center"/>
              </w:trPr>
              <w:tc>
                <w:tcPr>
                  <w:tcW w:w="1277" w:type="dxa"/>
                </w:tcPr>
                <w:p w:rsidR="002962F0" w:rsidRPr="006B7D35" w:rsidRDefault="002962F0" w:rsidP="006B7D35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</w:tc>
              <w:tc>
                <w:tcPr>
                  <w:tcW w:w="7149" w:type="dxa"/>
                </w:tcPr>
                <w:p w:rsidR="002962F0" w:rsidRPr="006B7D35" w:rsidRDefault="002962F0" w:rsidP="002962F0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 p</w:t>
                  </w: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rocedimiento de tratamiento de drogas bajo supervisión judicial restaurativa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(PTDJ) como solución alterna.</w:t>
                  </w:r>
                </w:p>
              </w:tc>
            </w:tr>
            <w:tr w:rsidR="002962F0" w:rsidRPr="006B7D35" w:rsidTr="002962F0">
              <w:trPr>
                <w:jc w:val="center"/>
              </w:trPr>
              <w:tc>
                <w:tcPr>
                  <w:tcW w:w="1277" w:type="dxa"/>
                </w:tcPr>
                <w:p w:rsidR="002962F0" w:rsidRPr="006B7D35" w:rsidRDefault="002962F0" w:rsidP="006B7D35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B7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</w:t>
                  </w:r>
                </w:p>
              </w:tc>
              <w:tc>
                <w:tcPr>
                  <w:tcW w:w="7149" w:type="dxa"/>
                </w:tcPr>
                <w:p w:rsidR="002962F0" w:rsidRDefault="002962F0" w:rsidP="002962F0">
                  <w:pPr>
                    <w:widowControl/>
                    <w:spacing w:before="120" w:line="276" w:lineRule="auto"/>
                    <w:ind w:right="4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 p</w:t>
                  </w:r>
                  <w:r w:rsidRPr="005E2D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rocedimiento de tratamiento de drogas bajo supervisión judicial restaurativa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(PTDJ) como penal alternativa</w:t>
                  </w:r>
                </w:p>
              </w:tc>
            </w:tr>
          </w:tbl>
          <w:p w:rsidR="008E10FD" w:rsidRPr="006B7D35" w:rsidRDefault="008E10FD" w:rsidP="006B7D35">
            <w:pPr>
              <w:widowControl/>
              <w:spacing w:before="120" w:line="276" w:lineRule="auto"/>
              <w:ind w:left="1293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0FD" w:rsidRPr="006B7D35" w:rsidRDefault="008E10FD" w:rsidP="006B7D35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lo anterior quedará sujeto a que la 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persona ofensora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acepte participar en el </w:t>
            </w:r>
            <w:r w:rsidR="008B004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proceso restaurativo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 de que el equipo </w:t>
            </w:r>
            <w:r w:rsidR="008B004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psicosocial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brinde su criterio positivo.  De darse lo contrario, el caso se remitirá a la justicia ordinaria.</w:t>
            </w:r>
          </w:p>
          <w:p w:rsidR="00DB0475" w:rsidRPr="006B7D35" w:rsidRDefault="00DB0475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se me ha informado en qué consiste</w:t>
            </w:r>
            <w:r w:rsidR="004376C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el proceso restaurativo que se llevará a cabo para resolver el presente asunto jurídico.</w:t>
            </w:r>
          </w:p>
          <w:p w:rsidR="005B5431" w:rsidRPr="006B7D35" w:rsidRDefault="008B0049" w:rsidP="00B60317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 caso de conocer </w:t>
            </w:r>
            <w:r w:rsidR="00B60317">
              <w:rPr>
                <w:rFonts w:ascii="Times New Roman" w:eastAsia="Times New Roman" w:hAnsi="Times New Roman" w:cs="Times New Roman"/>
                <w:color w:val="000000" w:themeColor="text1"/>
              </w:rPr>
              <w:t>posibles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incumplimiento</w:t>
            </w:r>
            <w:r w:rsidR="00B60317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los acuerdos por parte de la persona ofensora, 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podr</w:t>
            </w:r>
            <w:r w:rsidR="004376C3">
              <w:rPr>
                <w:rFonts w:ascii="Times New Roman" w:eastAsia="Times New Roman" w:hAnsi="Times New Roman" w:cs="Times New Roman"/>
                <w:color w:val="000000" w:themeColor="text1"/>
              </w:rPr>
              <w:t>é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045DB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nforma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rl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o de manera inmediata a la Oficina de Justic</w:t>
            </w:r>
            <w:r w:rsidR="00F36450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a Restaurativa.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563C2C" w:rsidRPr="006B7D35" w:rsidTr="008E10FD">
        <w:trPr>
          <w:trHeight w:val="100"/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0E7" w:rsidRPr="006B7D35" w:rsidRDefault="009C10E7" w:rsidP="006B7D35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Firmamos  en </w:t>
      </w:r>
      <w:r w:rsidR="009C10E7"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>__________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 a las </w:t>
      </w:r>
      <w:r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 xml:space="preserve">________ de </w:t>
      </w:r>
      <w:r w:rsidR="009C10E7"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>_____________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:rsidR="00DB0475" w:rsidRPr="006B7D35" w:rsidRDefault="00DB0475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:rsidR="00DB0475" w:rsidRPr="006B7D35" w:rsidRDefault="00DB0475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tbl>
      <w:tblPr>
        <w:tblW w:w="0" w:type="auto"/>
        <w:tblInd w:w="108" w:type="dxa"/>
        <w:tblLook w:val="0000"/>
      </w:tblPr>
      <w:tblGrid>
        <w:gridCol w:w="3898"/>
        <w:gridCol w:w="756"/>
        <w:gridCol w:w="594"/>
        <w:gridCol w:w="4157"/>
      </w:tblGrid>
      <w:tr w:rsidR="00563C2C" w:rsidRPr="006B7D35" w:rsidTr="00D23456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3C2C" w:rsidRPr="006B7D35" w:rsidTr="00D23456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before="50" w:after="5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Firma y cédula de la 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víctima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DB0475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Firma de</w:t>
            </w:r>
            <w:r w:rsidR="00CE62F6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Fiscal o Fiscala Auxiliar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la Oficina de Justicia Restaurativa</w:t>
            </w:r>
          </w:p>
        </w:tc>
      </w:tr>
    </w:tbl>
    <w:p w:rsidR="00694460" w:rsidRPr="006B7D35" w:rsidRDefault="00694460" w:rsidP="006B7D35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94460" w:rsidRPr="006B7D35" w:rsidSect="00BE50C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BC9" w:rsidRDefault="008B4BC9" w:rsidP="00563C2C">
      <w:r>
        <w:separator/>
      </w:r>
    </w:p>
  </w:endnote>
  <w:endnote w:type="continuationSeparator" w:id="0">
    <w:p w:rsidR="008B4BC9" w:rsidRDefault="008B4BC9" w:rsidP="0056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0C6" w:rsidRDefault="00BE50C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BC9" w:rsidRDefault="008B4BC9" w:rsidP="00563C2C">
      <w:r>
        <w:separator/>
      </w:r>
    </w:p>
  </w:footnote>
  <w:footnote w:type="continuationSeparator" w:id="0">
    <w:p w:rsidR="008B4BC9" w:rsidRDefault="008B4BC9" w:rsidP="00563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60" w:type="dxa"/>
      <w:tblCellMar>
        <w:left w:w="60" w:type="dxa"/>
        <w:right w:w="60" w:type="dxa"/>
      </w:tblCellMar>
      <w:tblLook w:val="0000"/>
    </w:tblPr>
    <w:tblGrid>
      <w:gridCol w:w="9214"/>
      <w:gridCol w:w="126"/>
      <w:gridCol w:w="126"/>
    </w:tblGrid>
    <w:tr w:rsidR="00BE50C6" w:rsidTr="006B7D35">
      <w:trPr>
        <w:trHeight w:val="276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tbl>
          <w:tblPr>
            <w:tblpPr w:leftFromText="141" w:rightFromText="141" w:vertAnchor="text" w:horzAnchor="margin" w:tblpY="-221"/>
            <w:tblOverlap w:val="never"/>
            <w:tblW w:w="9496" w:type="dxa"/>
            <w:tblCellMar>
              <w:left w:w="60" w:type="dxa"/>
              <w:right w:w="60" w:type="dxa"/>
            </w:tblCellMar>
            <w:tblLook w:val="0000"/>
          </w:tblPr>
          <w:tblGrid>
            <w:gridCol w:w="142"/>
            <w:gridCol w:w="7592"/>
            <w:gridCol w:w="1762"/>
          </w:tblGrid>
          <w:tr w:rsidR="006B7D35" w:rsidTr="006B7D35">
            <w:trPr>
              <w:trHeight w:val="151"/>
            </w:trPr>
            <w:tc>
              <w:tcPr>
                <w:tcW w:w="1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Default="006B7D35" w:rsidP="004F3A68">
                <w:pPr>
                  <w:jc w:val="center"/>
                  <w:rPr>
                    <w:rFonts w:eastAsia="Times New Roman"/>
                    <w:lang w:val="es-CR"/>
                  </w:rPr>
                </w:pPr>
              </w:p>
            </w:tc>
            <w:tc>
              <w:tcPr>
                <w:tcW w:w="75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Pr="00095613" w:rsidRDefault="006B7D35" w:rsidP="006B7D35">
                <w:pPr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noProof/>
                    <w:sz w:val="21"/>
                    <w:szCs w:val="22"/>
                    <w:lang w:eastAsia="es-ES"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714246</wp:posOffset>
                      </wp:positionH>
                      <wp:positionV relativeFrom="paragraph">
                        <wp:posOffset>-200330</wp:posOffset>
                      </wp:positionV>
                      <wp:extent cx="810228" cy="850739"/>
                      <wp:effectExtent l="0" t="0" r="0" b="0"/>
                      <wp:wrapNone/>
                      <wp:docPr id="3" name="7 Imagen" descr="logo MARCA DE AGU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MARCA DE AGUA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0228" cy="8507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Oficina de Justicia Restaurativa</w:t>
                </w:r>
              </w:p>
              <w:p w:rsidR="006B7D35" w:rsidRPr="00095613" w:rsidRDefault="006B7D35" w:rsidP="006B7D35">
                <w:pPr>
                  <w:tabs>
                    <w:tab w:val="left" w:pos="6713"/>
                  </w:tabs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Direcci</w:t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ó</w:t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n Nacional de Justicia Restaurativa</w:t>
                </w:r>
              </w:p>
              <w:p w:rsidR="006B7D35" w:rsidRPr="00095613" w:rsidRDefault="006B7D35" w:rsidP="006B7D35">
                <w:pPr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Poder Judicial de Costa Rica</w:t>
                </w:r>
              </w:p>
              <w:p w:rsidR="006B7D35" w:rsidRDefault="006B7D35" w:rsidP="004F3A68">
                <w:pPr>
                  <w:rPr>
                    <w:rFonts w:ascii="Times New Roman" w:eastAsia="Times New Roman" w:hAnsi="Times New Roman" w:cs="Times New Roman"/>
                    <w:color w:val="000000"/>
                    <w:lang w:val="es-CR"/>
                  </w:rPr>
                </w:pPr>
              </w:p>
            </w:tc>
            <w:tc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Default="006B7D35" w:rsidP="004F3A68">
                <w:pPr>
                  <w:rPr>
                    <w:rFonts w:eastAsia="Times New Roman"/>
                    <w:lang w:val="es-CR"/>
                  </w:rPr>
                </w:pPr>
              </w:p>
            </w:tc>
          </w:tr>
        </w:tbl>
        <w:p w:rsidR="00BE50C6" w:rsidRDefault="00BE50C6">
          <w:pPr>
            <w:jc w:val="center"/>
            <w:rPr>
              <w:rFonts w:eastAsia="Times New Roman"/>
              <w:lang w:val="es-C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BE50C6" w:rsidRDefault="00BE50C6" w:rsidP="004057F9">
          <w:pPr>
            <w:jc w:val="center"/>
            <w:rPr>
              <w:rFonts w:ascii="Times New Roman" w:eastAsia="Times New Roman" w:hAnsi="Times New Roman" w:cs="Times New Roman"/>
              <w:color w:val="000000"/>
              <w:lang w:val="es-C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BE50C6" w:rsidRDefault="00BE50C6" w:rsidP="004057F9">
          <w:pPr>
            <w:rPr>
              <w:rFonts w:eastAsia="Times New Roman"/>
              <w:lang w:val="es-CR"/>
            </w:rPr>
          </w:pPr>
        </w:p>
      </w:tc>
    </w:tr>
  </w:tbl>
  <w:p w:rsidR="00BE50C6" w:rsidRDefault="00BE50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AA9024F"/>
    <w:multiLevelType w:val="hybridMultilevel"/>
    <w:tmpl w:val="5F965C10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22530A67"/>
    <w:multiLevelType w:val="multilevel"/>
    <w:tmpl w:val="80C8F6B8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25C5D17"/>
    <w:multiLevelType w:val="multilevel"/>
    <w:tmpl w:val="E5DE1D24"/>
    <w:name w:val="WW8Num12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37631C3D"/>
    <w:multiLevelType w:val="hybridMultilevel"/>
    <w:tmpl w:val="EF24B7AE"/>
    <w:lvl w:ilvl="0" w:tplc="140A0017">
      <w:start w:val="1"/>
      <w:numFmt w:val="lowerLetter"/>
      <w:lvlText w:val="%1)"/>
      <w:lvlJc w:val="left"/>
      <w:pPr>
        <w:ind w:left="1498" w:hanging="360"/>
      </w:pPr>
    </w:lvl>
    <w:lvl w:ilvl="1" w:tplc="140A0019" w:tentative="1">
      <w:start w:val="1"/>
      <w:numFmt w:val="lowerLetter"/>
      <w:lvlText w:val="%2."/>
      <w:lvlJc w:val="left"/>
      <w:pPr>
        <w:ind w:left="2218" w:hanging="360"/>
      </w:pPr>
    </w:lvl>
    <w:lvl w:ilvl="2" w:tplc="140A001B" w:tentative="1">
      <w:start w:val="1"/>
      <w:numFmt w:val="lowerRoman"/>
      <w:lvlText w:val="%3."/>
      <w:lvlJc w:val="right"/>
      <w:pPr>
        <w:ind w:left="2938" w:hanging="180"/>
      </w:pPr>
    </w:lvl>
    <w:lvl w:ilvl="3" w:tplc="140A000F" w:tentative="1">
      <w:start w:val="1"/>
      <w:numFmt w:val="decimal"/>
      <w:lvlText w:val="%4."/>
      <w:lvlJc w:val="left"/>
      <w:pPr>
        <w:ind w:left="3658" w:hanging="360"/>
      </w:pPr>
    </w:lvl>
    <w:lvl w:ilvl="4" w:tplc="140A0019" w:tentative="1">
      <w:start w:val="1"/>
      <w:numFmt w:val="lowerLetter"/>
      <w:lvlText w:val="%5."/>
      <w:lvlJc w:val="left"/>
      <w:pPr>
        <w:ind w:left="4378" w:hanging="360"/>
      </w:pPr>
    </w:lvl>
    <w:lvl w:ilvl="5" w:tplc="140A001B" w:tentative="1">
      <w:start w:val="1"/>
      <w:numFmt w:val="lowerRoman"/>
      <w:lvlText w:val="%6."/>
      <w:lvlJc w:val="right"/>
      <w:pPr>
        <w:ind w:left="5098" w:hanging="180"/>
      </w:pPr>
    </w:lvl>
    <w:lvl w:ilvl="6" w:tplc="140A000F" w:tentative="1">
      <w:start w:val="1"/>
      <w:numFmt w:val="decimal"/>
      <w:lvlText w:val="%7."/>
      <w:lvlJc w:val="left"/>
      <w:pPr>
        <w:ind w:left="5818" w:hanging="360"/>
      </w:pPr>
    </w:lvl>
    <w:lvl w:ilvl="7" w:tplc="140A0019" w:tentative="1">
      <w:start w:val="1"/>
      <w:numFmt w:val="lowerLetter"/>
      <w:lvlText w:val="%8."/>
      <w:lvlJc w:val="left"/>
      <w:pPr>
        <w:ind w:left="6538" w:hanging="360"/>
      </w:pPr>
    </w:lvl>
    <w:lvl w:ilvl="8" w:tplc="1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>
    <w:nsid w:val="4E4C06C7"/>
    <w:multiLevelType w:val="multilevel"/>
    <w:tmpl w:val="2CF8ADCC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5EF531C3"/>
    <w:multiLevelType w:val="multilevel"/>
    <w:tmpl w:val="788AD2B4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5FA0375B"/>
    <w:multiLevelType w:val="hybridMultilevel"/>
    <w:tmpl w:val="C32CF8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C2114"/>
    <w:multiLevelType w:val="hybridMultilevel"/>
    <w:tmpl w:val="6E541192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563C2C"/>
    <w:rsid w:val="00021CB5"/>
    <w:rsid w:val="000311D9"/>
    <w:rsid w:val="00047E9A"/>
    <w:rsid w:val="0005243F"/>
    <w:rsid w:val="000760EF"/>
    <w:rsid w:val="0009138A"/>
    <w:rsid w:val="000D4E88"/>
    <w:rsid w:val="001272CB"/>
    <w:rsid w:val="001428C6"/>
    <w:rsid w:val="001526A1"/>
    <w:rsid w:val="001C548F"/>
    <w:rsid w:val="002043E0"/>
    <w:rsid w:val="00226686"/>
    <w:rsid w:val="00230168"/>
    <w:rsid w:val="0024068A"/>
    <w:rsid w:val="002463B9"/>
    <w:rsid w:val="00257F45"/>
    <w:rsid w:val="00282FB3"/>
    <w:rsid w:val="002962F0"/>
    <w:rsid w:val="002B1010"/>
    <w:rsid w:val="002D4242"/>
    <w:rsid w:val="003218B0"/>
    <w:rsid w:val="00327E31"/>
    <w:rsid w:val="0039717C"/>
    <w:rsid w:val="003C2252"/>
    <w:rsid w:val="003E59B4"/>
    <w:rsid w:val="004304A7"/>
    <w:rsid w:val="004376C3"/>
    <w:rsid w:val="00446330"/>
    <w:rsid w:val="00482731"/>
    <w:rsid w:val="004A74D0"/>
    <w:rsid w:val="004C1318"/>
    <w:rsid w:val="004C754D"/>
    <w:rsid w:val="004F5680"/>
    <w:rsid w:val="005112AA"/>
    <w:rsid w:val="005145EE"/>
    <w:rsid w:val="00525A59"/>
    <w:rsid w:val="0056296C"/>
    <w:rsid w:val="00563C2C"/>
    <w:rsid w:val="00573F4B"/>
    <w:rsid w:val="0058663B"/>
    <w:rsid w:val="005B5431"/>
    <w:rsid w:val="005F6327"/>
    <w:rsid w:val="00637D1F"/>
    <w:rsid w:val="00663D33"/>
    <w:rsid w:val="00664158"/>
    <w:rsid w:val="006679C0"/>
    <w:rsid w:val="006730C7"/>
    <w:rsid w:val="006810FF"/>
    <w:rsid w:val="00694460"/>
    <w:rsid w:val="006B7D35"/>
    <w:rsid w:val="006D2579"/>
    <w:rsid w:val="006D7F07"/>
    <w:rsid w:val="006E64A2"/>
    <w:rsid w:val="00737EC5"/>
    <w:rsid w:val="0076711D"/>
    <w:rsid w:val="00790F35"/>
    <w:rsid w:val="0080353D"/>
    <w:rsid w:val="00822CBC"/>
    <w:rsid w:val="008809FA"/>
    <w:rsid w:val="008B0049"/>
    <w:rsid w:val="008B4BC9"/>
    <w:rsid w:val="008E10FD"/>
    <w:rsid w:val="009119BC"/>
    <w:rsid w:val="00923B09"/>
    <w:rsid w:val="0093680E"/>
    <w:rsid w:val="0096429F"/>
    <w:rsid w:val="00971B89"/>
    <w:rsid w:val="009A029D"/>
    <w:rsid w:val="009A7993"/>
    <w:rsid w:val="009C10E7"/>
    <w:rsid w:val="009F57EF"/>
    <w:rsid w:val="00A3484A"/>
    <w:rsid w:val="00A365B9"/>
    <w:rsid w:val="00A70DBD"/>
    <w:rsid w:val="00AB1F96"/>
    <w:rsid w:val="00B045DB"/>
    <w:rsid w:val="00B2076B"/>
    <w:rsid w:val="00B5663B"/>
    <w:rsid w:val="00B60317"/>
    <w:rsid w:val="00B60FDF"/>
    <w:rsid w:val="00B7629B"/>
    <w:rsid w:val="00BA43EE"/>
    <w:rsid w:val="00BA72A0"/>
    <w:rsid w:val="00BE50C6"/>
    <w:rsid w:val="00C24678"/>
    <w:rsid w:val="00C412B9"/>
    <w:rsid w:val="00C76882"/>
    <w:rsid w:val="00CE62F6"/>
    <w:rsid w:val="00D0688A"/>
    <w:rsid w:val="00D07EE1"/>
    <w:rsid w:val="00D229D5"/>
    <w:rsid w:val="00D47706"/>
    <w:rsid w:val="00D5464E"/>
    <w:rsid w:val="00DB0475"/>
    <w:rsid w:val="00E25578"/>
    <w:rsid w:val="00E3748F"/>
    <w:rsid w:val="00E4653D"/>
    <w:rsid w:val="00E566B8"/>
    <w:rsid w:val="00E631EA"/>
    <w:rsid w:val="00E73B6F"/>
    <w:rsid w:val="00E95ABB"/>
    <w:rsid w:val="00EF1E8B"/>
    <w:rsid w:val="00F3404C"/>
    <w:rsid w:val="00F36450"/>
    <w:rsid w:val="00F9051B"/>
    <w:rsid w:val="00FE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rrafodelista">
    <w:name w:val="List Paragraph"/>
    <w:basedOn w:val="Normal"/>
    <w:uiPriority w:val="34"/>
    <w:qFormat/>
    <w:rsid w:val="00971B89"/>
    <w:pPr>
      <w:ind w:left="720"/>
      <w:contextualSpacing/>
    </w:pPr>
  </w:style>
  <w:style w:type="paragraph" w:customStyle="1" w:styleId="Predeterminado">
    <w:name w:val="Predeterminado"/>
    <w:next w:val="Normal"/>
    <w:uiPriority w:val="99"/>
    <w:rsid w:val="008E1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table" w:styleId="Tablaconcuadrcula">
    <w:name w:val="Table Grid"/>
    <w:basedOn w:val="Tablanormal"/>
    <w:uiPriority w:val="59"/>
    <w:rsid w:val="006B7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76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6C3"/>
    <w:rPr>
      <w:rFonts w:ascii="Tahoma" w:eastAsiaTheme="minorEastAsia" w:hAnsi="Tahoma" w:cs="Tahoma"/>
      <w:sz w:val="16"/>
      <w:szCs w:val="16"/>
      <w:lang w:val="es-E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mmayorga</dc:creator>
  <cp:lastModifiedBy>Michelle Mayorga Aguero</cp:lastModifiedBy>
  <cp:revision>2</cp:revision>
  <cp:lastPrinted>2019-03-05T21:58:00Z</cp:lastPrinted>
  <dcterms:created xsi:type="dcterms:W3CDTF">2020-07-25T15:21:00Z</dcterms:created>
  <dcterms:modified xsi:type="dcterms:W3CDTF">2020-07-25T15:21:00Z</dcterms:modified>
</cp:coreProperties>
</file>