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249897B1" w:rsidR="0029216A" w:rsidRPr="00AC29D6" w:rsidRDefault="006312AE" w:rsidP="00AC29D6">
      <w:pPr>
        <w:pStyle w:val="Ttulo7"/>
        <w:tabs>
          <w:tab w:val="clear" w:pos="0"/>
          <w:tab w:val="left" w:pos="4280"/>
        </w:tabs>
        <w:ind w:left="4248"/>
        <w:jc w:val="both"/>
        <w:rPr>
          <w:rFonts w:ascii="Times New Roman" w:hAnsi="Times New Roman"/>
          <w:bCs w:val="0"/>
          <w:sz w:val="23"/>
          <w:szCs w:val="23"/>
          <w:u w:val="none"/>
          <w:lang w:val="es-ES_tradnl"/>
        </w:rPr>
      </w:pPr>
      <w:r w:rsidRPr="00AC29D6">
        <w:rPr>
          <w:rFonts w:ascii="Times New Roman" w:hAnsi="Times New Roman"/>
          <w:bCs w:val="0"/>
          <w:sz w:val="23"/>
          <w:szCs w:val="23"/>
          <w:u w:val="none"/>
          <w:lang w:val="es-ES_tradnl"/>
        </w:rPr>
        <w:t>San José,</w:t>
      </w:r>
      <w:r w:rsidR="00D93E61" w:rsidRPr="00AC29D6">
        <w:rPr>
          <w:rFonts w:ascii="Times New Roman" w:hAnsi="Times New Roman"/>
          <w:bCs w:val="0"/>
          <w:sz w:val="23"/>
          <w:szCs w:val="23"/>
          <w:u w:val="none"/>
          <w:lang w:val="es-ES_tradnl"/>
        </w:rPr>
        <w:t xml:space="preserve"> </w:t>
      </w:r>
      <w:r w:rsidR="001360A3" w:rsidRPr="00AC29D6">
        <w:rPr>
          <w:rFonts w:ascii="Times New Roman" w:hAnsi="Times New Roman"/>
          <w:bCs w:val="0"/>
          <w:sz w:val="23"/>
          <w:szCs w:val="23"/>
          <w:u w:val="none"/>
          <w:lang w:val="es-ES_tradnl"/>
        </w:rPr>
        <w:t>1</w:t>
      </w:r>
      <w:r w:rsidR="003528D1" w:rsidRPr="00AC29D6">
        <w:rPr>
          <w:rFonts w:ascii="Times New Roman" w:hAnsi="Times New Roman"/>
          <w:bCs w:val="0"/>
          <w:sz w:val="23"/>
          <w:szCs w:val="23"/>
          <w:u w:val="none"/>
          <w:lang w:val="es-ES_tradnl"/>
        </w:rPr>
        <w:t>4</w:t>
      </w:r>
      <w:r w:rsidR="003C3831" w:rsidRPr="00AC29D6">
        <w:rPr>
          <w:rFonts w:ascii="Times New Roman" w:hAnsi="Times New Roman"/>
          <w:bCs w:val="0"/>
          <w:sz w:val="23"/>
          <w:szCs w:val="23"/>
          <w:u w:val="none"/>
          <w:lang w:val="es-ES_tradnl"/>
        </w:rPr>
        <w:t xml:space="preserve"> </w:t>
      </w:r>
      <w:r w:rsidR="006A694A" w:rsidRPr="00AC29D6">
        <w:rPr>
          <w:rFonts w:ascii="Times New Roman" w:hAnsi="Times New Roman"/>
          <w:bCs w:val="0"/>
          <w:sz w:val="23"/>
          <w:szCs w:val="23"/>
          <w:u w:val="none"/>
          <w:lang w:val="es-ES_tradnl"/>
        </w:rPr>
        <w:t xml:space="preserve">de </w:t>
      </w:r>
      <w:r w:rsidR="001360A3" w:rsidRPr="00AC29D6">
        <w:rPr>
          <w:rFonts w:ascii="Times New Roman" w:hAnsi="Times New Roman"/>
          <w:bCs w:val="0"/>
          <w:sz w:val="23"/>
          <w:szCs w:val="23"/>
          <w:u w:val="none"/>
          <w:lang w:val="es-ES_tradnl"/>
        </w:rPr>
        <w:t>marzo</w:t>
      </w:r>
      <w:r w:rsidR="00860FA5" w:rsidRPr="00AC29D6">
        <w:rPr>
          <w:rFonts w:ascii="Times New Roman" w:hAnsi="Times New Roman"/>
          <w:bCs w:val="0"/>
          <w:sz w:val="23"/>
          <w:szCs w:val="23"/>
          <w:u w:val="none"/>
          <w:lang w:val="es-ES_tradnl"/>
        </w:rPr>
        <w:t xml:space="preserve"> de 20</w:t>
      </w:r>
      <w:r w:rsidR="00041CB5" w:rsidRPr="00AC29D6">
        <w:rPr>
          <w:rFonts w:ascii="Times New Roman" w:hAnsi="Times New Roman"/>
          <w:bCs w:val="0"/>
          <w:sz w:val="23"/>
          <w:szCs w:val="23"/>
          <w:u w:val="none"/>
          <w:lang w:val="es-ES_tradnl"/>
        </w:rPr>
        <w:t>2</w:t>
      </w:r>
      <w:r w:rsidR="00260D89" w:rsidRPr="00AC29D6">
        <w:rPr>
          <w:rFonts w:ascii="Times New Roman" w:hAnsi="Times New Roman"/>
          <w:bCs w:val="0"/>
          <w:sz w:val="23"/>
          <w:szCs w:val="23"/>
          <w:u w:val="none"/>
          <w:lang w:val="es-ES_tradnl"/>
        </w:rPr>
        <w:t>2</w:t>
      </w:r>
    </w:p>
    <w:p w14:paraId="54A54810" w14:textId="0B12C9FC" w:rsidR="0029216A" w:rsidRPr="00AC29D6" w:rsidRDefault="00860FA5" w:rsidP="00AC29D6">
      <w:pPr>
        <w:pStyle w:val="Ttulo7"/>
        <w:tabs>
          <w:tab w:val="clear" w:pos="0"/>
          <w:tab w:val="left" w:pos="4280"/>
        </w:tabs>
        <w:ind w:left="4248"/>
        <w:jc w:val="both"/>
        <w:rPr>
          <w:rFonts w:ascii="Times New Roman" w:hAnsi="Times New Roman"/>
          <w:sz w:val="23"/>
          <w:szCs w:val="23"/>
          <w:u w:val="none"/>
          <w:lang w:val="es-ES_tradnl"/>
        </w:rPr>
      </w:pPr>
      <w:proofErr w:type="spellStart"/>
      <w:r w:rsidRPr="00AC29D6">
        <w:rPr>
          <w:rFonts w:ascii="Times New Roman" w:hAnsi="Times New Roman"/>
          <w:sz w:val="23"/>
          <w:szCs w:val="23"/>
          <w:u w:val="none"/>
          <w:lang w:val="es-ES_tradnl"/>
        </w:rPr>
        <w:t>N°</w:t>
      </w:r>
      <w:proofErr w:type="spellEnd"/>
      <w:r w:rsidRPr="00AC29D6">
        <w:rPr>
          <w:rFonts w:ascii="Times New Roman" w:hAnsi="Times New Roman"/>
          <w:sz w:val="23"/>
          <w:szCs w:val="23"/>
          <w:u w:val="none"/>
          <w:lang w:val="es-ES_tradnl"/>
        </w:rPr>
        <w:t xml:space="preserve"> </w:t>
      </w:r>
      <w:r w:rsidR="00CF6A73" w:rsidRPr="00AC29D6">
        <w:rPr>
          <w:rFonts w:ascii="Times New Roman" w:hAnsi="Times New Roman"/>
          <w:sz w:val="23"/>
          <w:szCs w:val="23"/>
          <w:u w:val="none"/>
          <w:lang w:val="es-ES_tradnl"/>
        </w:rPr>
        <w:t>2539</w:t>
      </w:r>
      <w:r w:rsidR="00186ADE" w:rsidRPr="00AC29D6">
        <w:rPr>
          <w:rFonts w:ascii="Times New Roman" w:hAnsi="Times New Roman"/>
          <w:sz w:val="23"/>
          <w:szCs w:val="23"/>
          <w:u w:val="none"/>
          <w:lang w:val="es-ES_tradnl"/>
        </w:rPr>
        <w:t>-</w:t>
      </w:r>
      <w:r w:rsidR="00BE2779" w:rsidRPr="00AC29D6">
        <w:rPr>
          <w:rFonts w:ascii="Times New Roman" w:hAnsi="Times New Roman"/>
          <w:sz w:val="23"/>
          <w:szCs w:val="23"/>
          <w:u w:val="none"/>
          <w:lang w:val="es-ES_tradnl"/>
        </w:rPr>
        <w:t>202</w:t>
      </w:r>
      <w:r w:rsidR="00260D89" w:rsidRPr="00AC29D6">
        <w:rPr>
          <w:rFonts w:ascii="Times New Roman" w:hAnsi="Times New Roman"/>
          <w:sz w:val="23"/>
          <w:szCs w:val="23"/>
          <w:u w:val="none"/>
          <w:lang w:val="es-ES_tradnl"/>
        </w:rPr>
        <w:t>2</w:t>
      </w:r>
    </w:p>
    <w:p w14:paraId="63CA7B6E" w14:textId="77777777" w:rsidR="0029216A" w:rsidRPr="00AC29D6" w:rsidRDefault="0029216A" w:rsidP="00AC29D6">
      <w:pPr>
        <w:pStyle w:val="Ttulo7"/>
        <w:tabs>
          <w:tab w:val="clear" w:pos="0"/>
          <w:tab w:val="left" w:pos="4280"/>
        </w:tabs>
        <w:ind w:left="4248"/>
        <w:jc w:val="both"/>
        <w:rPr>
          <w:rFonts w:ascii="Times New Roman" w:hAnsi="Times New Roman"/>
          <w:sz w:val="23"/>
          <w:szCs w:val="23"/>
          <w:u w:val="none"/>
          <w:lang w:val="es-CR"/>
        </w:rPr>
      </w:pPr>
      <w:r w:rsidRPr="00AC29D6">
        <w:rPr>
          <w:rFonts w:ascii="Times New Roman" w:hAnsi="Times New Roman"/>
          <w:sz w:val="23"/>
          <w:szCs w:val="23"/>
          <w:u w:val="none"/>
          <w:lang w:val="es-CR"/>
        </w:rPr>
        <w:t>Al contestar refiérase a este # de oficio</w:t>
      </w:r>
    </w:p>
    <w:p w14:paraId="13736F65" w14:textId="77777777" w:rsidR="00302FF5" w:rsidRPr="00AC29D6" w:rsidRDefault="00302FF5" w:rsidP="00AC29D6">
      <w:pPr>
        <w:jc w:val="both"/>
        <w:rPr>
          <w:b/>
          <w:bCs/>
          <w:sz w:val="23"/>
          <w:szCs w:val="23"/>
        </w:rPr>
      </w:pPr>
    </w:p>
    <w:p w14:paraId="4FC700C1" w14:textId="77777777" w:rsidR="00CF6A73" w:rsidRPr="00AC29D6" w:rsidRDefault="00CF6A73" w:rsidP="00AC29D6">
      <w:pPr>
        <w:autoSpaceDE w:val="0"/>
        <w:snapToGrid w:val="0"/>
        <w:rPr>
          <w:bCs/>
          <w:sz w:val="23"/>
          <w:szCs w:val="23"/>
          <w:lang w:eastAsia="hi-IN"/>
        </w:rPr>
      </w:pPr>
      <w:r w:rsidRPr="00AC29D6">
        <w:rPr>
          <w:b/>
          <w:bCs/>
          <w:sz w:val="23"/>
          <w:szCs w:val="23"/>
        </w:rPr>
        <w:t>Señora</w:t>
      </w:r>
    </w:p>
    <w:p w14:paraId="2074DB75" w14:textId="77777777" w:rsidR="00CF6A73" w:rsidRPr="00AC29D6" w:rsidRDefault="00CF6A73" w:rsidP="00AC29D6">
      <w:pPr>
        <w:autoSpaceDE w:val="0"/>
        <w:snapToGrid w:val="0"/>
        <w:rPr>
          <w:b/>
          <w:bCs/>
          <w:sz w:val="23"/>
          <w:szCs w:val="23"/>
        </w:rPr>
      </w:pPr>
      <w:r w:rsidRPr="00AC29D6">
        <w:rPr>
          <w:b/>
          <w:bCs/>
          <w:sz w:val="23"/>
          <w:szCs w:val="23"/>
        </w:rPr>
        <w:t xml:space="preserve">Licda. </w:t>
      </w:r>
      <w:proofErr w:type="spellStart"/>
      <w:r w:rsidRPr="00AC29D6">
        <w:rPr>
          <w:b/>
          <w:bCs/>
          <w:sz w:val="23"/>
          <w:szCs w:val="23"/>
        </w:rPr>
        <w:t>Nacira</w:t>
      </w:r>
      <w:proofErr w:type="spellEnd"/>
      <w:r w:rsidRPr="00AC29D6">
        <w:rPr>
          <w:b/>
          <w:bCs/>
          <w:sz w:val="23"/>
          <w:szCs w:val="23"/>
        </w:rPr>
        <w:t xml:space="preserve"> Valverde Bermúdez</w:t>
      </w:r>
    </w:p>
    <w:p w14:paraId="3E13EE32" w14:textId="77777777" w:rsidR="00CF6A73" w:rsidRPr="00AC29D6" w:rsidRDefault="00CF6A73" w:rsidP="00AC29D6">
      <w:pPr>
        <w:autoSpaceDE w:val="0"/>
        <w:snapToGrid w:val="0"/>
        <w:rPr>
          <w:b/>
          <w:bCs/>
          <w:sz w:val="23"/>
          <w:szCs w:val="23"/>
        </w:rPr>
      </w:pPr>
      <w:r w:rsidRPr="00AC29D6">
        <w:rPr>
          <w:b/>
          <w:bCs/>
          <w:sz w:val="23"/>
          <w:szCs w:val="23"/>
        </w:rPr>
        <w:t>Directora de Planificación</w:t>
      </w:r>
    </w:p>
    <w:p w14:paraId="1DA5D413" w14:textId="77777777" w:rsidR="00CF6A73" w:rsidRPr="00AC29D6" w:rsidRDefault="00CF6A73" w:rsidP="00AC29D6">
      <w:pPr>
        <w:rPr>
          <w:rFonts w:eastAsia="Arial Unicode MS"/>
          <w:b/>
          <w:bCs/>
          <w:sz w:val="23"/>
          <w:szCs w:val="23"/>
        </w:rPr>
      </w:pPr>
    </w:p>
    <w:p w14:paraId="7DC5A38E" w14:textId="77777777" w:rsidR="00CF6A73" w:rsidRPr="00AC29D6" w:rsidRDefault="00CF6A73" w:rsidP="00AC29D6">
      <w:pPr>
        <w:autoSpaceDE w:val="0"/>
        <w:snapToGrid w:val="0"/>
        <w:rPr>
          <w:b/>
          <w:bCs/>
          <w:sz w:val="23"/>
          <w:szCs w:val="23"/>
        </w:rPr>
      </w:pPr>
      <w:r w:rsidRPr="00AC29D6">
        <w:rPr>
          <w:b/>
          <w:bCs/>
          <w:sz w:val="23"/>
          <w:szCs w:val="23"/>
        </w:rPr>
        <w:t>Estimada señora:</w:t>
      </w:r>
    </w:p>
    <w:p w14:paraId="19D5094A" w14:textId="77777777" w:rsidR="009C666D" w:rsidRPr="00AC29D6" w:rsidRDefault="009C666D" w:rsidP="00AC29D6">
      <w:pPr>
        <w:jc w:val="both"/>
        <w:rPr>
          <w:b/>
          <w:bCs/>
          <w:sz w:val="23"/>
          <w:szCs w:val="23"/>
          <w:lang w:val="es-CR"/>
        </w:rPr>
      </w:pPr>
    </w:p>
    <w:p w14:paraId="1CD21F2C" w14:textId="05AC069B" w:rsidR="0029216A" w:rsidRPr="00AC29D6" w:rsidRDefault="0029216A" w:rsidP="00AC29D6">
      <w:pPr>
        <w:ind w:firstLine="708"/>
        <w:jc w:val="both"/>
        <w:rPr>
          <w:sz w:val="23"/>
          <w:szCs w:val="23"/>
        </w:rPr>
      </w:pPr>
      <w:r w:rsidRPr="00AC29D6">
        <w:rPr>
          <w:sz w:val="23"/>
          <w:szCs w:val="23"/>
        </w:rPr>
        <w:t xml:space="preserve">Para su estimable conocimiento y fines consiguientes, le transcribo el acuerdo tomado por el Consejo Superior del Poder Judicial, en sesión </w:t>
      </w:r>
      <w:proofErr w:type="spellStart"/>
      <w:r w:rsidR="0087670A" w:rsidRPr="00AC29D6">
        <w:rPr>
          <w:b/>
          <w:bCs/>
          <w:sz w:val="23"/>
          <w:szCs w:val="23"/>
        </w:rPr>
        <w:t>N°</w:t>
      </w:r>
      <w:proofErr w:type="spellEnd"/>
      <w:r w:rsidR="009F45D2" w:rsidRPr="00AC29D6">
        <w:rPr>
          <w:b/>
          <w:bCs/>
          <w:sz w:val="23"/>
          <w:szCs w:val="23"/>
        </w:rPr>
        <w:t xml:space="preserve"> </w:t>
      </w:r>
      <w:r w:rsidR="001360A3" w:rsidRPr="00AC29D6">
        <w:rPr>
          <w:b/>
          <w:bCs/>
          <w:sz w:val="23"/>
          <w:szCs w:val="23"/>
        </w:rPr>
        <w:t>21</w:t>
      </w:r>
      <w:r w:rsidR="003011FF" w:rsidRPr="00AC29D6">
        <w:rPr>
          <w:b/>
          <w:bCs/>
          <w:sz w:val="23"/>
          <w:szCs w:val="23"/>
        </w:rPr>
        <w:t>-</w:t>
      </w:r>
      <w:r w:rsidR="003C3831" w:rsidRPr="00AC29D6">
        <w:rPr>
          <w:b/>
          <w:bCs/>
          <w:sz w:val="23"/>
          <w:szCs w:val="23"/>
        </w:rPr>
        <w:t>202</w:t>
      </w:r>
      <w:r w:rsidR="00260D89" w:rsidRPr="00AC29D6">
        <w:rPr>
          <w:b/>
          <w:bCs/>
          <w:sz w:val="23"/>
          <w:szCs w:val="23"/>
        </w:rPr>
        <w:t>2</w:t>
      </w:r>
      <w:r w:rsidR="00D930B6" w:rsidRPr="00AC29D6">
        <w:rPr>
          <w:b/>
          <w:bCs/>
          <w:sz w:val="23"/>
          <w:szCs w:val="23"/>
        </w:rPr>
        <w:t xml:space="preserve"> </w:t>
      </w:r>
      <w:r w:rsidR="00D930B6" w:rsidRPr="00AC29D6">
        <w:rPr>
          <w:bCs/>
          <w:sz w:val="23"/>
          <w:szCs w:val="23"/>
        </w:rPr>
        <w:t>c</w:t>
      </w:r>
      <w:r w:rsidRPr="00AC29D6">
        <w:rPr>
          <w:sz w:val="23"/>
          <w:szCs w:val="23"/>
        </w:rPr>
        <w:t>elebrada el</w:t>
      </w:r>
      <w:r w:rsidR="004C65F3" w:rsidRPr="00AC29D6">
        <w:rPr>
          <w:sz w:val="23"/>
          <w:szCs w:val="23"/>
        </w:rPr>
        <w:t xml:space="preserve"> </w:t>
      </w:r>
      <w:r w:rsidR="001360A3" w:rsidRPr="00AC29D6">
        <w:rPr>
          <w:b/>
          <w:sz w:val="23"/>
          <w:szCs w:val="23"/>
        </w:rPr>
        <w:t>10</w:t>
      </w:r>
      <w:r w:rsidR="00E02368" w:rsidRPr="00AC29D6">
        <w:rPr>
          <w:b/>
          <w:sz w:val="23"/>
          <w:szCs w:val="23"/>
        </w:rPr>
        <w:t xml:space="preserve"> de </w:t>
      </w:r>
      <w:r w:rsidR="001360A3" w:rsidRPr="00AC29D6">
        <w:rPr>
          <w:b/>
          <w:sz w:val="23"/>
          <w:szCs w:val="23"/>
        </w:rPr>
        <w:t>marzo</w:t>
      </w:r>
      <w:r w:rsidR="006F5DA1" w:rsidRPr="00AC29D6">
        <w:rPr>
          <w:b/>
          <w:bCs/>
          <w:sz w:val="23"/>
          <w:szCs w:val="23"/>
        </w:rPr>
        <w:t xml:space="preserve"> </w:t>
      </w:r>
      <w:r w:rsidR="003011FF" w:rsidRPr="00AC29D6">
        <w:rPr>
          <w:b/>
          <w:bCs/>
          <w:sz w:val="23"/>
          <w:szCs w:val="23"/>
        </w:rPr>
        <w:t xml:space="preserve">del </w:t>
      </w:r>
      <w:r w:rsidR="003C3831" w:rsidRPr="00AC29D6">
        <w:rPr>
          <w:b/>
          <w:bCs/>
          <w:sz w:val="23"/>
          <w:szCs w:val="23"/>
        </w:rPr>
        <w:t>202</w:t>
      </w:r>
      <w:r w:rsidR="00260D89" w:rsidRPr="00AC29D6">
        <w:rPr>
          <w:b/>
          <w:bCs/>
          <w:sz w:val="23"/>
          <w:szCs w:val="23"/>
        </w:rPr>
        <w:t>2</w:t>
      </w:r>
      <w:r w:rsidR="00B43F30" w:rsidRPr="00AC29D6">
        <w:rPr>
          <w:b/>
          <w:bCs/>
          <w:sz w:val="23"/>
          <w:szCs w:val="23"/>
        </w:rPr>
        <w:t>,</w:t>
      </w:r>
      <w:r w:rsidRPr="00AC29D6">
        <w:rPr>
          <w:sz w:val="23"/>
          <w:szCs w:val="23"/>
        </w:rPr>
        <w:t xml:space="preserve"> que literalmente dice:</w:t>
      </w:r>
    </w:p>
    <w:p w14:paraId="440292CE" w14:textId="77777777" w:rsidR="0029216A" w:rsidRPr="00AC29D6" w:rsidRDefault="0029216A" w:rsidP="00AC29D6">
      <w:pPr>
        <w:ind w:firstLine="15"/>
        <w:jc w:val="both"/>
        <w:rPr>
          <w:sz w:val="23"/>
          <w:szCs w:val="23"/>
        </w:rPr>
      </w:pPr>
    </w:p>
    <w:p w14:paraId="0B878AFD" w14:textId="48A48213" w:rsidR="00CF6A73" w:rsidRPr="00AC29D6" w:rsidRDefault="00294863" w:rsidP="00AC29D6">
      <w:pPr>
        <w:keepNext/>
        <w:tabs>
          <w:tab w:val="num" w:pos="0"/>
        </w:tabs>
        <w:jc w:val="center"/>
        <w:outlineLvl w:val="1"/>
        <w:rPr>
          <w:b/>
          <w:bCs/>
          <w:i/>
          <w:sz w:val="23"/>
          <w:szCs w:val="23"/>
          <w:u w:val="single"/>
        </w:rPr>
      </w:pPr>
      <w:r w:rsidRPr="00AC29D6">
        <w:rPr>
          <w:sz w:val="23"/>
          <w:szCs w:val="23"/>
        </w:rPr>
        <w:t>“</w:t>
      </w:r>
      <w:bookmarkStart w:id="0" w:name="_Toc97818238"/>
      <w:r w:rsidR="00CF6A73" w:rsidRPr="00AC29D6">
        <w:rPr>
          <w:b/>
          <w:bCs/>
          <w:sz w:val="23"/>
          <w:szCs w:val="23"/>
          <w:u w:val="single"/>
        </w:rPr>
        <w:t xml:space="preserve">ARTÍCULO LIV </w:t>
      </w:r>
      <w:bookmarkEnd w:id="0"/>
    </w:p>
    <w:p w14:paraId="117D6196" w14:textId="77777777" w:rsidR="00CF6A73" w:rsidRPr="00AC29D6" w:rsidRDefault="00CF6A73" w:rsidP="00AC29D6">
      <w:pPr>
        <w:autoSpaceDE w:val="0"/>
        <w:autoSpaceDN w:val="0"/>
        <w:rPr>
          <w:b/>
          <w:bCs/>
          <w:color w:val="FF0000"/>
          <w:sz w:val="23"/>
          <w:szCs w:val="23"/>
          <w:lang w:val="es-MX"/>
        </w:rPr>
      </w:pPr>
    </w:p>
    <w:p w14:paraId="4BB8046A" w14:textId="77777777" w:rsidR="00CF6A73" w:rsidRPr="00AC29D6" w:rsidRDefault="00CF6A73" w:rsidP="00AC29D6">
      <w:pPr>
        <w:autoSpaceDE w:val="0"/>
        <w:autoSpaceDN w:val="0"/>
        <w:rPr>
          <w:b/>
          <w:bCs/>
          <w:sz w:val="23"/>
          <w:szCs w:val="23"/>
          <w:lang w:val="es-ES_tradnl"/>
        </w:rPr>
      </w:pPr>
    </w:p>
    <w:p w14:paraId="6D8E2F98" w14:textId="77777777" w:rsidR="00CF6A73" w:rsidRPr="00AC29D6" w:rsidRDefault="00CF6A73" w:rsidP="00AC29D6">
      <w:pPr>
        <w:autoSpaceDE w:val="0"/>
        <w:autoSpaceDN w:val="0"/>
        <w:rPr>
          <w:b/>
          <w:bCs/>
          <w:color w:val="00B050"/>
          <w:sz w:val="23"/>
          <w:szCs w:val="23"/>
          <w:lang w:val="es-ES_tradnl"/>
        </w:rPr>
      </w:pPr>
      <w:r w:rsidRPr="00AC29D6">
        <w:rPr>
          <w:b/>
          <w:bCs/>
          <w:sz w:val="23"/>
          <w:szCs w:val="23"/>
          <w:lang w:val="es-ES_tradnl"/>
        </w:rPr>
        <w:t xml:space="preserve">DOCUMENTO </w:t>
      </w:r>
      <w:proofErr w:type="spellStart"/>
      <w:r w:rsidRPr="00AC29D6">
        <w:rPr>
          <w:b/>
          <w:bCs/>
          <w:sz w:val="23"/>
          <w:szCs w:val="23"/>
          <w:lang w:val="es-ES_tradnl"/>
        </w:rPr>
        <w:t>N°</w:t>
      </w:r>
      <w:proofErr w:type="spellEnd"/>
      <w:r w:rsidRPr="00AC29D6">
        <w:rPr>
          <w:b/>
          <w:bCs/>
          <w:sz w:val="23"/>
          <w:szCs w:val="23"/>
          <w:lang w:val="es-ES_tradnl"/>
        </w:rPr>
        <w:t xml:space="preserve"> 10433-2021</w:t>
      </w:r>
    </w:p>
    <w:p w14:paraId="02C4D94D" w14:textId="77777777" w:rsidR="00CF6A73" w:rsidRPr="00AC29D6" w:rsidRDefault="00CF6A73" w:rsidP="00AC29D6">
      <w:pPr>
        <w:autoSpaceDE w:val="0"/>
        <w:autoSpaceDN w:val="0"/>
        <w:rPr>
          <w:b/>
          <w:bCs/>
          <w:color w:val="00B050"/>
          <w:sz w:val="23"/>
          <w:szCs w:val="23"/>
          <w:lang w:val="es-ES_tradnl"/>
        </w:rPr>
      </w:pPr>
    </w:p>
    <w:p w14:paraId="54D114D8" w14:textId="2426F510" w:rsidR="00CF6A73" w:rsidRPr="00AC29D6" w:rsidRDefault="00CF6A73" w:rsidP="00AC29D6">
      <w:pPr>
        <w:ind w:firstLine="708"/>
        <w:jc w:val="both"/>
        <w:rPr>
          <w:sz w:val="23"/>
          <w:szCs w:val="23"/>
          <w:lang w:val="es-ES_tradnl"/>
        </w:rPr>
      </w:pPr>
      <w:r w:rsidRPr="00AC29D6">
        <w:rPr>
          <w:sz w:val="23"/>
          <w:szCs w:val="23"/>
          <w:lang w:val="es-ES_tradnl"/>
        </w:rPr>
        <w:t xml:space="preserve">La master </w:t>
      </w:r>
      <w:proofErr w:type="spellStart"/>
      <w:r w:rsidRPr="00AC29D6">
        <w:rPr>
          <w:snapToGrid w:val="0"/>
          <w:sz w:val="23"/>
          <w:szCs w:val="23"/>
          <w:lang w:val="pt-BR"/>
        </w:rPr>
        <w:t>Nacira</w:t>
      </w:r>
      <w:proofErr w:type="spellEnd"/>
      <w:r w:rsidRPr="00AC29D6">
        <w:rPr>
          <w:snapToGrid w:val="0"/>
          <w:sz w:val="23"/>
          <w:szCs w:val="23"/>
          <w:lang w:val="pt-BR"/>
        </w:rPr>
        <w:t xml:space="preserve"> Valverde Bermúdez,</w:t>
      </w:r>
      <w:r w:rsidRPr="00AC29D6">
        <w:rPr>
          <w:sz w:val="23"/>
          <w:szCs w:val="23"/>
          <w:lang w:val="pt-BR"/>
        </w:rPr>
        <w:t xml:space="preserve"> </w:t>
      </w:r>
      <w:proofErr w:type="spellStart"/>
      <w:r w:rsidRPr="00AC29D6">
        <w:rPr>
          <w:snapToGrid w:val="0"/>
          <w:sz w:val="23"/>
          <w:szCs w:val="23"/>
          <w:lang w:val="pt-BR"/>
        </w:rPr>
        <w:t>Directora</w:t>
      </w:r>
      <w:proofErr w:type="spellEnd"/>
      <w:r w:rsidRPr="00AC29D6">
        <w:rPr>
          <w:snapToGrid w:val="0"/>
          <w:sz w:val="23"/>
          <w:szCs w:val="23"/>
          <w:lang w:val="pt-BR"/>
        </w:rPr>
        <w:t xml:space="preserve"> interina </w:t>
      </w:r>
      <w:proofErr w:type="gramStart"/>
      <w:r w:rsidRPr="00AC29D6">
        <w:rPr>
          <w:snapToGrid w:val="0"/>
          <w:sz w:val="23"/>
          <w:szCs w:val="23"/>
          <w:lang w:val="pt-BR"/>
        </w:rPr>
        <w:t xml:space="preserve">de  </w:t>
      </w:r>
      <w:r w:rsidRPr="00AC29D6">
        <w:rPr>
          <w:snapToGrid w:val="0"/>
          <w:sz w:val="23"/>
          <w:szCs w:val="23"/>
        </w:rPr>
        <w:t>Planificación</w:t>
      </w:r>
      <w:proofErr w:type="gramEnd"/>
      <w:r w:rsidRPr="00AC29D6">
        <w:rPr>
          <w:snapToGrid w:val="0"/>
          <w:sz w:val="23"/>
          <w:szCs w:val="23"/>
          <w:lang w:val="pt-BR"/>
        </w:rPr>
        <w:t xml:space="preserve">, </w:t>
      </w:r>
      <w:r w:rsidRPr="00AC29D6">
        <w:rPr>
          <w:sz w:val="23"/>
          <w:szCs w:val="23"/>
          <w:lang w:val="es-ES_tradnl"/>
        </w:rPr>
        <w:t xml:space="preserve">mediante oficio </w:t>
      </w:r>
      <w:r w:rsidRPr="00AC29D6">
        <w:rPr>
          <w:snapToGrid w:val="0"/>
          <w:sz w:val="23"/>
          <w:szCs w:val="23"/>
          <w:lang w:val="es-ES_tradnl" w:eastAsia="es-ES"/>
        </w:rPr>
        <w:t>1431-PLA-EV-2021</w:t>
      </w:r>
      <w:r w:rsidRPr="00AC29D6">
        <w:rPr>
          <w:sz w:val="23"/>
          <w:szCs w:val="23"/>
          <w:lang w:val="es-ES_tradnl"/>
        </w:rPr>
        <w:t>, remite el informe suscrito por la ingeniera</w:t>
      </w:r>
      <w:r w:rsidRPr="00AC29D6">
        <w:rPr>
          <w:sz w:val="23"/>
          <w:szCs w:val="23"/>
          <w:lang w:val="es-MX" w:eastAsia="es-ES"/>
        </w:rPr>
        <w:t xml:space="preserve"> Elena Gabriela Picado González, Jefa interina del </w:t>
      </w:r>
      <w:r w:rsidRPr="00AC29D6">
        <w:rPr>
          <w:sz w:val="23"/>
          <w:szCs w:val="23"/>
          <w:lang w:val="es-ES_tradnl" w:eastAsia="es-ES"/>
        </w:rPr>
        <w:t xml:space="preserve">Subproceso de Evaluación, </w:t>
      </w:r>
      <w:r w:rsidRPr="00AC29D6">
        <w:rPr>
          <w:sz w:val="23"/>
          <w:szCs w:val="23"/>
          <w:lang w:val="es-ES_tradnl"/>
        </w:rPr>
        <w:t>relacionado con el Informe de Seguimiento de las Políticas Institucionales del Poder Judicial 2021.</w:t>
      </w:r>
    </w:p>
    <w:p w14:paraId="05943185" w14:textId="77777777" w:rsidR="00CF6A73" w:rsidRPr="00AC29D6" w:rsidRDefault="00CF6A73" w:rsidP="00AC29D6">
      <w:pPr>
        <w:ind w:firstLine="708"/>
        <w:jc w:val="both"/>
        <w:rPr>
          <w:sz w:val="23"/>
          <w:szCs w:val="23"/>
          <w:lang w:val="es-ES_tradnl"/>
        </w:rPr>
      </w:pPr>
    </w:p>
    <w:p w14:paraId="7419934F" w14:textId="061CEDE1" w:rsidR="00CF6A73" w:rsidRDefault="00CF6A73" w:rsidP="00AC29D6">
      <w:pPr>
        <w:ind w:firstLine="708"/>
        <w:jc w:val="both"/>
        <w:rPr>
          <w:sz w:val="23"/>
          <w:szCs w:val="23"/>
          <w:lang w:val="es-ES_tradnl"/>
        </w:rPr>
      </w:pPr>
      <w:r w:rsidRPr="00AC29D6">
        <w:rPr>
          <w:sz w:val="23"/>
          <w:szCs w:val="23"/>
          <w:lang w:val="es-ES_tradnl"/>
        </w:rPr>
        <w:t>Seguidamente se transcriben las conclusiones y recomendaciones del informe citado, que dicen:</w:t>
      </w:r>
    </w:p>
    <w:p w14:paraId="1EDE845E" w14:textId="77777777" w:rsidR="00AC29D6" w:rsidRPr="00AC29D6" w:rsidRDefault="00AC29D6" w:rsidP="00AC29D6">
      <w:pPr>
        <w:ind w:firstLine="708"/>
        <w:jc w:val="both"/>
        <w:rPr>
          <w:sz w:val="23"/>
          <w:szCs w:val="23"/>
          <w:lang w:val="es-ES_tradnl"/>
        </w:rPr>
      </w:pPr>
    </w:p>
    <w:p w14:paraId="143543AD" w14:textId="77777777" w:rsidR="00CF6A73" w:rsidRPr="00AC29D6" w:rsidRDefault="00CF6A73" w:rsidP="00AC29D6">
      <w:pPr>
        <w:ind w:left="851" w:right="851" w:firstLine="709"/>
        <w:rPr>
          <w:b/>
          <w:bCs/>
          <w:sz w:val="23"/>
          <w:szCs w:val="23"/>
          <w:u w:val="single"/>
          <w:lang w:val="es-ES_tradnl"/>
        </w:rPr>
      </w:pPr>
      <w:bookmarkStart w:id="1" w:name="_Toc90563635"/>
      <w:r w:rsidRPr="00AC29D6">
        <w:rPr>
          <w:b/>
          <w:bCs/>
          <w:sz w:val="23"/>
          <w:szCs w:val="23"/>
          <w:u w:val="single"/>
          <w:lang w:val="es-ES_tradnl"/>
        </w:rPr>
        <w:t>“Conclusiones</w:t>
      </w:r>
      <w:bookmarkEnd w:id="1"/>
    </w:p>
    <w:p w14:paraId="5A71EEA1" w14:textId="77777777" w:rsidR="00CF6A73" w:rsidRPr="00AC29D6" w:rsidRDefault="00CF6A73" w:rsidP="00AC29D6">
      <w:pPr>
        <w:widowControl w:val="0"/>
        <w:ind w:left="851" w:right="851" w:firstLine="709"/>
        <w:rPr>
          <w:sz w:val="23"/>
          <w:szCs w:val="23"/>
          <w:lang w:eastAsia="ja-JP"/>
        </w:rPr>
      </w:pPr>
    </w:p>
    <w:p w14:paraId="5FDC8BD3" w14:textId="77777777" w:rsidR="00CF6A73" w:rsidRPr="00AC29D6" w:rsidRDefault="00CF6A73" w:rsidP="00AC29D6">
      <w:pPr>
        <w:widowControl w:val="0"/>
        <w:numPr>
          <w:ilvl w:val="0"/>
          <w:numId w:val="126"/>
        </w:numPr>
        <w:ind w:left="851" w:right="851" w:firstLine="709"/>
        <w:contextualSpacing/>
        <w:jc w:val="both"/>
        <w:rPr>
          <w:sz w:val="23"/>
          <w:szCs w:val="23"/>
        </w:rPr>
      </w:pPr>
      <w:r w:rsidRPr="00AC29D6">
        <w:rPr>
          <w:sz w:val="23"/>
          <w:szCs w:val="23"/>
        </w:rPr>
        <w:t xml:space="preserve"> Se realizó un corte al Sistema PEI con fecha del 31 de octubre del 2021 para realizar el seguimiento a las Políticas Institucionales. </w:t>
      </w:r>
    </w:p>
    <w:p w14:paraId="2AED08BA" w14:textId="77777777" w:rsidR="00CF6A73" w:rsidRPr="00AC29D6" w:rsidRDefault="00CF6A73" w:rsidP="00AC29D6">
      <w:pPr>
        <w:widowControl w:val="0"/>
        <w:ind w:left="851" w:right="851" w:firstLine="709"/>
        <w:jc w:val="both"/>
        <w:rPr>
          <w:sz w:val="23"/>
          <w:szCs w:val="23"/>
        </w:rPr>
      </w:pPr>
    </w:p>
    <w:p w14:paraId="2CE007A8" w14:textId="608EBD23" w:rsidR="00CF6A73" w:rsidRPr="00AC29D6" w:rsidRDefault="00CF6A73" w:rsidP="00AC29D6">
      <w:pPr>
        <w:widowControl w:val="0"/>
        <w:numPr>
          <w:ilvl w:val="0"/>
          <w:numId w:val="126"/>
        </w:numPr>
        <w:ind w:left="851" w:right="851" w:firstLine="709"/>
        <w:contextualSpacing/>
        <w:jc w:val="both"/>
        <w:rPr>
          <w:sz w:val="23"/>
          <w:szCs w:val="23"/>
        </w:rPr>
      </w:pPr>
      <w:r w:rsidRPr="00AC29D6">
        <w:rPr>
          <w:sz w:val="23"/>
          <w:szCs w:val="23"/>
        </w:rPr>
        <w:t xml:space="preserve"> El avance promedio de las Políticas Institucionales al 31 de octubre del </w:t>
      </w:r>
      <w:proofErr w:type="gramStart"/>
      <w:r w:rsidRPr="00AC29D6">
        <w:rPr>
          <w:sz w:val="23"/>
          <w:szCs w:val="23"/>
        </w:rPr>
        <w:t>2021,</w:t>
      </w:r>
      <w:proofErr w:type="gramEnd"/>
      <w:r w:rsidRPr="00AC29D6">
        <w:rPr>
          <w:sz w:val="23"/>
          <w:szCs w:val="23"/>
        </w:rPr>
        <w:t xml:space="preserve"> reporta un 90,78% de cumplimiento, esto con base en el análisis de 14 Políticas Institucionales, las cuales están conformadas por 27 metas estratégicas y 2127 metas operativas.</w:t>
      </w:r>
    </w:p>
    <w:p w14:paraId="29928FB3" w14:textId="77777777" w:rsidR="00CF6A73" w:rsidRPr="00AC29D6" w:rsidRDefault="00CF6A73" w:rsidP="00AC29D6">
      <w:pPr>
        <w:widowControl w:val="0"/>
        <w:ind w:left="851" w:right="851" w:firstLine="709"/>
        <w:rPr>
          <w:rFonts w:eastAsia="Calibri"/>
          <w:sz w:val="23"/>
          <w:szCs w:val="23"/>
        </w:rPr>
      </w:pPr>
    </w:p>
    <w:p w14:paraId="769F8D6E" w14:textId="77777777" w:rsidR="00CF6A73" w:rsidRPr="00AC29D6" w:rsidRDefault="00CF6A73" w:rsidP="00AC29D6">
      <w:pPr>
        <w:widowControl w:val="0"/>
        <w:numPr>
          <w:ilvl w:val="0"/>
          <w:numId w:val="126"/>
        </w:numPr>
        <w:ind w:left="851" w:right="851" w:firstLine="709"/>
        <w:contextualSpacing/>
        <w:jc w:val="both"/>
        <w:rPr>
          <w:sz w:val="23"/>
          <w:szCs w:val="23"/>
        </w:rPr>
      </w:pPr>
      <w:r w:rsidRPr="00AC29D6">
        <w:rPr>
          <w:rFonts w:eastAsia="Calibri"/>
          <w:sz w:val="23"/>
          <w:szCs w:val="23"/>
        </w:rPr>
        <w:t xml:space="preserve"> El avance de cumplimento de las Políticas Institucionales, con corte al 31 de octubre se encuentran entre los valores de 99% y 83%, en donde se obtiene que la Políticas Institucional “Reglas prácticas para facilitar el acceso a la justicia de las Poblaciones Indígenas” tiene un 99% de cumplimiento. Seguido de la política “Política Institucional para el acceso a la Justicia por parte de la población migrante y refugiada”, la política “Política del derecho al acceso a la justicia para personas </w:t>
      </w:r>
      <w:r w:rsidRPr="00AC29D6">
        <w:rPr>
          <w:rFonts w:eastAsia="Calibri"/>
          <w:sz w:val="23"/>
          <w:szCs w:val="23"/>
        </w:rPr>
        <w:lastRenderedPageBreak/>
        <w:t xml:space="preserve">menores en condiciones de vulnerabilidad sometidos al proceso penal juvenil en Costa Rica, seguido de la política “Política para Garantizar el Adecuado Acceso a la Justicia de la Población Adulta Mayor y Personas con Discapacidad y finalmente la política denominada “Reglas de Brasilia sobre acceso a la justicia de las personas en condición de vulnerabilidad” todas con un avance de cumplimiento del 97%. </w:t>
      </w:r>
    </w:p>
    <w:p w14:paraId="77283713" w14:textId="77777777" w:rsidR="00CF6A73" w:rsidRPr="00AC29D6" w:rsidRDefault="00CF6A73" w:rsidP="00AC29D6">
      <w:pPr>
        <w:widowControl w:val="0"/>
        <w:ind w:right="851"/>
        <w:jc w:val="both"/>
        <w:rPr>
          <w:sz w:val="23"/>
          <w:szCs w:val="23"/>
        </w:rPr>
      </w:pPr>
    </w:p>
    <w:p w14:paraId="5CD5B90E" w14:textId="77777777" w:rsidR="00CF6A73" w:rsidRPr="00AC29D6" w:rsidRDefault="00CF6A73" w:rsidP="00AC29D6">
      <w:pPr>
        <w:widowControl w:val="0"/>
        <w:numPr>
          <w:ilvl w:val="0"/>
          <w:numId w:val="126"/>
        </w:numPr>
        <w:ind w:left="851" w:right="851" w:firstLine="709"/>
        <w:contextualSpacing/>
        <w:jc w:val="both"/>
        <w:rPr>
          <w:sz w:val="23"/>
          <w:szCs w:val="23"/>
        </w:rPr>
      </w:pPr>
      <w:r w:rsidRPr="00AC29D6">
        <w:rPr>
          <w:sz w:val="23"/>
          <w:szCs w:val="23"/>
        </w:rPr>
        <w:t xml:space="preserve"> Con respecto al porcentaje de cumplimiento de las Metas Estratégicas que compone la estructura de las Políticas Institucionales del Poder Judicial, se analizan tres grupos. se tiene un primer bloque de veinticinco Metas Estratégicas (equivalente a un 92% del total de las Metas) con porcentajes de avance de cumplimiento entre 76% y 100% en estado óptimo o completado, es decir que ya se comienzan a obtener resultados sobre los proyectos. Un segundo bloque compuesto por una Meta Estratégica (que equivale a un 4% del total de las Metas) con porcentajes de avance de cumplimiento entre 51% y 75% en estado en proceso, lo cual evidencia una atención y actualización oportuna para lograr alcanzar las metas programadas y un tercer bloque con una Meta Estratégica (equivale a un 4% de la totalidad), con porcentajes de avance de cumplimiento entre 26% y 50% en estado atención, es decir, se tiene que prestar atención a la Meta Estratégica denominada “Que al finalizar el 2024, se haya cumplido la estrategia de capacitación diseñada para el Organismo de Investigación Judicial”, con el fin de obtener los resultados deseados. </w:t>
      </w:r>
    </w:p>
    <w:p w14:paraId="0E293052" w14:textId="77777777" w:rsidR="00CF6A73" w:rsidRPr="00AC29D6" w:rsidRDefault="00CF6A73" w:rsidP="00AC29D6">
      <w:pPr>
        <w:widowControl w:val="0"/>
        <w:ind w:left="851" w:right="851" w:firstLine="709"/>
        <w:jc w:val="both"/>
        <w:rPr>
          <w:sz w:val="23"/>
          <w:szCs w:val="23"/>
        </w:rPr>
      </w:pPr>
    </w:p>
    <w:p w14:paraId="5D2F7249" w14:textId="77777777" w:rsidR="00CF6A73" w:rsidRPr="00AC29D6" w:rsidRDefault="00CF6A73" w:rsidP="00AC29D6">
      <w:pPr>
        <w:widowControl w:val="0"/>
        <w:numPr>
          <w:ilvl w:val="0"/>
          <w:numId w:val="126"/>
        </w:numPr>
        <w:ind w:left="851" w:right="851" w:firstLine="709"/>
        <w:contextualSpacing/>
        <w:jc w:val="both"/>
        <w:rPr>
          <w:sz w:val="23"/>
          <w:szCs w:val="23"/>
        </w:rPr>
      </w:pPr>
      <w:r w:rsidRPr="00AC29D6">
        <w:rPr>
          <w:sz w:val="23"/>
          <w:szCs w:val="23"/>
        </w:rPr>
        <w:t xml:space="preserve"> Con respecto a los temas estratégicos relacionados a las Metas Estratégicas, se obtiene que el 44% (12 Metas Estratégicas) pertenecen al Tema Estratégico denominado “Optimización e innovación de los servicios judiciales, mientras que el 30% (8 Metas Estratégicas) pertenecen al Tema Estratégico denominado “Confianza y probidad en justicia”, seguidamente el 19% (5 Metas Estratégicas) pertenecen al Tema Estratégico denominado “Gestión del Personal” y finalmente el 7% (2 Metas Estratégicas) pertenecen al Tema Estratégico denominado “Resolución oportuna de conflictos”. </w:t>
      </w:r>
    </w:p>
    <w:p w14:paraId="004032B7" w14:textId="77777777" w:rsidR="00CF6A73" w:rsidRPr="00AC29D6" w:rsidRDefault="00CF6A73" w:rsidP="00AC29D6">
      <w:pPr>
        <w:widowControl w:val="0"/>
        <w:ind w:left="851" w:right="851" w:firstLine="709"/>
        <w:rPr>
          <w:sz w:val="23"/>
          <w:szCs w:val="23"/>
        </w:rPr>
      </w:pPr>
    </w:p>
    <w:p w14:paraId="39E641F1" w14:textId="77777777" w:rsidR="00CF6A73" w:rsidRPr="00AC29D6" w:rsidRDefault="00CF6A73" w:rsidP="00AC29D6">
      <w:pPr>
        <w:widowControl w:val="0"/>
        <w:numPr>
          <w:ilvl w:val="0"/>
          <w:numId w:val="126"/>
        </w:numPr>
        <w:ind w:left="851" w:right="851" w:firstLine="709"/>
        <w:contextualSpacing/>
        <w:jc w:val="both"/>
        <w:rPr>
          <w:sz w:val="23"/>
          <w:szCs w:val="23"/>
        </w:rPr>
      </w:pPr>
      <w:r w:rsidRPr="00AC29D6">
        <w:rPr>
          <w:sz w:val="23"/>
          <w:szCs w:val="23"/>
        </w:rPr>
        <w:t xml:space="preserve"> La Política Institucional “Reglas Prácticas para facilitar el acceso a la justicia de las Poblaciones Indígenas”, tiene como Instancia Rectora la Comisión de Acceso a la Justicia y Subcomisión de personas indígenas, compuesta por 27 metas operativas, donde la Comisión de Acceso a la Justicia, es la oficina con más metas operativas (un total de 18 metas) vinculadas al Plan Anual Operativo para este 2021, seguido de la Unidad de Acceso a la Justicia (un total de 5 metas operativas), por otro lado, la Fiscalía General (un total de 2 metas operativas) y finalmente la Oficina de Información y Prensa y el Departamento de Prensa y Comunicación Organizacional con un total de una meta operativa. </w:t>
      </w:r>
    </w:p>
    <w:p w14:paraId="517C7B84" w14:textId="77777777" w:rsidR="00CF6A73" w:rsidRPr="00AC29D6" w:rsidRDefault="00CF6A73" w:rsidP="00AC29D6">
      <w:pPr>
        <w:widowControl w:val="0"/>
        <w:ind w:left="851" w:right="851" w:firstLine="709"/>
        <w:rPr>
          <w:sz w:val="23"/>
          <w:szCs w:val="23"/>
        </w:rPr>
      </w:pPr>
    </w:p>
    <w:p w14:paraId="2F9B4B53" w14:textId="77777777" w:rsidR="00CF6A73" w:rsidRPr="00AC29D6" w:rsidRDefault="00CF6A73" w:rsidP="00AC29D6">
      <w:pPr>
        <w:widowControl w:val="0"/>
        <w:numPr>
          <w:ilvl w:val="0"/>
          <w:numId w:val="126"/>
        </w:numPr>
        <w:ind w:left="851" w:right="851" w:firstLine="709"/>
        <w:contextualSpacing/>
        <w:jc w:val="both"/>
        <w:rPr>
          <w:sz w:val="23"/>
          <w:szCs w:val="23"/>
        </w:rPr>
      </w:pPr>
      <w:r w:rsidRPr="00AC29D6">
        <w:rPr>
          <w:sz w:val="23"/>
          <w:szCs w:val="23"/>
        </w:rPr>
        <w:t xml:space="preserve"> Sobre el estado de las metas operativas vinculadas a la Política </w:t>
      </w:r>
      <w:r w:rsidRPr="00AC29D6">
        <w:rPr>
          <w:sz w:val="23"/>
          <w:szCs w:val="23"/>
        </w:rPr>
        <w:lastRenderedPageBreak/>
        <w:t>Institucional “Reglas Prácticas para facilitar el acceso a la justicia de las Poblaciones Indígenas”, se tiene que 26 metas ya se encuentran completadas (100%), mientras que una meta se encuentra un estado óptimo con un valor de cumplimiento del 95%.</w:t>
      </w:r>
    </w:p>
    <w:p w14:paraId="73A576DB" w14:textId="77777777" w:rsidR="00CF6A73" w:rsidRPr="00AC29D6" w:rsidRDefault="00CF6A73" w:rsidP="00AC29D6">
      <w:pPr>
        <w:widowControl w:val="0"/>
        <w:ind w:left="851" w:right="851" w:firstLine="709"/>
        <w:rPr>
          <w:sz w:val="23"/>
          <w:szCs w:val="23"/>
        </w:rPr>
      </w:pPr>
    </w:p>
    <w:p w14:paraId="2DCDA93E" w14:textId="77777777" w:rsidR="00CF6A73" w:rsidRPr="00AC29D6" w:rsidRDefault="00CF6A73" w:rsidP="00AC29D6">
      <w:pPr>
        <w:widowControl w:val="0"/>
        <w:numPr>
          <w:ilvl w:val="0"/>
          <w:numId w:val="126"/>
        </w:numPr>
        <w:ind w:left="851" w:right="851" w:firstLine="709"/>
        <w:contextualSpacing/>
        <w:jc w:val="both"/>
        <w:rPr>
          <w:sz w:val="23"/>
          <w:szCs w:val="23"/>
        </w:rPr>
      </w:pPr>
      <w:r w:rsidRPr="00AC29D6">
        <w:rPr>
          <w:sz w:val="23"/>
          <w:szCs w:val="23"/>
        </w:rPr>
        <w:t xml:space="preserve"> La Política Institucional “Política Institucional para el acceso a la justicia por parte de la población migrante y refugiada”, tiene como Instancia Rectora la Comisión Nacional para el Mejoramiento de la Administración de Justicia y a la Subcomisión de personas migrantes y refugiadas, compuesta por 32 metas operativas, donde la Comisión de Acceso a la Justicia tiene vinculada 18 metas operativas al Plan Anual Operativo para este 2021, seguido de la Unidad de Acceso a la Justicia (con un total de 5 metas), por otro lado la Comisión Nacional para el Mejoramiento de la Administración de la Justicia (con 3 metas operativas), seguido de la Fiscalía General y el Subproceso de Organizacional Institucional (con 2 metas cada una) y finalmente el Departamento de Prensa y Comunicación Organizacional y la Oficina de Información de Prensa (con una meta cada una). </w:t>
      </w:r>
    </w:p>
    <w:p w14:paraId="45E288C3" w14:textId="77777777" w:rsidR="00CF6A73" w:rsidRPr="00AC29D6" w:rsidRDefault="00CF6A73" w:rsidP="00AC29D6">
      <w:pPr>
        <w:widowControl w:val="0"/>
        <w:ind w:left="851" w:right="851" w:firstLine="709"/>
        <w:rPr>
          <w:sz w:val="23"/>
          <w:szCs w:val="23"/>
        </w:rPr>
      </w:pPr>
    </w:p>
    <w:p w14:paraId="1EA5877E" w14:textId="77777777" w:rsidR="00CF6A73" w:rsidRPr="00AC29D6" w:rsidRDefault="00CF6A73" w:rsidP="00AC29D6">
      <w:pPr>
        <w:widowControl w:val="0"/>
        <w:numPr>
          <w:ilvl w:val="0"/>
          <w:numId w:val="126"/>
        </w:numPr>
        <w:ind w:left="851" w:right="851" w:firstLine="709"/>
        <w:contextualSpacing/>
        <w:jc w:val="both"/>
        <w:rPr>
          <w:sz w:val="23"/>
          <w:szCs w:val="23"/>
        </w:rPr>
      </w:pPr>
      <w:r w:rsidRPr="00AC29D6">
        <w:rPr>
          <w:sz w:val="23"/>
          <w:szCs w:val="23"/>
        </w:rPr>
        <w:t xml:space="preserve"> Sobre el estado de las metas operativas vinculadas a la Política Institucional “Política Institucional para el acceso a la justicia por parte de la población migrante y refugiada”, se tiene que 29 metas operativas cumplen con el estado completado, mientras que 2 metas cumplen con el estado óptimo y finalmente una meta en estado urgente de atención.</w:t>
      </w:r>
      <w:r w:rsidRPr="00AC29D6">
        <w:rPr>
          <w:rFonts w:eastAsia="Calibri"/>
          <w:sz w:val="23"/>
          <w:szCs w:val="23"/>
        </w:rPr>
        <w:t xml:space="preserve"> </w:t>
      </w:r>
    </w:p>
    <w:p w14:paraId="4F4BC0C4" w14:textId="77777777" w:rsidR="00CF6A73" w:rsidRPr="00AC29D6" w:rsidRDefault="00CF6A73" w:rsidP="00AC29D6">
      <w:pPr>
        <w:widowControl w:val="0"/>
        <w:ind w:left="851" w:right="851" w:firstLine="709"/>
        <w:rPr>
          <w:sz w:val="23"/>
          <w:szCs w:val="23"/>
        </w:rPr>
      </w:pPr>
    </w:p>
    <w:p w14:paraId="282F10CC"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La Política Institucional “Políticas del derecho al acceso a la justicia para personas menores en condiciones de vulnerabilidad sometidos al proceso penal juvenil en Costa Rica”, tiene como Instancia Rectora a la</w:t>
      </w:r>
      <w:r w:rsidRPr="00AC29D6">
        <w:rPr>
          <w:sz w:val="23"/>
          <w:szCs w:val="23"/>
          <w:lang w:eastAsia="es-CR"/>
        </w:rPr>
        <w:t xml:space="preserve"> Comisión de Acceso a la Justicia y a la Subcomisión de Penal Juvenil</w:t>
      </w:r>
      <w:r w:rsidRPr="00AC29D6">
        <w:rPr>
          <w:sz w:val="23"/>
          <w:szCs w:val="23"/>
        </w:rPr>
        <w:t xml:space="preserve">, compuesta por 35 metas operativas, donde la Comisión de Acceso a la Justicia tiene vinculadas 24 metas operativas para el 2021, seguido de la Unidad de Acceso a la Justicia la cual tiene una vinculación de 5 metas operativas, por otro lado, el Subproceso de Organizacional Institucional y la Fiscalía General, tienen una vinculación de dos metas operativas y finalmente la Oficina de Información de Prensa y el Departamento de Prensa y Comunicación Organizacional tienen una vinculación de una meta operativa. </w:t>
      </w:r>
    </w:p>
    <w:p w14:paraId="30A423AC" w14:textId="77777777" w:rsidR="00CF6A73" w:rsidRPr="00AC29D6" w:rsidRDefault="00CF6A73" w:rsidP="00AC29D6">
      <w:pPr>
        <w:widowControl w:val="0"/>
        <w:ind w:left="851" w:right="851" w:firstLine="709"/>
        <w:rPr>
          <w:sz w:val="23"/>
          <w:szCs w:val="23"/>
        </w:rPr>
      </w:pPr>
    </w:p>
    <w:p w14:paraId="23F954DA"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Sobre el estado de las metas operativas vinculadas a la Política Institucional “Políticas del derecho al acceso a la justicia para personas menores en condiciones de vulnerabilidad sometidos al proceso penal juvenil en Costa Rica”, se tiene que 32 metas operativas tienen el estado completado, localizándolo como el estado de mayor porcentaje con un 91%, mientras que el estado óptimo tiene 2 metas operativas y el estado urgente de atención tiene una meta operativa.</w:t>
      </w:r>
    </w:p>
    <w:p w14:paraId="2F390118" w14:textId="77777777" w:rsidR="00CF6A73" w:rsidRPr="00AC29D6" w:rsidRDefault="00CF6A73" w:rsidP="00AC29D6">
      <w:pPr>
        <w:widowControl w:val="0"/>
        <w:ind w:left="851" w:right="851" w:firstLine="709"/>
        <w:rPr>
          <w:sz w:val="23"/>
          <w:szCs w:val="23"/>
        </w:rPr>
      </w:pPr>
    </w:p>
    <w:p w14:paraId="38EBBDA7"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La Política Institucional “Política: Políticas para Garantizar el </w:t>
      </w:r>
      <w:r w:rsidRPr="00AC29D6">
        <w:rPr>
          <w:sz w:val="23"/>
          <w:szCs w:val="23"/>
        </w:rPr>
        <w:lastRenderedPageBreak/>
        <w:t>Adecuado Acceso a la Justicia de la Población Adulta Mayor y Personas con Discapacidad”, tiene como Instancia Rectora a la</w:t>
      </w:r>
      <w:r w:rsidRPr="00AC29D6">
        <w:rPr>
          <w:sz w:val="23"/>
          <w:szCs w:val="23"/>
          <w:lang w:eastAsia="es-CR"/>
        </w:rPr>
        <w:t xml:space="preserve"> Comisión de Acceso a la Justicia y a la Subcomisión de Penal Juvenil</w:t>
      </w:r>
      <w:r w:rsidRPr="00AC29D6">
        <w:rPr>
          <w:sz w:val="23"/>
          <w:szCs w:val="23"/>
        </w:rPr>
        <w:t xml:space="preserve">, compuesta por 36 metas operativas, donde la Comisión de Acceso a la Justicia, es la oficina con más metas operativas vinculadas con 25 metas, seguidamente de la Unidad de Acceso a la Justicia con 5 metas operativas vinculadas, adicionalmente la Fiscalía General y el Subproceso de Organizacional Institucional tiene 2 metas operativas vinculadas y finalmente el Departamento de Prensa y Comunicación Organizacional y la Oficina de Información de Prensa cuentan con una meta operativa vinculada. </w:t>
      </w:r>
    </w:p>
    <w:p w14:paraId="46D77188" w14:textId="77777777" w:rsidR="00CF6A73" w:rsidRPr="00AC29D6" w:rsidRDefault="00CF6A73" w:rsidP="00AC29D6">
      <w:pPr>
        <w:widowControl w:val="0"/>
        <w:ind w:left="851" w:right="851" w:firstLine="709"/>
        <w:rPr>
          <w:sz w:val="23"/>
          <w:szCs w:val="23"/>
        </w:rPr>
      </w:pPr>
    </w:p>
    <w:p w14:paraId="522B3B48"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Sobre el estado de las metas operativas vinculadas a la Política Institucional “Política: Políticas para Garantizar el Adecuado Acceso a la Justicia de la Población Adulta Mayor y Personas con Discapacidad”, se tiene que </w:t>
      </w:r>
      <w:r w:rsidRPr="00AC29D6">
        <w:rPr>
          <w:rFonts w:eastAsia="Calibri"/>
          <w:sz w:val="23"/>
          <w:szCs w:val="23"/>
        </w:rPr>
        <w:t xml:space="preserve">el 92% de las metas operativas (33 metas) se encuentran en el estado de completado, mientras que el 5% (2 metas) se localiza en el estado óptimo y el otro 3% (una meta) se encuentra en estado urgente de atención. </w:t>
      </w:r>
    </w:p>
    <w:p w14:paraId="5F8E20EE" w14:textId="77777777" w:rsidR="00CF6A73" w:rsidRPr="00AC29D6" w:rsidRDefault="00CF6A73" w:rsidP="00AC29D6">
      <w:pPr>
        <w:widowControl w:val="0"/>
        <w:ind w:left="851" w:right="851" w:firstLine="709"/>
        <w:rPr>
          <w:sz w:val="23"/>
          <w:szCs w:val="23"/>
        </w:rPr>
      </w:pPr>
    </w:p>
    <w:p w14:paraId="6A923A40"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La Política Institucional “Política: Reglas de Brasilia sobre acceso a la justicia de las personas en condición de vulnerabilidad”, tiene como Instancia Rectora a la</w:t>
      </w:r>
      <w:r w:rsidRPr="00AC29D6">
        <w:rPr>
          <w:sz w:val="23"/>
          <w:szCs w:val="23"/>
          <w:lang w:eastAsia="es-CR"/>
        </w:rPr>
        <w:t xml:space="preserve"> Comisión de Acceso a la Justicia</w:t>
      </w:r>
      <w:r w:rsidRPr="00AC29D6">
        <w:rPr>
          <w:sz w:val="23"/>
          <w:szCs w:val="23"/>
        </w:rPr>
        <w:t xml:space="preserve">, compuesta por 42 metas operativas, donde la Comisión de Acceso a la Justicia es la oficina con más metas operativas vinculadas (con 31 metas), Unidad de Acceso a la Justica (con 5 metas), seguido del Subproceso de Organizacional Institucional y la Fiscalía General (con 2 metas cada una) y finalmente la Oficina de Información de Prensa y el Departamento de Prensa y Comunicación Organizacional (con una meta cada una). </w:t>
      </w:r>
    </w:p>
    <w:p w14:paraId="06D1A9C1" w14:textId="77777777" w:rsidR="00CF6A73" w:rsidRPr="00AC29D6" w:rsidRDefault="00CF6A73" w:rsidP="00AC29D6">
      <w:pPr>
        <w:widowControl w:val="0"/>
        <w:ind w:left="851" w:right="851" w:firstLine="709"/>
        <w:rPr>
          <w:sz w:val="23"/>
          <w:szCs w:val="23"/>
        </w:rPr>
      </w:pPr>
    </w:p>
    <w:p w14:paraId="346A184C"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Sobre el estado de las metas operativas vinculadas a la Política Institucional “Política: Reglas de Brasilia sobre acceso a la justicia de las personas en condición de vulnerabilidad”, se tiene que </w:t>
      </w:r>
      <w:r w:rsidRPr="00AC29D6">
        <w:rPr>
          <w:rFonts w:eastAsia="Calibri"/>
          <w:sz w:val="23"/>
          <w:szCs w:val="23"/>
        </w:rPr>
        <w:t>39 metas operativas se encuentran en el estado de completado, mientras que 2 metas operativas se localizan en el estado óptimo y una meta operativa se encuentra en estado urgente de atención.</w:t>
      </w:r>
      <w:r w:rsidRPr="00AC29D6">
        <w:rPr>
          <w:sz w:val="23"/>
          <w:szCs w:val="23"/>
        </w:rPr>
        <w:t xml:space="preserve"> </w:t>
      </w:r>
    </w:p>
    <w:p w14:paraId="6532E483" w14:textId="77777777" w:rsidR="00CF6A73" w:rsidRPr="00AC29D6" w:rsidRDefault="00CF6A73" w:rsidP="00AC29D6">
      <w:pPr>
        <w:widowControl w:val="0"/>
        <w:ind w:left="851" w:right="851" w:firstLine="709"/>
        <w:rPr>
          <w:sz w:val="23"/>
          <w:szCs w:val="23"/>
        </w:rPr>
      </w:pPr>
    </w:p>
    <w:p w14:paraId="6C756BAD"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La Política Institucional “Política pública de Justicia Juvenil Restaurativa en Costa Rica”, tiene como Instancia Rectora a la</w:t>
      </w:r>
      <w:r w:rsidRPr="00AC29D6">
        <w:rPr>
          <w:sz w:val="23"/>
          <w:szCs w:val="23"/>
          <w:lang w:eastAsia="es-CR"/>
        </w:rPr>
        <w:t xml:space="preserve"> Oficina de Justicia Restaurativa</w:t>
      </w:r>
      <w:r w:rsidRPr="00AC29D6">
        <w:rPr>
          <w:sz w:val="23"/>
          <w:szCs w:val="23"/>
        </w:rPr>
        <w:t xml:space="preserve">, compuesta por 25 metas operativas, donde la Fiscalía Adjunta Penal Juvenil es la oficina con más metas operativas vinculadas (7 metas operativas), seguido de la Unidad de Defensa de Penal Juvenil (con 5 metas operativas), por otro lado el Departamento de Trabajo Social y Psicología (Sede Central) (con 4 metas), posteriormente la Escuela Judicial (con 3 metas), seguidamente la Jefatura de Defensa Pública y la Sección Penal Juvenil (con 2 metas) y finalmente el Juzgado Ejecución de las Sanciones Penales Juveniles y el Tribunal de Apelación de Sentencia de Penal Juvenil (con una meta). </w:t>
      </w:r>
    </w:p>
    <w:p w14:paraId="6FB0AFE0" w14:textId="77777777" w:rsidR="00CF6A73" w:rsidRPr="00AC29D6" w:rsidRDefault="00CF6A73" w:rsidP="00AC29D6">
      <w:pPr>
        <w:widowControl w:val="0"/>
        <w:ind w:left="851" w:right="851" w:firstLine="709"/>
        <w:rPr>
          <w:sz w:val="23"/>
          <w:szCs w:val="23"/>
        </w:rPr>
      </w:pPr>
    </w:p>
    <w:p w14:paraId="68581118"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Sobre el estado de las metas operativas vinculadas a la Política Institucional “Política pública de Justicia Juvenil Restaurativa en Costa Rica”, se tiene </w:t>
      </w:r>
      <w:proofErr w:type="gramStart"/>
      <w:r w:rsidRPr="00AC29D6">
        <w:rPr>
          <w:sz w:val="23"/>
          <w:szCs w:val="23"/>
        </w:rPr>
        <w:t>que  17</w:t>
      </w:r>
      <w:proofErr w:type="gramEnd"/>
      <w:r w:rsidRPr="00AC29D6">
        <w:rPr>
          <w:sz w:val="23"/>
          <w:szCs w:val="23"/>
        </w:rPr>
        <w:t xml:space="preserve"> metas operativas se encuentran completadas, mientras que 3 metas operativas se encuentran en proceso, seguidamente 3 metas operativas se encuentran en el estado óptimo y finalmente 2 metras operativas se encuentran en estado atención. </w:t>
      </w:r>
    </w:p>
    <w:p w14:paraId="1594B524" w14:textId="77777777" w:rsidR="00CF6A73" w:rsidRPr="00AC29D6" w:rsidRDefault="00CF6A73" w:rsidP="00AC29D6">
      <w:pPr>
        <w:widowControl w:val="0"/>
        <w:ind w:left="851" w:right="851" w:firstLine="709"/>
        <w:rPr>
          <w:sz w:val="23"/>
          <w:szCs w:val="23"/>
        </w:rPr>
      </w:pPr>
    </w:p>
    <w:p w14:paraId="04F5DD61"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La Política Institucional “Declaración de la Política de Accesibilidad para las personas con discapacidad en el Poder Judicial”, tiene como Instancia Rectora a la Comisión de Acceso a la Justicia y a la Subcomisión de Personas con discapacidad, compuesta por 38 metas operativas, donde la Comisión de Acceso a la Justicia es la oficina con mayor cantidad de metas operativas vinculadas (con 25 metas), seguido de la Unidad de Acceso a la Justicia (con 5 metas), por otro lado, la Fiscalía General y el Subproceso Organizacional Institucional (con 2 metas cada una) y finalmente el Departamento de Prensa y Comunicación Organizacional, la Oficina de Información de Prensa, la Contraloría de Servicios (sede central) y la Secretaría Técnica de Género y Acceso a la Justicia (con una meta cada una). </w:t>
      </w:r>
    </w:p>
    <w:p w14:paraId="673A87A9" w14:textId="77777777" w:rsidR="00CF6A73" w:rsidRPr="00AC29D6" w:rsidRDefault="00CF6A73" w:rsidP="00AC29D6">
      <w:pPr>
        <w:widowControl w:val="0"/>
        <w:ind w:left="851" w:right="851" w:firstLine="709"/>
        <w:rPr>
          <w:sz w:val="23"/>
          <w:szCs w:val="23"/>
        </w:rPr>
      </w:pPr>
    </w:p>
    <w:p w14:paraId="4B734BCA"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Sobre el estado de las metas operativas vinculadas a la Política Institucional “Declaración de la Política de Accesibilidad para las personas con discapacidad en el Poder Judicial”, se tiene que </w:t>
      </w:r>
      <w:r w:rsidRPr="00AC29D6">
        <w:rPr>
          <w:rFonts w:eastAsia="Calibri"/>
          <w:sz w:val="23"/>
          <w:szCs w:val="23"/>
        </w:rPr>
        <w:t>34 metas operativas se encuentran en el estado de completado, mientras que 2 metas operativas se localizan en el estado óptimo, finalmente una meta operativa se encuentra el estado atención y una meta en estado urgente de atención.</w:t>
      </w:r>
    </w:p>
    <w:p w14:paraId="212F65B8" w14:textId="77777777" w:rsidR="00CF6A73" w:rsidRPr="00AC29D6" w:rsidRDefault="00CF6A73" w:rsidP="00AC29D6">
      <w:pPr>
        <w:widowControl w:val="0"/>
        <w:ind w:left="851" w:right="851" w:firstLine="709"/>
        <w:rPr>
          <w:sz w:val="23"/>
          <w:szCs w:val="23"/>
        </w:rPr>
      </w:pPr>
    </w:p>
    <w:p w14:paraId="325DF573"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La Política Institucional “Política Institucional para el acceso de la justicia de personas afrodescendientes.”, tiene como Instancia Rectora a la Unidad de Acceso a la Justicia, compuesta por 29 metas operativas, donde la Comisión de Acceso a la Justicia es la Oficina con mayor cantidad de metas operativas vinculadas (con 23 metas), seguida del Subproceso Organizacional Institucional y la Fiscalía General (con 2 metas) y finalmente la Oficina de Información de Prensa y el Departamento de Prensa y Comunicación Organizacional (con una meta). </w:t>
      </w:r>
    </w:p>
    <w:p w14:paraId="599DF9B1" w14:textId="77777777" w:rsidR="00CF6A73" w:rsidRPr="00AC29D6" w:rsidRDefault="00CF6A73" w:rsidP="00AC29D6">
      <w:pPr>
        <w:widowControl w:val="0"/>
        <w:ind w:left="851" w:right="851" w:firstLine="709"/>
        <w:rPr>
          <w:sz w:val="23"/>
          <w:szCs w:val="23"/>
        </w:rPr>
      </w:pPr>
    </w:p>
    <w:p w14:paraId="1C80EEFE"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Sobre el estado de las metas operativas vinculadas a la Política Institucional “Política Institucional para el acceso de la justicia de personas afrodescendientes.”, se tiene que </w:t>
      </w:r>
      <w:r w:rsidRPr="00AC29D6">
        <w:rPr>
          <w:rFonts w:eastAsia="Calibri"/>
          <w:sz w:val="23"/>
          <w:szCs w:val="23"/>
        </w:rPr>
        <w:t>26 metas operativas se encuentran en el estado de completado, mientras que 2 metas operativas se localizan en el estado óptimo y una meta operativa se encuentra en estado urgente de atención.</w:t>
      </w:r>
    </w:p>
    <w:p w14:paraId="195D4B23" w14:textId="77777777" w:rsidR="00CF6A73" w:rsidRPr="00AC29D6" w:rsidRDefault="00CF6A73" w:rsidP="00AC29D6">
      <w:pPr>
        <w:widowControl w:val="0"/>
        <w:ind w:left="851" w:right="851" w:firstLine="709"/>
        <w:rPr>
          <w:sz w:val="23"/>
          <w:szCs w:val="23"/>
        </w:rPr>
      </w:pPr>
    </w:p>
    <w:p w14:paraId="2B182E6B"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lastRenderedPageBreak/>
        <w:t xml:space="preserve"> La Política Institucional “Política Judicial dirigida al Mejoramiento del Acceso a la Justicia de las Niñas, Niños y Adolescentes en Costa Rica”, tiene como Instancia Rectora a la Comisión de Acceso a la Justicia y la Subcomisión Niños, Niñas y Adolescentes, compuesta por 29 metas operativas, donde la Comisión de Acceso a la Justicia es la Oficina con mayor cantidad de metas operativas vinculadas (con 18 metas), seguida de la Unidad de Acceso a la Justicia (con 5 metas), por otro lado, la Fiscalía General y el Subproceso Organizacional Institucional (con 2 metas cada una) y finalmente la Oficina de Información de Prensa y el Departamento de Prensa y Comunicación Organizacional (con una meta cada una). </w:t>
      </w:r>
    </w:p>
    <w:p w14:paraId="59B99B42" w14:textId="77777777" w:rsidR="00CF6A73" w:rsidRPr="00AC29D6" w:rsidRDefault="00CF6A73" w:rsidP="00AC29D6">
      <w:pPr>
        <w:widowControl w:val="0"/>
        <w:ind w:left="851" w:right="851" w:firstLine="709"/>
        <w:rPr>
          <w:sz w:val="23"/>
          <w:szCs w:val="23"/>
        </w:rPr>
      </w:pPr>
    </w:p>
    <w:p w14:paraId="40860B64"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Sobre el estado de las metas operativas vinculadas a la Política Institucional “Política Judicial dirigida al Mejoramiento del Acceso a la Justicia de las Niñas, Niños y Adolescentes en Costa Rica”, se tiene que </w:t>
      </w:r>
      <w:r w:rsidRPr="00AC29D6">
        <w:rPr>
          <w:rFonts w:eastAsia="Calibri"/>
          <w:sz w:val="23"/>
          <w:szCs w:val="23"/>
        </w:rPr>
        <w:t>26 metas operativas se encuentran en el estado de completado, mientras que 2 metas operativas se localizan en el estado óptimo y una meta operativa se encuentra en estado urgente de atención.</w:t>
      </w:r>
    </w:p>
    <w:p w14:paraId="716FE20D" w14:textId="77777777" w:rsidR="00CF6A73" w:rsidRPr="00AC29D6" w:rsidRDefault="00CF6A73" w:rsidP="00AC29D6">
      <w:pPr>
        <w:widowControl w:val="0"/>
        <w:ind w:left="851" w:right="851" w:firstLine="709"/>
        <w:rPr>
          <w:bCs/>
          <w:sz w:val="23"/>
          <w:szCs w:val="23"/>
        </w:rPr>
      </w:pPr>
    </w:p>
    <w:p w14:paraId="6C400E0C"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bCs/>
          <w:sz w:val="23"/>
          <w:szCs w:val="23"/>
        </w:rPr>
        <w:t xml:space="preserve"> La Política Institucional “</w:t>
      </w:r>
      <w:r w:rsidRPr="00AC29D6">
        <w:rPr>
          <w:sz w:val="23"/>
          <w:szCs w:val="23"/>
        </w:rPr>
        <w:t xml:space="preserve">Política de Justicia Abierta para el Poder Judicial de Costa Rica”, tiene como Instancia Rectora a la Comisión para el Mejoramiento de la Administración de Justicia, compuesta por 13 metas operativas, donde la Comisión para el Mejoramiento de la Administración de Justicia es la Oficina con mayor cantidad de metas operativas vinculadas (con 6 metas), seguida de la Jefatura de la Defensa Pública (con 2 metas), y finalmente la Ofician Rectora de Justicia Restaurativa, Oficina de Cumplimiento, Escuela Judicial, Departamento de Prensa y Comunicación Organizacional y el Centro de Apoyo, Coordinación y Mejoramiento de la Administración de la Justicia (con una meta cada una). </w:t>
      </w:r>
    </w:p>
    <w:p w14:paraId="7067CFFA" w14:textId="77777777" w:rsidR="00CF6A73" w:rsidRPr="00AC29D6" w:rsidRDefault="00CF6A73" w:rsidP="00AC29D6">
      <w:pPr>
        <w:widowControl w:val="0"/>
        <w:ind w:left="851" w:right="851" w:firstLine="709"/>
        <w:rPr>
          <w:sz w:val="23"/>
          <w:szCs w:val="23"/>
        </w:rPr>
      </w:pPr>
    </w:p>
    <w:p w14:paraId="59A2A021"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Sobre el estado de las metas operativas vinculadas a la Política Institucional </w:t>
      </w:r>
      <w:r w:rsidRPr="00AC29D6">
        <w:rPr>
          <w:bCs/>
          <w:sz w:val="23"/>
          <w:szCs w:val="23"/>
        </w:rPr>
        <w:t>“</w:t>
      </w:r>
      <w:r w:rsidRPr="00AC29D6">
        <w:rPr>
          <w:sz w:val="23"/>
          <w:szCs w:val="23"/>
        </w:rPr>
        <w:t xml:space="preserve">Política de Justicia Abierta para el Poder Judicial de Costa Rica”, se </w:t>
      </w:r>
      <w:proofErr w:type="gramStart"/>
      <w:r w:rsidRPr="00AC29D6">
        <w:rPr>
          <w:sz w:val="23"/>
          <w:szCs w:val="23"/>
        </w:rPr>
        <w:t>tiene  que</w:t>
      </w:r>
      <w:proofErr w:type="gramEnd"/>
      <w:r w:rsidRPr="00AC29D6">
        <w:rPr>
          <w:sz w:val="23"/>
          <w:szCs w:val="23"/>
        </w:rPr>
        <w:t xml:space="preserve"> </w:t>
      </w:r>
      <w:r w:rsidRPr="00AC29D6">
        <w:rPr>
          <w:rFonts w:eastAsia="Calibri"/>
          <w:sz w:val="23"/>
          <w:szCs w:val="23"/>
        </w:rPr>
        <w:t>8 metas operativas se encuentran en el estado de completado, mientras que 4 metas operativas se localizan en el estado óptimo y una meta operativa se encuentra en estado en proceso.</w:t>
      </w:r>
    </w:p>
    <w:p w14:paraId="4EE60AFF" w14:textId="77777777" w:rsidR="00CF6A73" w:rsidRPr="00AC29D6" w:rsidRDefault="00CF6A73" w:rsidP="00AC29D6">
      <w:pPr>
        <w:widowControl w:val="0"/>
        <w:ind w:left="851" w:right="851" w:firstLine="709"/>
        <w:rPr>
          <w:bCs/>
          <w:sz w:val="23"/>
          <w:szCs w:val="23"/>
        </w:rPr>
      </w:pPr>
    </w:p>
    <w:p w14:paraId="6A40BFE3"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bCs/>
          <w:sz w:val="23"/>
          <w:szCs w:val="23"/>
        </w:rPr>
        <w:t xml:space="preserve"> La Política Institucional “</w:t>
      </w:r>
      <w:r w:rsidRPr="00AC29D6">
        <w:rPr>
          <w:sz w:val="23"/>
          <w:szCs w:val="23"/>
        </w:rPr>
        <w:t xml:space="preserve">Política Axiológica del Poder Judicial”, tiene como Instancia Rectora a la Secretaría Técnica de Ética y Valores, compuesta por 42 metas operativas, donde el Departamento de Prensa y Comunicación Organizacional es la oficina con más metas operativas (10 metas) vinculadas para este 2021, seguidamente de la Unidad de Capacitación y Supervisión (Ministerio Público) y Sección Gestión de la Capacitación (con 5 metas), adicionalmente la Unidad de Inspección Fiscal, Sala Constitucional y Comisión Nacional para el Mejoramiento de la Administración de Justicia (con 3 metas), seguidamente la Unidad servicio de salud para empleados I Circuito Judicial de San </w:t>
      </w:r>
      <w:r w:rsidRPr="00AC29D6">
        <w:rPr>
          <w:sz w:val="23"/>
          <w:szCs w:val="23"/>
        </w:rPr>
        <w:lastRenderedPageBreak/>
        <w:t>José, Unidad de Capacitación y Supervisión (Defensa Pública), Unidad de Adiestramiento y la Oficina de Información de Prensa (con 2 metas) y finalmente el Subproceso de Planeación Estratégica, Subproceso de Evaluación, Sección de Reclutamiento y Selección, Sección de la Administración de la Carrera Judicial y la Fiscalía General (con una meta).</w:t>
      </w:r>
    </w:p>
    <w:p w14:paraId="510E4CD8" w14:textId="77777777" w:rsidR="00CF6A73" w:rsidRPr="00AC29D6" w:rsidRDefault="00CF6A73" w:rsidP="00AC29D6">
      <w:pPr>
        <w:widowControl w:val="0"/>
        <w:ind w:left="851" w:right="851" w:firstLine="709"/>
        <w:rPr>
          <w:sz w:val="23"/>
          <w:szCs w:val="23"/>
        </w:rPr>
      </w:pPr>
    </w:p>
    <w:p w14:paraId="2CA6CB18"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Sobre el estado de las metas operativas vinculadas a la Política Institucional </w:t>
      </w:r>
      <w:r w:rsidRPr="00AC29D6">
        <w:rPr>
          <w:bCs/>
          <w:sz w:val="23"/>
          <w:szCs w:val="23"/>
        </w:rPr>
        <w:t>“</w:t>
      </w:r>
      <w:r w:rsidRPr="00AC29D6">
        <w:rPr>
          <w:sz w:val="23"/>
          <w:szCs w:val="23"/>
        </w:rPr>
        <w:t xml:space="preserve">Política Axiológica del Poder Judicial”, se tiene que </w:t>
      </w:r>
      <w:r w:rsidRPr="00AC29D6">
        <w:rPr>
          <w:rFonts w:eastAsia="Calibri"/>
          <w:sz w:val="23"/>
          <w:szCs w:val="23"/>
        </w:rPr>
        <w:t>el 74% de las metas operativas se encuentran en el estado de completado (31 metas), mientras que el 9% se localiza en el estado óptimo y atención (4 metas), y el otro 8% se encuentra en estado en proceso (3 metas).</w:t>
      </w:r>
    </w:p>
    <w:p w14:paraId="15CA1C48" w14:textId="77777777" w:rsidR="00CF6A73" w:rsidRPr="00AC29D6" w:rsidRDefault="00CF6A73" w:rsidP="00AC29D6">
      <w:pPr>
        <w:widowControl w:val="0"/>
        <w:ind w:left="851" w:right="851" w:firstLine="709"/>
        <w:rPr>
          <w:bCs/>
          <w:sz w:val="23"/>
          <w:szCs w:val="23"/>
        </w:rPr>
      </w:pPr>
    </w:p>
    <w:p w14:paraId="05ABB15A"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bCs/>
          <w:sz w:val="23"/>
          <w:szCs w:val="23"/>
        </w:rPr>
        <w:t xml:space="preserve"> La Política Institucional “</w:t>
      </w:r>
      <w:r w:rsidRPr="00AC29D6">
        <w:rPr>
          <w:sz w:val="23"/>
          <w:szCs w:val="23"/>
        </w:rPr>
        <w:t xml:space="preserve">Política de Igual de Género del Poder Judicial”, tiene como Instancia Rectora a la Secretaría Técnica de Género y Comisión de Género, compuesta por 1076 metas operativas, donde el 66% de las metas operativas vinculadas a esta política, es la meta operativa “Que al finalizar el 2021, se hayan ejecutado al menos dos acciones dirigidas a la prevención del Hostigamiento Sexual en la oficina, que vayan más allá, de una mera comunicación de correo o cápsula informativa.”, la cual está vinculada a todas las oficinas y despachos a nivel nacional. </w:t>
      </w:r>
    </w:p>
    <w:p w14:paraId="26BF9034" w14:textId="77777777" w:rsidR="00CF6A73" w:rsidRPr="00AC29D6" w:rsidRDefault="00CF6A73" w:rsidP="00AC29D6">
      <w:pPr>
        <w:widowControl w:val="0"/>
        <w:ind w:left="851" w:right="851" w:firstLine="709"/>
        <w:rPr>
          <w:sz w:val="23"/>
          <w:szCs w:val="23"/>
        </w:rPr>
      </w:pPr>
    </w:p>
    <w:p w14:paraId="1E0BF1CF"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Sobre el estado de las metas operativas vinculadas a la Política Institucional </w:t>
      </w:r>
      <w:r w:rsidRPr="00AC29D6">
        <w:rPr>
          <w:bCs/>
          <w:sz w:val="23"/>
          <w:szCs w:val="23"/>
        </w:rPr>
        <w:t>“</w:t>
      </w:r>
      <w:r w:rsidRPr="00AC29D6">
        <w:rPr>
          <w:sz w:val="23"/>
          <w:szCs w:val="23"/>
        </w:rPr>
        <w:t>Política de Igual de Género del Poder Judicial”, se tiene que 729 metas operativas tienen el estado completado, con un 68%, mientras que el estado atención tiene 188 metas operativas (17%), seguido y el estado urgente de atención tiene una me del estado urgente atención con 82 metas operativas (8%), por otro lado, el estado en proceso tiene 47 metas operativas (4%) y finalmente 30 metas operativas en estado óptimo (3%).</w:t>
      </w:r>
    </w:p>
    <w:p w14:paraId="4B4860A6" w14:textId="77777777" w:rsidR="00CF6A73" w:rsidRPr="00AC29D6" w:rsidRDefault="00CF6A73" w:rsidP="00AC29D6">
      <w:pPr>
        <w:widowControl w:val="0"/>
        <w:ind w:left="851" w:right="851" w:firstLine="709"/>
        <w:rPr>
          <w:bCs/>
          <w:sz w:val="23"/>
          <w:szCs w:val="23"/>
        </w:rPr>
      </w:pPr>
    </w:p>
    <w:p w14:paraId="32B0A0F7"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bCs/>
          <w:sz w:val="23"/>
          <w:szCs w:val="23"/>
        </w:rPr>
        <w:t xml:space="preserve"> La Política Institucional “</w:t>
      </w:r>
      <w:r w:rsidRPr="00AC29D6">
        <w:rPr>
          <w:rFonts w:eastAsia="Calibri"/>
          <w:sz w:val="23"/>
          <w:szCs w:val="23"/>
        </w:rPr>
        <w:t>Política de Participación Ciudadana del Poder Judicial</w:t>
      </w:r>
      <w:r w:rsidRPr="00AC29D6">
        <w:rPr>
          <w:sz w:val="23"/>
          <w:szCs w:val="23"/>
        </w:rPr>
        <w:t xml:space="preserve">”, tiene como Instancia Rectora a la Comisión Nacional para el Mejoramiento de la Administración de Justicia, compuesta por 2 metas operativas, donde está compuesto por la Comisión Nacional para el Mejoramiento de la Administración de Justicia y la Contraloría de Servicios (Sede Central). </w:t>
      </w:r>
    </w:p>
    <w:p w14:paraId="3D1BE358" w14:textId="77777777" w:rsidR="00CF6A73" w:rsidRPr="00AC29D6" w:rsidRDefault="00CF6A73" w:rsidP="00AC29D6">
      <w:pPr>
        <w:widowControl w:val="0"/>
        <w:ind w:left="851" w:right="851" w:firstLine="709"/>
        <w:rPr>
          <w:sz w:val="23"/>
          <w:szCs w:val="23"/>
        </w:rPr>
      </w:pPr>
    </w:p>
    <w:p w14:paraId="71ED88F9"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Sobre el estado de las metas operativas vinculadas a la Política Institucional </w:t>
      </w:r>
      <w:r w:rsidRPr="00AC29D6">
        <w:rPr>
          <w:bCs/>
          <w:sz w:val="23"/>
          <w:szCs w:val="23"/>
        </w:rPr>
        <w:t>“</w:t>
      </w:r>
      <w:r w:rsidRPr="00AC29D6">
        <w:rPr>
          <w:rFonts w:eastAsia="Calibri"/>
          <w:sz w:val="23"/>
          <w:szCs w:val="23"/>
        </w:rPr>
        <w:t>Política de Participación Ciudadana del Poder Judicial</w:t>
      </w:r>
      <w:r w:rsidRPr="00AC29D6">
        <w:rPr>
          <w:sz w:val="23"/>
          <w:szCs w:val="23"/>
        </w:rPr>
        <w:t xml:space="preserve">”, se tiene que las dos metas operativas se encuentran en </w:t>
      </w:r>
      <w:r w:rsidRPr="00AC29D6">
        <w:rPr>
          <w:rFonts w:eastAsia="Calibri"/>
          <w:sz w:val="23"/>
          <w:szCs w:val="23"/>
        </w:rPr>
        <w:t>estado óptimo.</w:t>
      </w:r>
    </w:p>
    <w:p w14:paraId="40ACA8C6" w14:textId="77777777" w:rsidR="00CF6A73" w:rsidRPr="00AC29D6" w:rsidRDefault="00CF6A73" w:rsidP="00AC29D6">
      <w:pPr>
        <w:widowControl w:val="0"/>
        <w:ind w:left="851" w:right="851" w:firstLine="709"/>
        <w:rPr>
          <w:bCs/>
          <w:sz w:val="23"/>
          <w:szCs w:val="23"/>
        </w:rPr>
      </w:pPr>
    </w:p>
    <w:p w14:paraId="3AD3988F"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bCs/>
          <w:sz w:val="23"/>
          <w:szCs w:val="23"/>
        </w:rPr>
        <w:t xml:space="preserve"> La Política Institucional “Política Institucional contra el hostigamiento sexual</w:t>
      </w:r>
      <w:r w:rsidRPr="00AC29D6">
        <w:rPr>
          <w:sz w:val="23"/>
          <w:szCs w:val="23"/>
        </w:rPr>
        <w:t xml:space="preserve">”, tiene como Instancia Rectora a la </w:t>
      </w:r>
      <w:r w:rsidRPr="00AC29D6">
        <w:rPr>
          <w:sz w:val="23"/>
          <w:szCs w:val="23"/>
          <w:lang w:eastAsia="es-CR"/>
        </w:rPr>
        <w:t>Secretaría Técnica de Género y a la Comisión Hostigamiento Sexual</w:t>
      </w:r>
      <w:r w:rsidRPr="00AC29D6">
        <w:rPr>
          <w:sz w:val="23"/>
          <w:szCs w:val="23"/>
        </w:rPr>
        <w:t xml:space="preserve">, compuesta por 711 metas operativas, </w:t>
      </w:r>
      <w:r w:rsidRPr="00AC29D6">
        <w:rPr>
          <w:sz w:val="23"/>
          <w:szCs w:val="23"/>
        </w:rPr>
        <w:lastRenderedPageBreak/>
        <w:t xml:space="preserve">donde el 100% de las metas operativas están vinculadas a oficinas y despachos a nivel nacional. </w:t>
      </w:r>
    </w:p>
    <w:p w14:paraId="62907D9D" w14:textId="77777777" w:rsidR="00CF6A73" w:rsidRPr="00AC29D6" w:rsidRDefault="00CF6A73" w:rsidP="00AC29D6">
      <w:pPr>
        <w:widowControl w:val="0"/>
        <w:ind w:left="851" w:right="851" w:firstLine="709"/>
        <w:rPr>
          <w:sz w:val="23"/>
          <w:szCs w:val="23"/>
        </w:rPr>
      </w:pPr>
    </w:p>
    <w:p w14:paraId="5C2FDDCE"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Sobre el estado de las metas operativas vinculadas a la Política Institucional </w:t>
      </w:r>
      <w:r w:rsidRPr="00AC29D6">
        <w:rPr>
          <w:bCs/>
          <w:sz w:val="23"/>
          <w:szCs w:val="23"/>
        </w:rPr>
        <w:t>“Política Institucional contra el hostigamiento sexual</w:t>
      </w:r>
      <w:r w:rsidRPr="00AC29D6">
        <w:rPr>
          <w:sz w:val="23"/>
          <w:szCs w:val="23"/>
        </w:rPr>
        <w:t xml:space="preserve">”, se tiene </w:t>
      </w:r>
      <w:r w:rsidRPr="00AC29D6">
        <w:rPr>
          <w:rFonts w:eastAsia="Calibri"/>
          <w:sz w:val="23"/>
          <w:szCs w:val="23"/>
        </w:rPr>
        <w:t>520 metas operativas se encuentran en el estado de completado, mientras que 139 metas operativas se localizan en el estado óptimo y 52 metas operativas se encuentra en estado urgente de atención.</w:t>
      </w:r>
    </w:p>
    <w:p w14:paraId="335D05A6" w14:textId="77777777" w:rsidR="00CF6A73" w:rsidRPr="00AC29D6" w:rsidRDefault="00CF6A73" w:rsidP="00AC29D6">
      <w:pPr>
        <w:widowControl w:val="0"/>
        <w:ind w:left="851" w:right="851" w:firstLine="709"/>
        <w:rPr>
          <w:sz w:val="23"/>
          <w:szCs w:val="23"/>
        </w:rPr>
      </w:pPr>
    </w:p>
    <w:p w14:paraId="12AE74AB"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Con relación a la comparación del avance de cumplimiento de las Políticas Institucionales del Poder Judicial al 31 de octubre y al 15 de diciembre del 2021. Se tiene que siete Políticas Institucionales se encuentran en estado </w:t>
      </w:r>
      <w:r w:rsidRPr="00AC29D6">
        <w:rPr>
          <w:b/>
          <w:bCs/>
          <w:sz w:val="23"/>
          <w:szCs w:val="23"/>
        </w:rPr>
        <w:t xml:space="preserve">completado </w:t>
      </w:r>
      <w:r w:rsidRPr="00AC29D6">
        <w:rPr>
          <w:sz w:val="23"/>
          <w:szCs w:val="23"/>
        </w:rPr>
        <w:t>y las otras siete Políticas Institucionales se encuentran en proceso de ser cumplido o ejecutado al 15 de diciembre del 2021.</w:t>
      </w:r>
    </w:p>
    <w:p w14:paraId="49BE82E9" w14:textId="77777777" w:rsidR="00CF6A73" w:rsidRPr="00AC29D6" w:rsidRDefault="00CF6A73" w:rsidP="00AC29D6">
      <w:pPr>
        <w:widowControl w:val="0"/>
        <w:ind w:left="851" w:right="851" w:firstLine="709"/>
        <w:rPr>
          <w:sz w:val="23"/>
          <w:szCs w:val="23"/>
        </w:rPr>
      </w:pPr>
    </w:p>
    <w:p w14:paraId="2CB106BA"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Con respecto al c</w:t>
      </w:r>
      <w:r w:rsidRPr="00AC29D6">
        <w:rPr>
          <w:rFonts w:eastAsia="Calibri"/>
          <w:sz w:val="23"/>
          <w:szCs w:val="23"/>
        </w:rPr>
        <w:t xml:space="preserve">umplimiento porcentual inferior a un 75% de las metas operativas, se puede concluir </w:t>
      </w:r>
      <w:r w:rsidRPr="00AC29D6">
        <w:rPr>
          <w:sz w:val="23"/>
          <w:szCs w:val="23"/>
        </w:rPr>
        <w:t>que hay 529 metas operativas con oportunidad de mejora al 31 de octubre del 2021.</w:t>
      </w:r>
    </w:p>
    <w:p w14:paraId="1E5BDE7F" w14:textId="77777777" w:rsidR="00CF6A73" w:rsidRPr="00AC29D6" w:rsidRDefault="00CF6A73" w:rsidP="00AC29D6">
      <w:pPr>
        <w:widowControl w:val="0"/>
        <w:ind w:left="851" w:right="851" w:firstLine="709"/>
        <w:rPr>
          <w:sz w:val="23"/>
          <w:szCs w:val="23"/>
        </w:rPr>
      </w:pPr>
    </w:p>
    <w:p w14:paraId="45736835" w14:textId="77777777" w:rsidR="00CF6A73" w:rsidRPr="00AC29D6" w:rsidRDefault="00CF6A73" w:rsidP="00AC29D6">
      <w:pPr>
        <w:widowControl w:val="0"/>
        <w:numPr>
          <w:ilvl w:val="0"/>
          <w:numId w:val="126"/>
        </w:numPr>
        <w:tabs>
          <w:tab w:val="left" w:pos="851"/>
        </w:tabs>
        <w:ind w:left="851" w:right="851" w:firstLine="709"/>
        <w:contextualSpacing/>
        <w:jc w:val="both"/>
        <w:rPr>
          <w:sz w:val="23"/>
          <w:szCs w:val="23"/>
        </w:rPr>
      </w:pPr>
      <w:r w:rsidRPr="00AC29D6">
        <w:rPr>
          <w:sz w:val="23"/>
          <w:szCs w:val="23"/>
        </w:rPr>
        <w:t xml:space="preserve"> El 72% de las metas operativas con oportunidad de mejora corresponde a la meta operativa denominada “</w:t>
      </w:r>
      <w:r w:rsidRPr="00AC29D6">
        <w:rPr>
          <w:sz w:val="23"/>
          <w:szCs w:val="23"/>
          <w:lang w:eastAsia="es-CR"/>
        </w:rPr>
        <w:t>Que al finalizar el 2021, se hayan ejecutado al menos dos acciones dirigidas a la prevención del Hostigamiento Sexual en la oficina, que vayan más allá, de una mera comunicación de correo o cápsula informativa”.</w:t>
      </w:r>
    </w:p>
    <w:p w14:paraId="77718A53" w14:textId="77777777" w:rsidR="00CF6A73" w:rsidRPr="00AC29D6" w:rsidRDefault="00CF6A73" w:rsidP="00AC29D6">
      <w:pPr>
        <w:widowControl w:val="0"/>
        <w:ind w:left="851" w:right="851" w:firstLine="709"/>
        <w:rPr>
          <w:sz w:val="23"/>
          <w:szCs w:val="23"/>
        </w:rPr>
      </w:pPr>
    </w:p>
    <w:p w14:paraId="59D48085" w14:textId="77777777" w:rsidR="00CF6A73" w:rsidRPr="00AC29D6" w:rsidRDefault="00CF6A73" w:rsidP="00AC29D6">
      <w:pPr>
        <w:widowControl w:val="0"/>
        <w:numPr>
          <w:ilvl w:val="0"/>
          <w:numId w:val="126"/>
        </w:numPr>
        <w:tabs>
          <w:tab w:val="left" w:pos="851"/>
        </w:tabs>
        <w:ind w:left="851" w:right="851" w:firstLine="709"/>
        <w:contextualSpacing/>
        <w:jc w:val="both"/>
        <w:rPr>
          <w:rFonts w:eastAsia="Calibri"/>
          <w:sz w:val="23"/>
          <w:szCs w:val="23"/>
        </w:rPr>
      </w:pPr>
      <w:r w:rsidRPr="00AC29D6">
        <w:rPr>
          <w:sz w:val="23"/>
          <w:szCs w:val="23"/>
        </w:rPr>
        <w:t xml:space="preserve"> El 61% de las metas operativas se encuentran con un porcentaje de cumplimiento de 50%, seguido del 25% correspondiente a las metas operativas con porcentaje de cumplimiento de 0</w:t>
      </w:r>
      <w:proofErr w:type="gramStart"/>
      <w:r w:rsidRPr="00AC29D6">
        <w:rPr>
          <w:sz w:val="23"/>
          <w:szCs w:val="23"/>
        </w:rPr>
        <w:t>%.</w:t>
      </w:r>
      <w:r w:rsidRPr="00AC29D6">
        <w:rPr>
          <w:rFonts w:eastAsia="Calibri"/>
          <w:sz w:val="23"/>
          <w:szCs w:val="23"/>
        </w:rPr>
        <w:t>.</w:t>
      </w:r>
      <w:proofErr w:type="gramEnd"/>
      <w:r w:rsidRPr="00AC29D6">
        <w:rPr>
          <w:rFonts w:eastAsia="Calibri"/>
          <w:sz w:val="23"/>
          <w:szCs w:val="23"/>
        </w:rPr>
        <w:t xml:space="preserve">  Se generó por medio del Sistema PEI el día 8 de octubre un primer corte del estado en el que se encontraban las metas estratégicas con sus respectivos responsables estratégicos y se les remitió correos informativos a los responsables con el fin de que procedieran a verificar el estado y la actualización de las metas correspondientes, y de igual manera para que coordinaran con los responsables operativos vinculados a esa meta estratégica por la cual responden. </w:t>
      </w:r>
    </w:p>
    <w:p w14:paraId="48535D96" w14:textId="77777777" w:rsidR="00CF6A73" w:rsidRPr="00AC29D6" w:rsidRDefault="00CF6A73" w:rsidP="00AC29D6">
      <w:pPr>
        <w:widowControl w:val="0"/>
        <w:ind w:left="851" w:right="851" w:firstLine="709"/>
        <w:rPr>
          <w:sz w:val="23"/>
          <w:szCs w:val="23"/>
        </w:rPr>
      </w:pPr>
    </w:p>
    <w:p w14:paraId="413A1337" w14:textId="77777777" w:rsidR="00CF6A73" w:rsidRPr="00AC29D6" w:rsidRDefault="00CF6A73" w:rsidP="00AC29D6">
      <w:pPr>
        <w:widowControl w:val="0"/>
        <w:numPr>
          <w:ilvl w:val="0"/>
          <w:numId w:val="126"/>
        </w:numPr>
        <w:tabs>
          <w:tab w:val="left" w:pos="851"/>
        </w:tabs>
        <w:ind w:left="851" w:right="851" w:firstLine="709"/>
        <w:contextualSpacing/>
        <w:jc w:val="both"/>
        <w:rPr>
          <w:rFonts w:eastAsia="Calibri"/>
          <w:sz w:val="23"/>
          <w:szCs w:val="23"/>
        </w:rPr>
      </w:pPr>
      <w:r w:rsidRPr="00AC29D6">
        <w:rPr>
          <w:sz w:val="23"/>
          <w:szCs w:val="23"/>
        </w:rPr>
        <w:t xml:space="preserve"> Para el seguimiento de las Políticas Institucionales del 2021, se determina que hay 12 responsables estratégicos con metas operativas vinculadas, con un cumplimiento inferior al 75%. </w:t>
      </w:r>
    </w:p>
    <w:p w14:paraId="6C000902" w14:textId="77777777" w:rsidR="00CF6A73" w:rsidRPr="00AC29D6" w:rsidRDefault="00CF6A73" w:rsidP="00AC29D6">
      <w:pPr>
        <w:widowControl w:val="0"/>
        <w:ind w:left="851" w:right="851" w:firstLine="709"/>
        <w:jc w:val="both"/>
        <w:rPr>
          <w:sz w:val="23"/>
          <w:szCs w:val="23"/>
          <w:lang w:val="es-ES_tradnl"/>
        </w:rPr>
      </w:pPr>
    </w:p>
    <w:p w14:paraId="58667E5F" w14:textId="77777777" w:rsidR="00CF6A73" w:rsidRPr="00AC29D6" w:rsidRDefault="00CF6A73" w:rsidP="00AC29D6">
      <w:pPr>
        <w:ind w:left="851" w:right="851" w:firstLine="709"/>
        <w:rPr>
          <w:b/>
          <w:bCs/>
          <w:sz w:val="23"/>
          <w:szCs w:val="23"/>
          <w:u w:val="single"/>
          <w:lang w:val="es-ES_tradnl"/>
        </w:rPr>
      </w:pPr>
      <w:bookmarkStart w:id="2" w:name="_Toc90563636"/>
      <w:r w:rsidRPr="00AC29D6">
        <w:rPr>
          <w:b/>
          <w:bCs/>
          <w:sz w:val="23"/>
          <w:szCs w:val="23"/>
          <w:u w:val="single"/>
          <w:lang w:val="es-ES_tradnl"/>
        </w:rPr>
        <w:t>Recomendaciones</w:t>
      </w:r>
      <w:bookmarkEnd w:id="2"/>
    </w:p>
    <w:p w14:paraId="6F0AEB09" w14:textId="77777777" w:rsidR="00CF6A73" w:rsidRPr="00AC29D6" w:rsidRDefault="00CF6A73" w:rsidP="00AC29D6">
      <w:pPr>
        <w:widowControl w:val="0"/>
        <w:tabs>
          <w:tab w:val="left" w:pos="993"/>
        </w:tabs>
        <w:ind w:left="851" w:right="851" w:firstLine="709"/>
        <w:jc w:val="both"/>
        <w:rPr>
          <w:sz w:val="23"/>
          <w:szCs w:val="23"/>
          <w:lang w:val="es-ES_tradnl"/>
        </w:rPr>
      </w:pPr>
    </w:p>
    <w:p w14:paraId="10E7A106" w14:textId="77777777" w:rsidR="00CF6A73" w:rsidRPr="00AC29D6" w:rsidRDefault="00CF6A73" w:rsidP="00AC29D6">
      <w:pPr>
        <w:ind w:left="851" w:right="851" w:firstLine="709"/>
        <w:rPr>
          <w:b/>
          <w:bCs/>
          <w:sz w:val="23"/>
          <w:szCs w:val="23"/>
          <w:u w:val="single"/>
          <w:lang w:val="es-ES_tradnl"/>
        </w:rPr>
      </w:pPr>
      <w:r w:rsidRPr="00AC29D6">
        <w:rPr>
          <w:b/>
          <w:bCs/>
          <w:sz w:val="23"/>
          <w:szCs w:val="23"/>
          <w:u w:val="single"/>
          <w:lang w:val="es-ES_tradnl"/>
        </w:rPr>
        <w:t>Al Consejo Superior</w:t>
      </w:r>
    </w:p>
    <w:p w14:paraId="21191443" w14:textId="77777777" w:rsidR="00CF6A73" w:rsidRPr="00AC29D6" w:rsidRDefault="00CF6A73" w:rsidP="00AC29D6">
      <w:pPr>
        <w:widowControl w:val="0"/>
        <w:ind w:left="851" w:right="851" w:firstLine="709"/>
        <w:rPr>
          <w:sz w:val="23"/>
          <w:szCs w:val="23"/>
          <w:lang w:val="es-ES_tradnl"/>
        </w:rPr>
      </w:pPr>
    </w:p>
    <w:p w14:paraId="5A2B00D7" w14:textId="77777777" w:rsidR="00CF6A73" w:rsidRPr="00AC29D6" w:rsidRDefault="00CF6A73" w:rsidP="00AC29D6">
      <w:pPr>
        <w:widowControl w:val="0"/>
        <w:numPr>
          <w:ilvl w:val="0"/>
          <w:numId w:val="127"/>
        </w:numPr>
        <w:tabs>
          <w:tab w:val="left" w:pos="993"/>
          <w:tab w:val="left" w:pos="1276"/>
        </w:tabs>
        <w:ind w:left="851" w:right="851" w:firstLine="709"/>
        <w:contextualSpacing/>
        <w:jc w:val="both"/>
        <w:rPr>
          <w:sz w:val="23"/>
          <w:szCs w:val="23"/>
        </w:rPr>
      </w:pPr>
      <w:r w:rsidRPr="00AC29D6">
        <w:rPr>
          <w:b/>
          <w:bCs/>
          <w:sz w:val="23"/>
          <w:szCs w:val="23"/>
          <w:lang w:val="es-ES_tradnl"/>
        </w:rPr>
        <w:t xml:space="preserve"> </w:t>
      </w:r>
      <w:r w:rsidRPr="00AC29D6">
        <w:rPr>
          <w:sz w:val="23"/>
          <w:szCs w:val="23"/>
        </w:rPr>
        <w:t>Aprobar el presente informe y sus recomendaciones, del seguimiento a las Políticas Instituciones del Poder Judicial a octubre del 2021 y comparativo al 15 de diciembre 2021.</w:t>
      </w:r>
    </w:p>
    <w:p w14:paraId="3ECC2247" w14:textId="77777777" w:rsidR="00CF6A73" w:rsidRPr="00AC29D6" w:rsidRDefault="00CF6A73" w:rsidP="00AC29D6">
      <w:pPr>
        <w:widowControl w:val="0"/>
        <w:tabs>
          <w:tab w:val="left" w:pos="993"/>
        </w:tabs>
        <w:ind w:left="851" w:right="851" w:firstLine="709"/>
        <w:jc w:val="both"/>
        <w:rPr>
          <w:b/>
          <w:bCs/>
          <w:sz w:val="23"/>
          <w:szCs w:val="23"/>
          <w:lang w:val="es-ES_tradnl"/>
        </w:rPr>
      </w:pPr>
    </w:p>
    <w:p w14:paraId="384BE665" w14:textId="77777777" w:rsidR="00CF6A73" w:rsidRPr="00AC29D6" w:rsidRDefault="00CF6A73" w:rsidP="00AC29D6">
      <w:pPr>
        <w:ind w:left="851" w:right="851" w:firstLine="709"/>
        <w:rPr>
          <w:b/>
          <w:bCs/>
          <w:sz w:val="23"/>
          <w:szCs w:val="23"/>
          <w:u w:val="single"/>
          <w:lang w:val="es-ES_tradnl"/>
        </w:rPr>
      </w:pPr>
      <w:r w:rsidRPr="00AC29D6">
        <w:rPr>
          <w:b/>
          <w:bCs/>
          <w:sz w:val="23"/>
          <w:szCs w:val="23"/>
          <w:u w:val="single"/>
          <w:lang w:val="es-ES_tradnl"/>
        </w:rPr>
        <w:t>Alas oficinas y despachos judiciales</w:t>
      </w:r>
    </w:p>
    <w:p w14:paraId="52D27A0C" w14:textId="77777777" w:rsidR="00CF6A73" w:rsidRPr="00AC29D6" w:rsidRDefault="00CF6A73" w:rsidP="00AC29D6">
      <w:pPr>
        <w:widowControl w:val="0"/>
        <w:ind w:left="851" w:right="851" w:firstLine="709"/>
        <w:rPr>
          <w:sz w:val="23"/>
          <w:szCs w:val="23"/>
          <w:lang w:val="es-ES_tradnl"/>
        </w:rPr>
      </w:pPr>
    </w:p>
    <w:p w14:paraId="6FA0F187" w14:textId="77777777" w:rsidR="00CF6A73" w:rsidRPr="00AC29D6" w:rsidRDefault="00CF6A73" w:rsidP="00AC29D6">
      <w:pPr>
        <w:widowControl w:val="0"/>
        <w:numPr>
          <w:ilvl w:val="0"/>
          <w:numId w:val="127"/>
        </w:numPr>
        <w:tabs>
          <w:tab w:val="left" w:pos="993"/>
        </w:tabs>
        <w:ind w:left="851" w:right="851" w:firstLine="709"/>
        <w:contextualSpacing/>
        <w:jc w:val="both"/>
        <w:rPr>
          <w:b/>
          <w:bCs/>
          <w:sz w:val="23"/>
          <w:szCs w:val="23"/>
        </w:rPr>
      </w:pPr>
      <w:r w:rsidRPr="00AC29D6">
        <w:rPr>
          <w:b/>
          <w:bCs/>
          <w:sz w:val="23"/>
          <w:szCs w:val="23"/>
          <w:lang w:val="es-ES_tradnl"/>
        </w:rPr>
        <w:t xml:space="preserve"> </w:t>
      </w:r>
      <w:r w:rsidRPr="00AC29D6">
        <w:rPr>
          <w:sz w:val="23"/>
          <w:szCs w:val="23"/>
        </w:rPr>
        <w:t>Registrar avances a las metas de los Planes Anuales Operativos que están vinculados con el Plan Estratégico Institucional de manera periódica, debido a la importancia que revisten esas metas al contribuir de manera directa con el cumplimiento de las Políticas Institucionales.</w:t>
      </w:r>
    </w:p>
    <w:p w14:paraId="0C5EB9B6" w14:textId="77777777" w:rsidR="00CF6A73" w:rsidRPr="00AC29D6" w:rsidRDefault="00CF6A73" w:rsidP="00AC29D6">
      <w:pPr>
        <w:widowControl w:val="0"/>
        <w:tabs>
          <w:tab w:val="left" w:pos="993"/>
        </w:tabs>
        <w:ind w:left="851" w:right="851" w:firstLine="709"/>
        <w:jc w:val="both"/>
        <w:rPr>
          <w:b/>
          <w:bCs/>
          <w:sz w:val="23"/>
          <w:szCs w:val="23"/>
        </w:rPr>
      </w:pPr>
    </w:p>
    <w:p w14:paraId="290743B9" w14:textId="77777777" w:rsidR="00CF6A73" w:rsidRPr="00AC29D6" w:rsidRDefault="00CF6A73" w:rsidP="00AC29D6">
      <w:pPr>
        <w:widowControl w:val="0"/>
        <w:numPr>
          <w:ilvl w:val="0"/>
          <w:numId w:val="127"/>
        </w:numPr>
        <w:tabs>
          <w:tab w:val="left" w:pos="993"/>
        </w:tabs>
        <w:ind w:left="851" w:right="851" w:firstLine="709"/>
        <w:contextualSpacing/>
        <w:jc w:val="both"/>
        <w:rPr>
          <w:b/>
          <w:bCs/>
          <w:sz w:val="23"/>
          <w:szCs w:val="23"/>
        </w:rPr>
      </w:pPr>
      <w:r w:rsidRPr="00AC29D6">
        <w:rPr>
          <w:sz w:val="23"/>
          <w:szCs w:val="23"/>
        </w:rPr>
        <w:t xml:space="preserve"> </w:t>
      </w:r>
      <w:r w:rsidRPr="00AC29D6">
        <w:rPr>
          <w:bCs/>
          <w:sz w:val="23"/>
          <w:szCs w:val="23"/>
        </w:rPr>
        <w:t xml:space="preserve">Procurar que los objetivos y metas formuladas sean ejecutadas de manera planificada a lo largo de todo el año y evitar formular que el plazo de las metas sea cumplido en su totalidad al finalizar el año.  </w:t>
      </w:r>
    </w:p>
    <w:p w14:paraId="16BDEA6C" w14:textId="77777777" w:rsidR="00CF6A73" w:rsidRPr="00AC29D6" w:rsidRDefault="00CF6A73" w:rsidP="00AC29D6">
      <w:pPr>
        <w:widowControl w:val="0"/>
        <w:ind w:left="851" w:right="851" w:firstLine="709"/>
        <w:rPr>
          <w:b/>
          <w:bCs/>
          <w:sz w:val="23"/>
          <w:szCs w:val="23"/>
        </w:rPr>
      </w:pPr>
    </w:p>
    <w:p w14:paraId="0ED6FF63" w14:textId="77777777" w:rsidR="00CF6A73" w:rsidRPr="00AC29D6" w:rsidRDefault="00CF6A73" w:rsidP="00AC29D6">
      <w:pPr>
        <w:widowControl w:val="0"/>
        <w:numPr>
          <w:ilvl w:val="0"/>
          <w:numId w:val="127"/>
        </w:numPr>
        <w:tabs>
          <w:tab w:val="left" w:pos="993"/>
        </w:tabs>
        <w:ind w:left="851" w:right="851" w:firstLine="709"/>
        <w:contextualSpacing/>
        <w:jc w:val="both"/>
        <w:rPr>
          <w:b/>
          <w:bCs/>
          <w:sz w:val="23"/>
          <w:szCs w:val="23"/>
        </w:rPr>
      </w:pPr>
      <w:r w:rsidRPr="00AC29D6">
        <w:rPr>
          <w:sz w:val="23"/>
          <w:szCs w:val="23"/>
        </w:rPr>
        <w:t xml:space="preserve">Completar las actividades de cierre de los Planes Anuales Operativos que están vinculados con el Plan Estratégico Institucional a más tardar el 19 de enero del 2022, </w:t>
      </w:r>
      <w:r w:rsidRPr="00AC29D6">
        <w:rPr>
          <w:sz w:val="23"/>
          <w:szCs w:val="23"/>
          <w:lang w:eastAsia="es-ES"/>
        </w:rPr>
        <w:t>debido a que estas inciden directamente en el cumplimiento de la estrategia institucional.</w:t>
      </w:r>
    </w:p>
    <w:p w14:paraId="69103DBF" w14:textId="77777777" w:rsidR="00CF6A73" w:rsidRPr="00AC29D6" w:rsidRDefault="00CF6A73" w:rsidP="00AC29D6">
      <w:pPr>
        <w:widowControl w:val="0"/>
        <w:ind w:left="851" w:right="851" w:firstLine="709"/>
        <w:rPr>
          <w:b/>
          <w:bCs/>
          <w:sz w:val="23"/>
          <w:szCs w:val="23"/>
        </w:rPr>
      </w:pPr>
    </w:p>
    <w:p w14:paraId="2F1DBEDA" w14:textId="77777777" w:rsidR="00CF6A73" w:rsidRPr="00AC29D6" w:rsidRDefault="00CF6A73" w:rsidP="00AC29D6">
      <w:pPr>
        <w:ind w:left="851" w:right="851" w:firstLine="709"/>
        <w:rPr>
          <w:b/>
          <w:bCs/>
          <w:sz w:val="23"/>
          <w:szCs w:val="23"/>
          <w:u w:val="single"/>
          <w:lang w:val="es-ES_tradnl"/>
        </w:rPr>
      </w:pPr>
      <w:r w:rsidRPr="00AC29D6">
        <w:rPr>
          <w:b/>
          <w:bCs/>
          <w:sz w:val="23"/>
          <w:szCs w:val="23"/>
          <w:u w:val="single"/>
          <w:lang w:val="es-ES_tradnl"/>
        </w:rPr>
        <w:t>A los Responsables Estratégicos</w:t>
      </w:r>
    </w:p>
    <w:p w14:paraId="232F6B57" w14:textId="77777777" w:rsidR="00CF6A73" w:rsidRPr="00AC29D6" w:rsidRDefault="00CF6A73" w:rsidP="00AC29D6">
      <w:pPr>
        <w:widowControl w:val="0"/>
        <w:ind w:left="851" w:right="851" w:firstLine="709"/>
        <w:rPr>
          <w:sz w:val="23"/>
          <w:szCs w:val="23"/>
          <w:lang w:val="es-ES_tradnl"/>
        </w:rPr>
      </w:pPr>
    </w:p>
    <w:p w14:paraId="6D35C0A5" w14:textId="77777777" w:rsidR="00CF6A73" w:rsidRPr="00AC29D6" w:rsidRDefault="00CF6A73" w:rsidP="00AC29D6">
      <w:pPr>
        <w:widowControl w:val="0"/>
        <w:numPr>
          <w:ilvl w:val="0"/>
          <w:numId w:val="127"/>
        </w:numPr>
        <w:tabs>
          <w:tab w:val="left" w:pos="851"/>
        </w:tabs>
        <w:autoSpaceDE w:val="0"/>
        <w:autoSpaceDN w:val="0"/>
        <w:adjustRightInd w:val="0"/>
        <w:ind w:left="851" w:right="851" w:firstLine="709"/>
        <w:contextualSpacing/>
        <w:jc w:val="both"/>
        <w:rPr>
          <w:sz w:val="23"/>
          <w:szCs w:val="23"/>
        </w:rPr>
      </w:pPr>
      <w:r w:rsidRPr="00AC29D6">
        <w:rPr>
          <w:b/>
          <w:bCs/>
          <w:sz w:val="23"/>
          <w:szCs w:val="23"/>
          <w:lang w:val="es-ES_tradnl"/>
        </w:rPr>
        <w:t xml:space="preserve"> </w:t>
      </w:r>
      <w:r w:rsidRPr="00AC29D6">
        <w:rPr>
          <w:sz w:val="23"/>
          <w:szCs w:val="23"/>
        </w:rPr>
        <w:t>Coordinar y dar seguimiento a los responsables operativos con el fin de registrar los avances de las metas contenidas en los Planes Anuales Operativos que están vinculados con el Plan Estratégico Institucional de manera periódica, debido a la importancia que revisten esas metas al contribuir de manera directa con el cumplimiento de las Políticas Institucionales.</w:t>
      </w:r>
    </w:p>
    <w:p w14:paraId="422C6431" w14:textId="77777777" w:rsidR="00CF6A73" w:rsidRPr="00AC29D6" w:rsidRDefault="00CF6A73" w:rsidP="00AC29D6">
      <w:pPr>
        <w:widowControl w:val="0"/>
        <w:tabs>
          <w:tab w:val="left" w:pos="851"/>
        </w:tabs>
        <w:autoSpaceDE w:val="0"/>
        <w:autoSpaceDN w:val="0"/>
        <w:adjustRightInd w:val="0"/>
        <w:ind w:left="851" w:right="851" w:firstLine="709"/>
        <w:jc w:val="both"/>
        <w:rPr>
          <w:sz w:val="23"/>
          <w:szCs w:val="23"/>
        </w:rPr>
      </w:pPr>
    </w:p>
    <w:p w14:paraId="3C0C7528" w14:textId="77777777" w:rsidR="00CF6A73" w:rsidRPr="00AC29D6" w:rsidRDefault="00CF6A73" w:rsidP="00AC29D6">
      <w:pPr>
        <w:widowControl w:val="0"/>
        <w:numPr>
          <w:ilvl w:val="0"/>
          <w:numId w:val="127"/>
        </w:numPr>
        <w:tabs>
          <w:tab w:val="left" w:pos="851"/>
          <w:tab w:val="left" w:pos="993"/>
        </w:tabs>
        <w:autoSpaceDE w:val="0"/>
        <w:autoSpaceDN w:val="0"/>
        <w:adjustRightInd w:val="0"/>
        <w:ind w:left="851" w:right="851" w:firstLine="709"/>
        <w:contextualSpacing/>
        <w:jc w:val="both"/>
        <w:rPr>
          <w:sz w:val="23"/>
          <w:szCs w:val="23"/>
        </w:rPr>
      </w:pPr>
      <w:r w:rsidRPr="00AC29D6">
        <w:rPr>
          <w:sz w:val="23"/>
          <w:szCs w:val="23"/>
        </w:rPr>
        <w:t xml:space="preserve"> Se les recuerda a los responsables estratégicos enlistados de seguido, en específico, el bloque de despachos y oficinas que registraron avances con un porcentaje de cumplimiento inferior al 75%, de que deberán dar seguimiento a los responsables operativos para cumplir con la actualización del PAO para el periodo 2021.</w:t>
      </w:r>
    </w:p>
    <w:p w14:paraId="44F752B4" w14:textId="77777777" w:rsidR="00CF6A73" w:rsidRPr="00AC29D6" w:rsidRDefault="00CF6A73" w:rsidP="00AC29D6">
      <w:pPr>
        <w:widowControl w:val="0"/>
        <w:tabs>
          <w:tab w:val="left" w:pos="851"/>
        </w:tabs>
        <w:autoSpaceDE w:val="0"/>
        <w:autoSpaceDN w:val="0"/>
        <w:adjustRightInd w:val="0"/>
        <w:ind w:left="851" w:right="851" w:firstLine="709"/>
        <w:jc w:val="both"/>
        <w:rPr>
          <w:sz w:val="23"/>
          <w:szCs w:val="23"/>
        </w:rPr>
      </w:pPr>
    </w:p>
    <w:p w14:paraId="5F2C8EB1" w14:textId="01C8C798" w:rsidR="00CF6A73" w:rsidRPr="00AC29D6" w:rsidRDefault="00CF6A73" w:rsidP="00AC29D6">
      <w:pPr>
        <w:widowControl w:val="0"/>
        <w:autoSpaceDE w:val="0"/>
        <w:autoSpaceDN w:val="0"/>
        <w:adjustRightInd w:val="0"/>
        <w:ind w:left="851" w:right="851" w:firstLine="709"/>
        <w:rPr>
          <w:b/>
          <w:bCs/>
          <w:sz w:val="23"/>
          <w:szCs w:val="23"/>
          <w:lang w:eastAsia="es-ES"/>
        </w:rPr>
      </w:pPr>
      <w:r w:rsidRPr="00AC29D6">
        <w:rPr>
          <w:b/>
          <w:bCs/>
          <w:sz w:val="23"/>
          <w:szCs w:val="23"/>
          <w:lang w:eastAsia="es-ES"/>
        </w:rPr>
        <w:t xml:space="preserve">Cuadro </w:t>
      </w:r>
      <w:r w:rsidRPr="00AC29D6">
        <w:rPr>
          <w:b/>
          <w:bCs/>
          <w:sz w:val="23"/>
          <w:szCs w:val="23"/>
          <w:lang w:eastAsia="es-ES"/>
        </w:rPr>
        <w:fldChar w:fldCharType="begin"/>
      </w:r>
      <w:r w:rsidRPr="00AC29D6">
        <w:rPr>
          <w:b/>
          <w:bCs/>
          <w:sz w:val="23"/>
          <w:szCs w:val="23"/>
          <w:lang w:eastAsia="es-ES"/>
        </w:rPr>
        <w:instrText xml:space="preserve"> SEQ Cuadro \* ARABIC </w:instrText>
      </w:r>
      <w:r w:rsidRPr="00AC29D6">
        <w:rPr>
          <w:b/>
          <w:bCs/>
          <w:sz w:val="23"/>
          <w:szCs w:val="23"/>
          <w:lang w:eastAsia="es-ES"/>
        </w:rPr>
        <w:fldChar w:fldCharType="separate"/>
      </w:r>
      <w:r w:rsidRPr="00AC29D6">
        <w:rPr>
          <w:b/>
          <w:bCs/>
          <w:noProof/>
          <w:sz w:val="23"/>
          <w:szCs w:val="23"/>
          <w:lang w:eastAsia="es-ES"/>
        </w:rPr>
        <w:t>11</w:t>
      </w:r>
      <w:r w:rsidRPr="00AC29D6">
        <w:rPr>
          <w:b/>
          <w:bCs/>
          <w:noProof/>
          <w:sz w:val="23"/>
          <w:szCs w:val="23"/>
          <w:lang w:eastAsia="es-ES"/>
        </w:rPr>
        <w:fldChar w:fldCharType="end"/>
      </w:r>
      <w:r w:rsidRPr="00AC29D6">
        <w:rPr>
          <w:b/>
          <w:bCs/>
          <w:sz w:val="23"/>
          <w:szCs w:val="23"/>
          <w:lang w:eastAsia="es-ES"/>
        </w:rPr>
        <w:t xml:space="preserve"> </w:t>
      </w:r>
    </w:p>
    <w:p w14:paraId="0E9DC7F2" w14:textId="77777777" w:rsidR="00CF6A73" w:rsidRPr="00AC29D6" w:rsidRDefault="00CF6A73" w:rsidP="00AC29D6">
      <w:pPr>
        <w:widowControl w:val="0"/>
        <w:autoSpaceDE w:val="0"/>
        <w:autoSpaceDN w:val="0"/>
        <w:adjustRightInd w:val="0"/>
        <w:ind w:left="851" w:right="851" w:firstLine="709"/>
        <w:rPr>
          <w:b/>
          <w:bCs/>
          <w:sz w:val="23"/>
          <w:szCs w:val="23"/>
          <w:lang w:eastAsia="es-ES"/>
        </w:rPr>
      </w:pPr>
    </w:p>
    <w:p w14:paraId="4B6B0B32" w14:textId="560C4B75" w:rsidR="00CF6A73" w:rsidRPr="00AC29D6" w:rsidRDefault="00CF6A73" w:rsidP="00AC29D6">
      <w:pPr>
        <w:widowControl w:val="0"/>
        <w:autoSpaceDE w:val="0"/>
        <w:autoSpaceDN w:val="0"/>
        <w:adjustRightInd w:val="0"/>
        <w:ind w:left="851" w:right="851" w:firstLine="709"/>
        <w:rPr>
          <w:b/>
          <w:bCs/>
          <w:sz w:val="23"/>
          <w:szCs w:val="23"/>
          <w:lang w:eastAsia="es-ES"/>
        </w:rPr>
      </w:pPr>
      <w:r w:rsidRPr="00AC29D6">
        <w:rPr>
          <w:b/>
          <w:bCs/>
          <w:sz w:val="23"/>
          <w:szCs w:val="23"/>
          <w:lang w:eastAsia="es-ES"/>
        </w:rPr>
        <w:t>Cantidad de metas operativas con un cumplimiento inferior al 75% vinculadas a cada responsable estratégico</w:t>
      </w:r>
    </w:p>
    <w:p w14:paraId="30B7AF5B" w14:textId="77777777" w:rsidR="00CF6A73" w:rsidRPr="00AC29D6" w:rsidRDefault="00CF6A73" w:rsidP="00AC29D6">
      <w:pPr>
        <w:widowControl w:val="0"/>
        <w:autoSpaceDE w:val="0"/>
        <w:autoSpaceDN w:val="0"/>
        <w:adjustRightInd w:val="0"/>
        <w:ind w:left="851" w:right="851" w:firstLine="709"/>
        <w:rPr>
          <w:b/>
          <w:bCs/>
          <w:sz w:val="23"/>
          <w:szCs w:val="23"/>
          <w:lang w:eastAsia="es-ES"/>
        </w:rPr>
      </w:pPr>
    </w:p>
    <w:p w14:paraId="64995068" w14:textId="77777777" w:rsidR="00CF6A73" w:rsidRPr="00AC29D6" w:rsidRDefault="00CF6A73" w:rsidP="00AC29D6">
      <w:pPr>
        <w:widowControl w:val="0"/>
        <w:autoSpaceDE w:val="0"/>
        <w:autoSpaceDN w:val="0"/>
        <w:adjustRightInd w:val="0"/>
        <w:ind w:left="851" w:right="851" w:firstLine="709"/>
        <w:rPr>
          <w:b/>
          <w:bCs/>
          <w:sz w:val="23"/>
          <w:szCs w:val="23"/>
          <w:lang w:eastAsia="es-ES"/>
        </w:rPr>
      </w:pPr>
      <w:r w:rsidRPr="00AC29D6">
        <w:rPr>
          <w:b/>
          <w:bCs/>
          <w:sz w:val="23"/>
          <w:szCs w:val="23"/>
          <w:lang w:eastAsia="es-ES"/>
        </w:rPr>
        <w:t>31 de octubre del 2021</w:t>
      </w:r>
    </w:p>
    <w:p w14:paraId="68AE9E6A" w14:textId="77777777" w:rsidR="00CF6A73" w:rsidRPr="00AC29D6" w:rsidRDefault="00CF6A73" w:rsidP="00AC29D6">
      <w:pPr>
        <w:widowControl w:val="0"/>
        <w:autoSpaceDE w:val="0"/>
        <w:autoSpaceDN w:val="0"/>
        <w:adjustRightInd w:val="0"/>
        <w:rPr>
          <w:b/>
          <w:bCs/>
          <w:sz w:val="23"/>
          <w:szCs w:val="23"/>
          <w:lang w:eastAsia="es-ES"/>
        </w:rPr>
      </w:pPr>
    </w:p>
    <w:tbl>
      <w:tblPr>
        <w:tblW w:w="8789" w:type="dxa"/>
        <w:jc w:val="center"/>
        <w:tblCellMar>
          <w:left w:w="70" w:type="dxa"/>
          <w:right w:w="70" w:type="dxa"/>
        </w:tblCellMar>
        <w:tblLook w:val="04A0" w:firstRow="1" w:lastRow="0" w:firstColumn="1" w:lastColumn="0" w:noHBand="0" w:noVBand="1"/>
      </w:tblPr>
      <w:tblGrid>
        <w:gridCol w:w="6521"/>
        <w:gridCol w:w="2268"/>
      </w:tblGrid>
      <w:tr w:rsidR="00CF6A73" w:rsidRPr="00AC29D6" w14:paraId="24DBB50B" w14:textId="77777777" w:rsidTr="00BE7C50">
        <w:trPr>
          <w:trHeight w:val="290"/>
          <w:jc w:val="center"/>
        </w:trPr>
        <w:tc>
          <w:tcPr>
            <w:tcW w:w="6521" w:type="dxa"/>
            <w:tcBorders>
              <w:top w:val="single" w:sz="4" w:space="0" w:color="auto"/>
              <w:left w:val="single" w:sz="4" w:space="0" w:color="auto"/>
              <w:bottom w:val="single" w:sz="4" w:space="0" w:color="auto"/>
              <w:right w:val="single" w:sz="4" w:space="0" w:color="auto"/>
            </w:tcBorders>
            <w:shd w:val="clear" w:color="auto" w:fill="4472C4"/>
            <w:vAlign w:val="center"/>
            <w:hideMark/>
          </w:tcPr>
          <w:p w14:paraId="0E003349" w14:textId="77777777" w:rsidR="00CF6A73" w:rsidRPr="00AC29D6" w:rsidRDefault="00CF6A73" w:rsidP="00AC29D6">
            <w:pPr>
              <w:widowControl w:val="0"/>
              <w:jc w:val="center"/>
              <w:rPr>
                <w:b/>
                <w:bCs/>
                <w:sz w:val="23"/>
                <w:szCs w:val="23"/>
                <w:lang w:val="es-ES_tradnl" w:eastAsia="es-CR"/>
              </w:rPr>
            </w:pPr>
            <w:r w:rsidRPr="00AC29D6">
              <w:rPr>
                <w:b/>
                <w:bCs/>
                <w:sz w:val="23"/>
                <w:szCs w:val="23"/>
                <w:lang w:val="es-ES_tradnl" w:eastAsia="es-CR"/>
              </w:rPr>
              <w:lastRenderedPageBreak/>
              <w:t>Responsable estratégico</w:t>
            </w:r>
          </w:p>
        </w:tc>
        <w:tc>
          <w:tcPr>
            <w:tcW w:w="2268" w:type="dxa"/>
            <w:tcBorders>
              <w:top w:val="single" w:sz="4" w:space="0" w:color="auto"/>
              <w:left w:val="nil"/>
              <w:bottom w:val="single" w:sz="4" w:space="0" w:color="auto"/>
              <w:right w:val="single" w:sz="4" w:space="0" w:color="auto"/>
            </w:tcBorders>
            <w:shd w:val="clear" w:color="auto" w:fill="4472C4"/>
            <w:vAlign w:val="center"/>
            <w:hideMark/>
          </w:tcPr>
          <w:p w14:paraId="38BC24C7" w14:textId="77777777" w:rsidR="00CF6A73" w:rsidRPr="00AC29D6" w:rsidRDefault="00CF6A73" w:rsidP="00AC29D6">
            <w:pPr>
              <w:widowControl w:val="0"/>
              <w:jc w:val="center"/>
              <w:rPr>
                <w:b/>
                <w:bCs/>
                <w:sz w:val="23"/>
                <w:szCs w:val="23"/>
                <w:lang w:val="es-ES_tradnl" w:eastAsia="es-CR"/>
              </w:rPr>
            </w:pPr>
            <w:r w:rsidRPr="00AC29D6">
              <w:rPr>
                <w:b/>
                <w:bCs/>
                <w:sz w:val="23"/>
                <w:szCs w:val="23"/>
                <w:lang w:val="es-ES_tradnl" w:eastAsia="es-CR"/>
              </w:rPr>
              <w:t>Cantidad de metas operativas con un cumplimiento inferior al 75%</w:t>
            </w:r>
          </w:p>
        </w:tc>
      </w:tr>
      <w:tr w:rsidR="00CF6A73" w:rsidRPr="00AC29D6" w14:paraId="487A2E41" w14:textId="77777777" w:rsidTr="00BE7C50">
        <w:trPr>
          <w:trHeight w:val="290"/>
          <w:jc w:val="center"/>
        </w:trPr>
        <w:tc>
          <w:tcPr>
            <w:tcW w:w="6521" w:type="dxa"/>
            <w:tcBorders>
              <w:top w:val="nil"/>
              <w:left w:val="single" w:sz="4" w:space="0" w:color="000000"/>
              <w:bottom w:val="single" w:sz="4" w:space="0" w:color="000000"/>
              <w:right w:val="single" w:sz="4" w:space="0" w:color="000000"/>
            </w:tcBorders>
            <w:vAlign w:val="center"/>
            <w:hideMark/>
          </w:tcPr>
          <w:p w14:paraId="1BBD3D2B" w14:textId="77777777" w:rsidR="00CF6A73" w:rsidRPr="00AC29D6" w:rsidRDefault="00CF6A73" w:rsidP="00AC29D6">
            <w:pPr>
              <w:widowControl w:val="0"/>
              <w:jc w:val="center"/>
              <w:rPr>
                <w:sz w:val="23"/>
                <w:szCs w:val="23"/>
                <w:lang w:val="es-ES_tradnl" w:eastAsia="es-CR"/>
              </w:rPr>
            </w:pPr>
            <w:bookmarkStart w:id="3" w:name="_Hlk90641913"/>
            <w:r w:rsidRPr="00AC29D6">
              <w:rPr>
                <w:sz w:val="23"/>
                <w:szCs w:val="23"/>
                <w:lang w:val="es-ES_tradnl" w:eastAsia="es-CR"/>
              </w:rPr>
              <w:t>Secretaría Técnica de Género y Comision de Género</w:t>
            </w:r>
          </w:p>
        </w:tc>
        <w:tc>
          <w:tcPr>
            <w:tcW w:w="2268" w:type="dxa"/>
            <w:tcBorders>
              <w:top w:val="nil"/>
              <w:left w:val="nil"/>
              <w:bottom w:val="single" w:sz="4" w:space="0" w:color="auto"/>
              <w:right w:val="single" w:sz="4" w:space="0" w:color="auto"/>
            </w:tcBorders>
            <w:vAlign w:val="center"/>
            <w:hideMark/>
          </w:tcPr>
          <w:p w14:paraId="45E049C0"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318</w:t>
            </w:r>
          </w:p>
        </w:tc>
      </w:tr>
      <w:tr w:rsidR="00CF6A73" w:rsidRPr="00AC29D6" w14:paraId="130F54B6" w14:textId="77777777" w:rsidTr="00BE7C50">
        <w:trPr>
          <w:trHeight w:val="290"/>
          <w:jc w:val="center"/>
        </w:trPr>
        <w:tc>
          <w:tcPr>
            <w:tcW w:w="6521" w:type="dxa"/>
            <w:tcBorders>
              <w:top w:val="nil"/>
              <w:left w:val="single" w:sz="4" w:space="0" w:color="000000"/>
              <w:bottom w:val="single" w:sz="4" w:space="0" w:color="000000"/>
              <w:right w:val="single" w:sz="4" w:space="0" w:color="000000"/>
            </w:tcBorders>
            <w:vAlign w:val="center"/>
            <w:hideMark/>
          </w:tcPr>
          <w:p w14:paraId="124D55D9"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Secretaría Técnica de Género y la Comisión Hostigamiento Sexual</w:t>
            </w:r>
          </w:p>
        </w:tc>
        <w:tc>
          <w:tcPr>
            <w:tcW w:w="2268" w:type="dxa"/>
            <w:tcBorders>
              <w:top w:val="nil"/>
              <w:left w:val="nil"/>
              <w:bottom w:val="single" w:sz="4" w:space="0" w:color="auto"/>
              <w:right w:val="single" w:sz="4" w:space="0" w:color="auto"/>
            </w:tcBorders>
            <w:vAlign w:val="center"/>
            <w:hideMark/>
          </w:tcPr>
          <w:p w14:paraId="3BE31E54"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191</w:t>
            </w:r>
          </w:p>
        </w:tc>
      </w:tr>
      <w:tr w:rsidR="00CF6A73" w:rsidRPr="00AC29D6" w14:paraId="59631EEA" w14:textId="77777777" w:rsidTr="00BE7C50">
        <w:trPr>
          <w:trHeight w:val="290"/>
          <w:jc w:val="center"/>
        </w:trPr>
        <w:tc>
          <w:tcPr>
            <w:tcW w:w="6521" w:type="dxa"/>
            <w:tcBorders>
              <w:top w:val="nil"/>
              <w:left w:val="single" w:sz="4" w:space="0" w:color="000000"/>
              <w:bottom w:val="single" w:sz="4" w:space="0" w:color="000000"/>
              <w:right w:val="single" w:sz="4" w:space="0" w:color="000000"/>
            </w:tcBorders>
            <w:vAlign w:val="center"/>
            <w:hideMark/>
          </w:tcPr>
          <w:p w14:paraId="4E317593"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Secretaría Técnica de Ética y Valores</w:t>
            </w:r>
          </w:p>
        </w:tc>
        <w:tc>
          <w:tcPr>
            <w:tcW w:w="2268" w:type="dxa"/>
            <w:tcBorders>
              <w:top w:val="nil"/>
              <w:left w:val="nil"/>
              <w:bottom w:val="single" w:sz="4" w:space="0" w:color="auto"/>
              <w:right w:val="single" w:sz="4" w:space="0" w:color="auto"/>
            </w:tcBorders>
            <w:vAlign w:val="center"/>
            <w:hideMark/>
          </w:tcPr>
          <w:p w14:paraId="5A786FBA"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6</w:t>
            </w:r>
          </w:p>
        </w:tc>
      </w:tr>
      <w:tr w:rsidR="00CF6A73" w:rsidRPr="00AC29D6" w14:paraId="4BFAE3BC" w14:textId="77777777" w:rsidTr="00BE7C50">
        <w:trPr>
          <w:trHeight w:val="290"/>
          <w:jc w:val="center"/>
        </w:trPr>
        <w:tc>
          <w:tcPr>
            <w:tcW w:w="6521" w:type="dxa"/>
            <w:tcBorders>
              <w:top w:val="nil"/>
              <w:left w:val="single" w:sz="4" w:space="0" w:color="000000"/>
              <w:bottom w:val="single" w:sz="4" w:space="0" w:color="000000"/>
              <w:right w:val="single" w:sz="4" w:space="0" w:color="000000"/>
            </w:tcBorders>
            <w:vAlign w:val="center"/>
            <w:hideMark/>
          </w:tcPr>
          <w:p w14:paraId="4AA5E9DF"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Oficina de Justicia Restaurativa</w:t>
            </w:r>
          </w:p>
        </w:tc>
        <w:tc>
          <w:tcPr>
            <w:tcW w:w="2268" w:type="dxa"/>
            <w:tcBorders>
              <w:top w:val="nil"/>
              <w:left w:val="nil"/>
              <w:bottom w:val="single" w:sz="4" w:space="0" w:color="auto"/>
              <w:right w:val="single" w:sz="4" w:space="0" w:color="auto"/>
            </w:tcBorders>
            <w:vAlign w:val="center"/>
            <w:hideMark/>
          </w:tcPr>
          <w:p w14:paraId="5A09FB4F"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5</w:t>
            </w:r>
          </w:p>
        </w:tc>
      </w:tr>
      <w:tr w:rsidR="00CF6A73" w:rsidRPr="00AC29D6" w14:paraId="4026F4BA" w14:textId="77777777" w:rsidTr="00BE7C50">
        <w:trPr>
          <w:trHeight w:val="420"/>
          <w:jc w:val="center"/>
        </w:trPr>
        <w:tc>
          <w:tcPr>
            <w:tcW w:w="6521" w:type="dxa"/>
            <w:tcBorders>
              <w:top w:val="nil"/>
              <w:left w:val="single" w:sz="4" w:space="0" w:color="auto"/>
              <w:bottom w:val="single" w:sz="4" w:space="0" w:color="auto"/>
              <w:right w:val="single" w:sz="4" w:space="0" w:color="auto"/>
            </w:tcBorders>
            <w:vAlign w:val="center"/>
            <w:hideMark/>
          </w:tcPr>
          <w:p w14:paraId="72FF7B8F"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Comisión de Acceso a la Justicia y Subcomisión de Personas con discapacidad</w:t>
            </w:r>
          </w:p>
        </w:tc>
        <w:tc>
          <w:tcPr>
            <w:tcW w:w="2268" w:type="dxa"/>
            <w:tcBorders>
              <w:top w:val="nil"/>
              <w:left w:val="nil"/>
              <w:bottom w:val="single" w:sz="4" w:space="0" w:color="auto"/>
              <w:right w:val="single" w:sz="4" w:space="0" w:color="auto"/>
            </w:tcBorders>
            <w:vAlign w:val="center"/>
            <w:hideMark/>
          </w:tcPr>
          <w:p w14:paraId="4E341C1A"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2</w:t>
            </w:r>
          </w:p>
        </w:tc>
      </w:tr>
      <w:tr w:rsidR="00CF6A73" w:rsidRPr="00AC29D6" w14:paraId="777B5592" w14:textId="77777777" w:rsidTr="00BE7C50">
        <w:trPr>
          <w:trHeight w:val="290"/>
          <w:jc w:val="center"/>
        </w:trPr>
        <w:tc>
          <w:tcPr>
            <w:tcW w:w="6521" w:type="dxa"/>
            <w:tcBorders>
              <w:top w:val="nil"/>
              <w:left w:val="single" w:sz="4" w:space="0" w:color="000000"/>
              <w:bottom w:val="single" w:sz="4" w:space="0" w:color="000000"/>
              <w:right w:val="single" w:sz="4" w:space="0" w:color="000000"/>
            </w:tcBorders>
            <w:vAlign w:val="center"/>
            <w:hideMark/>
          </w:tcPr>
          <w:p w14:paraId="318750E6"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Comisión de Acceso a la Justicia</w:t>
            </w:r>
          </w:p>
        </w:tc>
        <w:tc>
          <w:tcPr>
            <w:tcW w:w="2268" w:type="dxa"/>
            <w:tcBorders>
              <w:top w:val="nil"/>
              <w:left w:val="nil"/>
              <w:bottom w:val="single" w:sz="4" w:space="0" w:color="auto"/>
              <w:right w:val="single" w:sz="4" w:space="0" w:color="auto"/>
            </w:tcBorders>
            <w:vAlign w:val="center"/>
            <w:hideMark/>
          </w:tcPr>
          <w:p w14:paraId="2F374C6A"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1</w:t>
            </w:r>
          </w:p>
        </w:tc>
      </w:tr>
      <w:tr w:rsidR="00CF6A73" w:rsidRPr="00AC29D6" w14:paraId="0BF1C5B6" w14:textId="77777777" w:rsidTr="00BE7C50">
        <w:trPr>
          <w:trHeight w:val="420"/>
          <w:jc w:val="center"/>
        </w:trPr>
        <w:tc>
          <w:tcPr>
            <w:tcW w:w="6521" w:type="dxa"/>
            <w:tcBorders>
              <w:top w:val="nil"/>
              <w:left w:val="single" w:sz="4" w:space="0" w:color="auto"/>
              <w:bottom w:val="single" w:sz="4" w:space="0" w:color="auto"/>
              <w:right w:val="single" w:sz="4" w:space="0" w:color="auto"/>
            </w:tcBorders>
            <w:noWrap/>
            <w:vAlign w:val="center"/>
            <w:hideMark/>
          </w:tcPr>
          <w:p w14:paraId="518EC4CA"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Comisión de Acceso a la Justicia y la Subcomisión Niños, Niñas y Adolescentes</w:t>
            </w:r>
          </w:p>
        </w:tc>
        <w:tc>
          <w:tcPr>
            <w:tcW w:w="2268" w:type="dxa"/>
            <w:tcBorders>
              <w:top w:val="nil"/>
              <w:left w:val="nil"/>
              <w:bottom w:val="single" w:sz="4" w:space="0" w:color="auto"/>
              <w:right w:val="single" w:sz="4" w:space="0" w:color="auto"/>
            </w:tcBorders>
            <w:vAlign w:val="center"/>
            <w:hideMark/>
          </w:tcPr>
          <w:p w14:paraId="6D2051DF"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1</w:t>
            </w:r>
          </w:p>
        </w:tc>
      </w:tr>
      <w:tr w:rsidR="00CF6A73" w:rsidRPr="00AC29D6" w14:paraId="1D850A98" w14:textId="77777777" w:rsidTr="00BE7C50">
        <w:trPr>
          <w:trHeight w:val="290"/>
          <w:jc w:val="center"/>
        </w:trPr>
        <w:tc>
          <w:tcPr>
            <w:tcW w:w="6521" w:type="dxa"/>
            <w:tcBorders>
              <w:top w:val="nil"/>
              <w:left w:val="single" w:sz="4" w:space="0" w:color="auto"/>
              <w:bottom w:val="single" w:sz="4" w:space="0" w:color="auto"/>
              <w:right w:val="single" w:sz="4" w:space="0" w:color="auto"/>
            </w:tcBorders>
            <w:vAlign w:val="center"/>
            <w:hideMark/>
          </w:tcPr>
          <w:p w14:paraId="553A8798"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Comisión de Acceso a la Justicia y Subcomisión de Penal Juvenil</w:t>
            </w:r>
          </w:p>
        </w:tc>
        <w:tc>
          <w:tcPr>
            <w:tcW w:w="2268" w:type="dxa"/>
            <w:tcBorders>
              <w:top w:val="nil"/>
              <w:left w:val="nil"/>
              <w:bottom w:val="single" w:sz="4" w:space="0" w:color="auto"/>
              <w:right w:val="single" w:sz="4" w:space="0" w:color="auto"/>
            </w:tcBorders>
            <w:vAlign w:val="center"/>
            <w:hideMark/>
          </w:tcPr>
          <w:p w14:paraId="4170C010"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1</w:t>
            </w:r>
          </w:p>
        </w:tc>
      </w:tr>
      <w:tr w:rsidR="00CF6A73" w:rsidRPr="00AC29D6" w14:paraId="3DAB6F77" w14:textId="77777777" w:rsidTr="00BE7C50">
        <w:trPr>
          <w:trHeight w:val="420"/>
          <w:jc w:val="center"/>
        </w:trPr>
        <w:tc>
          <w:tcPr>
            <w:tcW w:w="6521" w:type="dxa"/>
            <w:tcBorders>
              <w:top w:val="nil"/>
              <w:left w:val="single" w:sz="4" w:space="0" w:color="auto"/>
              <w:bottom w:val="single" w:sz="4" w:space="0" w:color="auto"/>
              <w:right w:val="single" w:sz="4" w:space="0" w:color="auto"/>
            </w:tcBorders>
            <w:vAlign w:val="center"/>
            <w:hideMark/>
          </w:tcPr>
          <w:p w14:paraId="13F42876"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Comisión de Acceso a la Justicia y Subcomisión de Personas Adultas mayores y Personas con discapacidad</w:t>
            </w:r>
          </w:p>
        </w:tc>
        <w:tc>
          <w:tcPr>
            <w:tcW w:w="2268" w:type="dxa"/>
            <w:tcBorders>
              <w:top w:val="nil"/>
              <w:left w:val="nil"/>
              <w:bottom w:val="single" w:sz="4" w:space="0" w:color="auto"/>
              <w:right w:val="single" w:sz="4" w:space="0" w:color="auto"/>
            </w:tcBorders>
            <w:vAlign w:val="center"/>
            <w:hideMark/>
          </w:tcPr>
          <w:p w14:paraId="18C0F609"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1</w:t>
            </w:r>
          </w:p>
        </w:tc>
      </w:tr>
      <w:tr w:rsidR="00CF6A73" w:rsidRPr="00AC29D6" w14:paraId="3520461B" w14:textId="77777777" w:rsidTr="00BE7C50">
        <w:trPr>
          <w:trHeight w:val="420"/>
          <w:jc w:val="center"/>
        </w:trPr>
        <w:tc>
          <w:tcPr>
            <w:tcW w:w="6521" w:type="dxa"/>
            <w:tcBorders>
              <w:top w:val="nil"/>
              <w:left w:val="single" w:sz="4" w:space="0" w:color="auto"/>
              <w:bottom w:val="single" w:sz="4" w:space="0" w:color="auto"/>
              <w:right w:val="single" w:sz="4" w:space="0" w:color="auto"/>
            </w:tcBorders>
            <w:noWrap/>
            <w:vAlign w:val="center"/>
            <w:hideMark/>
          </w:tcPr>
          <w:p w14:paraId="74E00AE8"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Comisión Nacional para el Mejoramiento de la Administración de Justicia y la Subcomisión de personas migrantes y refugiadas</w:t>
            </w:r>
          </w:p>
        </w:tc>
        <w:tc>
          <w:tcPr>
            <w:tcW w:w="2268" w:type="dxa"/>
            <w:tcBorders>
              <w:top w:val="nil"/>
              <w:left w:val="nil"/>
              <w:bottom w:val="single" w:sz="4" w:space="0" w:color="auto"/>
              <w:right w:val="single" w:sz="4" w:space="0" w:color="auto"/>
            </w:tcBorders>
            <w:vAlign w:val="center"/>
            <w:hideMark/>
          </w:tcPr>
          <w:p w14:paraId="520F6EF3"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1</w:t>
            </w:r>
          </w:p>
        </w:tc>
      </w:tr>
      <w:tr w:rsidR="00CF6A73" w:rsidRPr="00AC29D6" w14:paraId="6BA1EEA0" w14:textId="77777777" w:rsidTr="00BE7C50">
        <w:trPr>
          <w:trHeight w:val="290"/>
          <w:jc w:val="center"/>
        </w:trPr>
        <w:tc>
          <w:tcPr>
            <w:tcW w:w="6521" w:type="dxa"/>
            <w:tcBorders>
              <w:top w:val="nil"/>
              <w:left w:val="single" w:sz="4" w:space="0" w:color="auto"/>
              <w:bottom w:val="single" w:sz="4" w:space="0" w:color="auto"/>
              <w:right w:val="single" w:sz="4" w:space="0" w:color="auto"/>
            </w:tcBorders>
            <w:vAlign w:val="center"/>
            <w:hideMark/>
          </w:tcPr>
          <w:p w14:paraId="322E4DE1"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Comisión para el Mejoramiento de la Administración de Justicia</w:t>
            </w:r>
          </w:p>
        </w:tc>
        <w:tc>
          <w:tcPr>
            <w:tcW w:w="2268" w:type="dxa"/>
            <w:tcBorders>
              <w:top w:val="nil"/>
              <w:left w:val="nil"/>
              <w:bottom w:val="single" w:sz="4" w:space="0" w:color="auto"/>
              <w:right w:val="single" w:sz="4" w:space="0" w:color="auto"/>
            </w:tcBorders>
            <w:vAlign w:val="center"/>
            <w:hideMark/>
          </w:tcPr>
          <w:p w14:paraId="356E82F0"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1</w:t>
            </w:r>
          </w:p>
        </w:tc>
      </w:tr>
      <w:tr w:rsidR="00CF6A73" w:rsidRPr="00AC29D6" w14:paraId="11C20DC3" w14:textId="77777777" w:rsidTr="00BE7C50">
        <w:trPr>
          <w:trHeight w:val="290"/>
          <w:jc w:val="center"/>
        </w:trPr>
        <w:tc>
          <w:tcPr>
            <w:tcW w:w="6521" w:type="dxa"/>
            <w:tcBorders>
              <w:top w:val="nil"/>
              <w:left w:val="single" w:sz="4" w:space="0" w:color="000000"/>
              <w:bottom w:val="single" w:sz="4" w:space="0" w:color="000000"/>
              <w:right w:val="single" w:sz="4" w:space="0" w:color="000000"/>
            </w:tcBorders>
            <w:vAlign w:val="center"/>
            <w:hideMark/>
          </w:tcPr>
          <w:p w14:paraId="3E4C6E3B"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Unidad de Acceso a la Justicia</w:t>
            </w:r>
          </w:p>
        </w:tc>
        <w:tc>
          <w:tcPr>
            <w:tcW w:w="2268" w:type="dxa"/>
            <w:tcBorders>
              <w:top w:val="nil"/>
              <w:left w:val="nil"/>
              <w:bottom w:val="single" w:sz="4" w:space="0" w:color="auto"/>
              <w:right w:val="single" w:sz="4" w:space="0" w:color="auto"/>
            </w:tcBorders>
            <w:vAlign w:val="center"/>
            <w:hideMark/>
          </w:tcPr>
          <w:p w14:paraId="152D9BE3" w14:textId="77777777" w:rsidR="00CF6A73" w:rsidRPr="00AC29D6" w:rsidRDefault="00CF6A73" w:rsidP="00AC29D6">
            <w:pPr>
              <w:widowControl w:val="0"/>
              <w:jc w:val="center"/>
              <w:rPr>
                <w:sz w:val="23"/>
                <w:szCs w:val="23"/>
                <w:lang w:val="es-ES_tradnl" w:eastAsia="es-CR"/>
              </w:rPr>
            </w:pPr>
            <w:r w:rsidRPr="00AC29D6">
              <w:rPr>
                <w:sz w:val="23"/>
                <w:szCs w:val="23"/>
                <w:lang w:val="es-ES_tradnl" w:eastAsia="es-CR"/>
              </w:rPr>
              <w:t>1</w:t>
            </w:r>
          </w:p>
        </w:tc>
        <w:bookmarkEnd w:id="3"/>
      </w:tr>
      <w:tr w:rsidR="00CF6A73" w:rsidRPr="00AC29D6" w14:paraId="752728C2" w14:textId="77777777" w:rsidTr="00BE7C50">
        <w:trPr>
          <w:trHeight w:val="290"/>
          <w:jc w:val="center"/>
        </w:trPr>
        <w:tc>
          <w:tcPr>
            <w:tcW w:w="6521" w:type="dxa"/>
            <w:tcBorders>
              <w:top w:val="nil"/>
              <w:left w:val="single" w:sz="4" w:space="0" w:color="auto"/>
              <w:bottom w:val="single" w:sz="4" w:space="0" w:color="auto"/>
              <w:right w:val="single" w:sz="4" w:space="0" w:color="auto"/>
            </w:tcBorders>
            <w:vAlign w:val="center"/>
            <w:hideMark/>
          </w:tcPr>
          <w:p w14:paraId="5C96B174" w14:textId="77777777" w:rsidR="00CF6A73" w:rsidRPr="00AC29D6" w:rsidRDefault="00CF6A73" w:rsidP="00AC29D6">
            <w:pPr>
              <w:widowControl w:val="0"/>
              <w:jc w:val="center"/>
              <w:rPr>
                <w:b/>
                <w:bCs/>
                <w:sz w:val="23"/>
                <w:szCs w:val="23"/>
                <w:lang w:val="es-ES_tradnl" w:eastAsia="es-CR"/>
              </w:rPr>
            </w:pPr>
            <w:r w:rsidRPr="00AC29D6">
              <w:rPr>
                <w:b/>
                <w:bCs/>
                <w:sz w:val="23"/>
                <w:szCs w:val="23"/>
                <w:lang w:val="es-ES_tradnl" w:eastAsia="es-CR"/>
              </w:rPr>
              <w:t>TOTAL</w:t>
            </w:r>
          </w:p>
        </w:tc>
        <w:tc>
          <w:tcPr>
            <w:tcW w:w="2268" w:type="dxa"/>
            <w:tcBorders>
              <w:top w:val="nil"/>
              <w:left w:val="nil"/>
              <w:bottom w:val="single" w:sz="4" w:space="0" w:color="auto"/>
              <w:right w:val="single" w:sz="4" w:space="0" w:color="auto"/>
            </w:tcBorders>
            <w:noWrap/>
            <w:vAlign w:val="bottom"/>
            <w:hideMark/>
          </w:tcPr>
          <w:p w14:paraId="1C229126" w14:textId="77777777" w:rsidR="00CF6A73" w:rsidRPr="00AC29D6" w:rsidRDefault="00CF6A73" w:rsidP="00AC29D6">
            <w:pPr>
              <w:widowControl w:val="0"/>
              <w:jc w:val="center"/>
              <w:rPr>
                <w:b/>
                <w:bCs/>
                <w:sz w:val="23"/>
                <w:szCs w:val="23"/>
                <w:lang w:val="es-ES_tradnl" w:eastAsia="es-CR"/>
              </w:rPr>
            </w:pPr>
            <w:r w:rsidRPr="00AC29D6">
              <w:rPr>
                <w:b/>
                <w:bCs/>
                <w:sz w:val="23"/>
                <w:szCs w:val="23"/>
                <w:lang w:val="es-ES_tradnl" w:eastAsia="es-CR"/>
              </w:rPr>
              <w:t>529</w:t>
            </w:r>
          </w:p>
        </w:tc>
      </w:tr>
    </w:tbl>
    <w:p w14:paraId="7A537F07" w14:textId="77777777" w:rsidR="00CF6A73" w:rsidRPr="00AC29D6" w:rsidRDefault="00CF6A73" w:rsidP="00AC29D6">
      <w:pPr>
        <w:widowControl w:val="0"/>
        <w:rPr>
          <w:sz w:val="23"/>
          <w:szCs w:val="23"/>
          <w:lang w:val="es-ES_tradnl"/>
        </w:rPr>
      </w:pPr>
      <w:r w:rsidRPr="00AC29D6">
        <w:rPr>
          <w:b/>
          <w:bCs/>
          <w:sz w:val="23"/>
          <w:szCs w:val="23"/>
          <w:lang w:val="es-ES_tradnl"/>
        </w:rPr>
        <w:t xml:space="preserve">FUENTE: </w:t>
      </w:r>
      <w:r w:rsidRPr="00AC29D6">
        <w:rPr>
          <w:sz w:val="23"/>
          <w:szCs w:val="23"/>
          <w:lang w:val="es-ES_tradnl"/>
        </w:rPr>
        <w:t>Elaboración propia a partir de la información recolectada del Sistema PEI, 31 octubre de 2021.</w:t>
      </w:r>
    </w:p>
    <w:p w14:paraId="703D26C0" w14:textId="77777777" w:rsidR="00CF6A73" w:rsidRPr="00AC29D6" w:rsidRDefault="00CF6A73" w:rsidP="00AC29D6">
      <w:pPr>
        <w:widowControl w:val="0"/>
        <w:rPr>
          <w:sz w:val="23"/>
          <w:szCs w:val="23"/>
          <w:lang w:val="es-ES_tradnl"/>
        </w:rPr>
      </w:pPr>
    </w:p>
    <w:p w14:paraId="750493A6" w14:textId="11CF0676" w:rsidR="00CF6A73" w:rsidRPr="00AC29D6" w:rsidRDefault="00CF6A73" w:rsidP="00AC29D6">
      <w:pPr>
        <w:widowControl w:val="0"/>
        <w:numPr>
          <w:ilvl w:val="0"/>
          <w:numId w:val="127"/>
        </w:numPr>
        <w:ind w:left="851" w:right="851" w:firstLine="357"/>
        <w:contextualSpacing/>
        <w:jc w:val="both"/>
        <w:rPr>
          <w:sz w:val="23"/>
          <w:szCs w:val="23"/>
        </w:rPr>
      </w:pPr>
      <w:r w:rsidRPr="00AC29D6">
        <w:rPr>
          <w:sz w:val="23"/>
          <w:szCs w:val="23"/>
        </w:rPr>
        <w:t xml:space="preserve"> Se les recomienda a los responsables estratégicos, utilizar la </w:t>
      </w:r>
      <w:r w:rsidRPr="00AC29D6">
        <w:rPr>
          <w:sz w:val="23"/>
          <w:szCs w:val="23"/>
          <w:lang w:eastAsia="es-CR"/>
        </w:rPr>
        <w:t>plantilla sobre la metodología para la evaluación de las Políticas Institucionales del Poder Judicial que se realizará en el primer</w:t>
      </w:r>
      <w:r w:rsidRPr="00AC29D6">
        <w:rPr>
          <w:sz w:val="23"/>
          <w:szCs w:val="23"/>
          <w:u w:val="single"/>
          <w:lang w:eastAsia="es-CR"/>
        </w:rPr>
        <w:t xml:space="preserve"> semestre </w:t>
      </w:r>
      <w:r w:rsidRPr="00AC29D6">
        <w:rPr>
          <w:sz w:val="23"/>
          <w:szCs w:val="23"/>
          <w:lang w:eastAsia="es-CR"/>
        </w:rPr>
        <w:t>del 2022, el cual se encuentra en el apartado 14 del presente informe denominado “Plan de Acción”.</w:t>
      </w:r>
    </w:p>
    <w:p w14:paraId="4E378C85" w14:textId="77777777" w:rsidR="00CF6A73" w:rsidRPr="00AC29D6" w:rsidRDefault="00CF6A73" w:rsidP="00AC29D6">
      <w:pPr>
        <w:widowControl w:val="0"/>
        <w:ind w:left="1208" w:right="851"/>
        <w:contextualSpacing/>
        <w:jc w:val="both"/>
        <w:rPr>
          <w:sz w:val="23"/>
          <w:szCs w:val="23"/>
        </w:rPr>
      </w:pPr>
    </w:p>
    <w:p w14:paraId="4BA149E8" w14:textId="77777777" w:rsidR="00CF6A73" w:rsidRPr="00AC29D6" w:rsidRDefault="00CF6A73" w:rsidP="00AC29D6">
      <w:pPr>
        <w:widowControl w:val="0"/>
        <w:numPr>
          <w:ilvl w:val="0"/>
          <w:numId w:val="127"/>
        </w:numPr>
        <w:ind w:left="851" w:right="851" w:firstLine="357"/>
        <w:contextualSpacing/>
        <w:jc w:val="both"/>
        <w:rPr>
          <w:sz w:val="23"/>
          <w:szCs w:val="23"/>
          <w:lang w:eastAsia="es-CR"/>
        </w:rPr>
      </w:pPr>
      <w:r w:rsidRPr="00AC29D6">
        <w:rPr>
          <w:sz w:val="23"/>
          <w:szCs w:val="23"/>
          <w:lang w:eastAsia="es-CR"/>
        </w:rPr>
        <w:t xml:space="preserve">Reconocer el avance de todos los responsables de las Políticas Institucionales, ya que han adaptado porco a poco las diferentes metodologías de trabajo, de tal forma que </w:t>
      </w:r>
      <w:proofErr w:type="gramStart"/>
      <w:r w:rsidRPr="00AC29D6">
        <w:rPr>
          <w:sz w:val="23"/>
          <w:szCs w:val="23"/>
          <w:lang w:eastAsia="es-CR"/>
        </w:rPr>
        <w:t>al día de hoy</w:t>
      </w:r>
      <w:proofErr w:type="gramEnd"/>
      <w:r w:rsidRPr="00AC29D6">
        <w:rPr>
          <w:sz w:val="23"/>
          <w:szCs w:val="23"/>
          <w:lang w:eastAsia="es-CR"/>
        </w:rPr>
        <w:t xml:space="preserve"> es posible presentar el resultado satisfactorio del seguimiento realizado.</w:t>
      </w:r>
    </w:p>
    <w:p w14:paraId="059D13D7" w14:textId="77777777" w:rsidR="00CF6A73" w:rsidRPr="00AC29D6" w:rsidRDefault="00CF6A73" w:rsidP="00AC29D6">
      <w:pPr>
        <w:widowControl w:val="0"/>
        <w:rPr>
          <w:sz w:val="23"/>
          <w:szCs w:val="23"/>
          <w:lang w:val="es-ES_tradnl"/>
        </w:rPr>
      </w:pPr>
      <w:bookmarkStart w:id="4" w:name="_MON_1701090556"/>
      <w:bookmarkEnd w:id="4"/>
    </w:p>
    <w:p w14:paraId="760EC850" w14:textId="77777777" w:rsidR="00CF6A73" w:rsidRPr="00AC29D6" w:rsidRDefault="00CF6A73" w:rsidP="00AC29D6">
      <w:pPr>
        <w:ind w:left="851" w:right="851" w:firstLine="709"/>
        <w:rPr>
          <w:b/>
          <w:bCs/>
          <w:sz w:val="23"/>
          <w:szCs w:val="23"/>
          <w:u w:val="single"/>
          <w:lang w:val="es-ES_tradnl"/>
        </w:rPr>
      </w:pPr>
      <w:bookmarkStart w:id="5" w:name="_Toc90563637"/>
      <w:r w:rsidRPr="00AC29D6">
        <w:rPr>
          <w:b/>
          <w:bCs/>
          <w:sz w:val="23"/>
          <w:szCs w:val="23"/>
          <w:u w:val="single"/>
          <w:lang w:val="es-ES_tradnl"/>
        </w:rPr>
        <w:t>Anexos</w:t>
      </w:r>
      <w:bookmarkEnd w:id="5"/>
    </w:p>
    <w:p w14:paraId="3027A185" w14:textId="77777777" w:rsidR="00CF6A73" w:rsidRPr="00AC29D6" w:rsidRDefault="00CF6A73" w:rsidP="00AC29D6">
      <w:pPr>
        <w:widowControl w:val="0"/>
        <w:rPr>
          <w:sz w:val="23"/>
          <w:szCs w:val="23"/>
          <w:lang w:eastAsia="ja-JP"/>
        </w:rPr>
      </w:pPr>
    </w:p>
    <w:tbl>
      <w:tblPr>
        <w:tblW w:w="7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99"/>
        <w:gridCol w:w="2410"/>
      </w:tblGrid>
      <w:tr w:rsidR="00CF6A73" w:rsidRPr="00AC29D6" w14:paraId="707B55AE" w14:textId="77777777" w:rsidTr="00BE7C50">
        <w:trPr>
          <w:trHeight w:val="288"/>
          <w:jc w:val="center"/>
        </w:trPr>
        <w:tc>
          <w:tcPr>
            <w:tcW w:w="5399"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14:paraId="7B6C39EA" w14:textId="77777777" w:rsidR="00CF6A73" w:rsidRPr="00AC29D6" w:rsidRDefault="00CF6A73" w:rsidP="00AC29D6">
            <w:pPr>
              <w:widowControl w:val="0"/>
              <w:jc w:val="center"/>
              <w:rPr>
                <w:b/>
                <w:bCs/>
                <w:sz w:val="23"/>
                <w:szCs w:val="23"/>
              </w:rPr>
            </w:pPr>
            <w:r w:rsidRPr="00AC29D6">
              <w:rPr>
                <w:b/>
                <w:bCs/>
                <w:sz w:val="23"/>
                <w:szCs w:val="23"/>
              </w:rPr>
              <w:t>Documento</w:t>
            </w:r>
          </w:p>
        </w:tc>
        <w:tc>
          <w:tcPr>
            <w:tcW w:w="2410"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14:paraId="01F6B49B" w14:textId="77777777" w:rsidR="00CF6A73" w:rsidRPr="00AC29D6" w:rsidRDefault="00CF6A73" w:rsidP="00AC29D6">
            <w:pPr>
              <w:widowControl w:val="0"/>
              <w:jc w:val="center"/>
              <w:rPr>
                <w:b/>
                <w:bCs/>
                <w:sz w:val="23"/>
                <w:szCs w:val="23"/>
              </w:rPr>
            </w:pPr>
            <w:r w:rsidRPr="00AC29D6">
              <w:rPr>
                <w:b/>
                <w:bCs/>
                <w:sz w:val="23"/>
                <w:szCs w:val="23"/>
              </w:rPr>
              <w:t>Anexo</w:t>
            </w:r>
          </w:p>
        </w:tc>
      </w:tr>
      <w:tr w:rsidR="00CF6A73" w:rsidRPr="00AC29D6" w14:paraId="0DED1850" w14:textId="77777777" w:rsidTr="00BE7C50">
        <w:trPr>
          <w:trHeight w:val="1456"/>
          <w:jc w:val="center"/>
        </w:trPr>
        <w:tc>
          <w:tcPr>
            <w:tcW w:w="5399" w:type="dxa"/>
            <w:tcBorders>
              <w:top w:val="single" w:sz="4" w:space="0" w:color="auto"/>
              <w:left w:val="single" w:sz="4" w:space="0" w:color="auto"/>
              <w:bottom w:val="single" w:sz="4" w:space="0" w:color="auto"/>
              <w:right w:val="single" w:sz="4" w:space="0" w:color="auto"/>
            </w:tcBorders>
            <w:vAlign w:val="center"/>
            <w:hideMark/>
          </w:tcPr>
          <w:p w14:paraId="4692D6F8" w14:textId="77777777" w:rsidR="00CF6A73" w:rsidRPr="00AC29D6" w:rsidRDefault="00CF6A73" w:rsidP="00AC29D6">
            <w:pPr>
              <w:widowControl w:val="0"/>
              <w:jc w:val="center"/>
              <w:rPr>
                <w:bCs/>
                <w:sz w:val="23"/>
                <w:szCs w:val="23"/>
                <w:lang w:val="es-ES_tradnl"/>
              </w:rPr>
            </w:pPr>
            <w:r w:rsidRPr="00AC29D6">
              <w:rPr>
                <w:sz w:val="23"/>
                <w:szCs w:val="23"/>
                <w:lang w:val="es-ES_tradnl"/>
              </w:rPr>
              <w:lastRenderedPageBreak/>
              <w:t>Política Institucional “Reglas Prácticas para facilitar el acceso a la justicia de las Poblaciones Indígenas”</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0A4DC216" w14:textId="77777777" w:rsidR="00CF6A73" w:rsidRPr="00AC29D6" w:rsidRDefault="00CF6A73" w:rsidP="00AC29D6">
            <w:pPr>
              <w:widowControl w:val="0"/>
              <w:jc w:val="center"/>
              <w:rPr>
                <w:sz w:val="23"/>
                <w:szCs w:val="23"/>
              </w:rPr>
            </w:pPr>
            <w:r w:rsidRPr="00AC29D6">
              <w:rPr>
                <w:sz w:val="23"/>
                <w:szCs w:val="23"/>
              </w:rPr>
              <w:t xml:space="preserve">Anexo </w:t>
            </w:r>
            <w:proofErr w:type="spellStart"/>
            <w:r w:rsidRPr="00AC29D6">
              <w:rPr>
                <w:sz w:val="23"/>
                <w:szCs w:val="23"/>
              </w:rPr>
              <w:t>N°</w:t>
            </w:r>
            <w:proofErr w:type="spellEnd"/>
            <w:r w:rsidRPr="00AC29D6">
              <w:rPr>
                <w:sz w:val="23"/>
                <w:szCs w:val="23"/>
              </w:rPr>
              <w:t xml:space="preserve"> 1</w:t>
            </w:r>
          </w:p>
          <w:p w14:paraId="641B7F3C" w14:textId="77777777" w:rsidR="00CF6A73" w:rsidRPr="00AC29D6" w:rsidRDefault="00CF6A73" w:rsidP="00AC29D6">
            <w:pPr>
              <w:widowControl w:val="0"/>
              <w:jc w:val="center"/>
              <w:rPr>
                <w:sz w:val="23"/>
                <w:szCs w:val="23"/>
              </w:rPr>
            </w:pPr>
            <w:r w:rsidRPr="00AC29D6">
              <w:rPr>
                <w:sz w:val="23"/>
                <w:szCs w:val="23"/>
              </w:rPr>
              <w:t>(…)</w:t>
            </w:r>
          </w:p>
        </w:tc>
      </w:tr>
      <w:tr w:rsidR="00CF6A73" w:rsidRPr="00AC29D6" w14:paraId="05C930DD" w14:textId="77777777" w:rsidTr="00BE7C50">
        <w:trPr>
          <w:trHeight w:val="1566"/>
          <w:jc w:val="center"/>
        </w:trPr>
        <w:tc>
          <w:tcPr>
            <w:tcW w:w="5399" w:type="dxa"/>
            <w:tcBorders>
              <w:top w:val="single" w:sz="4" w:space="0" w:color="auto"/>
              <w:left w:val="single" w:sz="4" w:space="0" w:color="auto"/>
              <w:bottom w:val="single" w:sz="4" w:space="0" w:color="auto"/>
              <w:right w:val="single" w:sz="4" w:space="0" w:color="auto"/>
            </w:tcBorders>
            <w:vAlign w:val="center"/>
            <w:hideMark/>
          </w:tcPr>
          <w:p w14:paraId="5BCA5DAC" w14:textId="77777777" w:rsidR="00CF6A73" w:rsidRPr="00AC29D6" w:rsidRDefault="00CF6A73" w:rsidP="00AC29D6">
            <w:pPr>
              <w:widowControl w:val="0"/>
              <w:jc w:val="center"/>
              <w:rPr>
                <w:bCs/>
                <w:sz w:val="23"/>
                <w:szCs w:val="23"/>
                <w:lang w:val="es-ES_tradnl"/>
              </w:rPr>
            </w:pPr>
            <w:r w:rsidRPr="00AC29D6">
              <w:rPr>
                <w:sz w:val="23"/>
                <w:szCs w:val="23"/>
                <w:lang w:val="es-ES_tradnl"/>
              </w:rPr>
              <w:t>Política Institucional para el acceso a la justicia por parte de la población migrante y refugiada</w:t>
            </w:r>
          </w:p>
        </w:tc>
        <w:tc>
          <w:tcPr>
            <w:tcW w:w="2410" w:type="dxa"/>
            <w:tcBorders>
              <w:top w:val="single" w:sz="4" w:space="0" w:color="auto"/>
              <w:left w:val="single" w:sz="4" w:space="0" w:color="auto"/>
              <w:bottom w:val="single" w:sz="4" w:space="0" w:color="auto"/>
              <w:right w:val="single" w:sz="4" w:space="0" w:color="auto"/>
            </w:tcBorders>
            <w:noWrap/>
            <w:vAlign w:val="center"/>
          </w:tcPr>
          <w:p w14:paraId="7D787A8E" w14:textId="77777777" w:rsidR="00CF6A73" w:rsidRPr="00AC29D6" w:rsidRDefault="00CF6A73" w:rsidP="00AC29D6">
            <w:pPr>
              <w:widowControl w:val="0"/>
              <w:jc w:val="center"/>
              <w:rPr>
                <w:sz w:val="23"/>
                <w:szCs w:val="23"/>
              </w:rPr>
            </w:pPr>
            <w:r w:rsidRPr="00AC29D6">
              <w:rPr>
                <w:sz w:val="23"/>
                <w:szCs w:val="23"/>
              </w:rPr>
              <w:t xml:space="preserve">Anexo </w:t>
            </w:r>
            <w:proofErr w:type="spellStart"/>
            <w:r w:rsidRPr="00AC29D6">
              <w:rPr>
                <w:sz w:val="23"/>
                <w:szCs w:val="23"/>
              </w:rPr>
              <w:t>N°</w:t>
            </w:r>
            <w:proofErr w:type="spellEnd"/>
            <w:r w:rsidRPr="00AC29D6">
              <w:rPr>
                <w:sz w:val="23"/>
                <w:szCs w:val="23"/>
              </w:rPr>
              <w:t xml:space="preserve"> 2</w:t>
            </w:r>
          </w:p>
          <w:p w14:paraId="12028915" w14:textId="77777777" w:rsidR="00CF6A73" w:rsidRPr="00AC29D6" w:rsidRDefault="00CF6A73" w:rsidP="00AC29D6">
            <w:pPr>
              <w:widowControl w:val="0"/>
              <w:jc w:val="center"/>
              <w:rPr>
                <w:sz w:val="23"/>
                <w:szCs w:val="23"/>
              </w:rPr>
            </w:pPr>
            <w:r w:rsidRPr="00AC29D6">
              <w:rPr>
                <w:sz w:val="23"/>
                <w:szCs w:val="23"/>
              </w:rPr>
              <w:t>(…)</w:t>
            </w:r>
          </w:p>
          <w:p w14:paraId="0651A8E6" w14:textId="77777777" w:rsidR="00CF6A73" w:rsidRPr="00AC29D6" w:rsidRDefault="00CF6A73" w:rsidP="00AC29D6">
            <w:pPr>
              <w:widowControl w:val="0"/>
              <w:jc w:val="center"/>
              <w:rPr>
                <w:sz w:val="23"/>
                <w:szCs w:val="23"/>
              </w:rPr>
            </w:pPr>
          </w:p>
        </w:tc>
      </w:tr>
      <w:tr w:rsidR="00CF6A73" w:rsidRPr="00AC29D6" w14:paraId="31E6CA88" w14:textId="77777777" w:rsidTr="00BE7C50">
        <w:trPr>
          <w:trHeight w:val="288"/>
          <w:jc w:val="center"/>
        </w:trPr>
        <w:tc>
          <w:tcPr>
            <w:tcW w:w="5399" w:type="dxa"/>
            <w:tcBorders>
              <w:top w:val="single" w:sz="4" w:space="0" w:color="auto"/>
              <w:left w:val="single" w:sz="4" w:space="0" w:color="auto"/>
              <w:bottom w:val="single" w:sz="4" w:space="0" w:color="auto"/>
              <w:right w:val="single" w:sz="4" w:space="0" w:color="auto"/>
            </w:tcBorders>
            <w:vAlign w:val="center"/>
            <w:hideMark/>
          </w:tcPr>
          <w:p w14:paraId="12642F55" w14:textId="77777777" w:rsidR="00CF6A73" w:rsidRPr="00AC29D6" w:rsidRDefault="00CF6A73" w:rsidP="00AC29D6">
            <w:pPr>
              <w:widowControl w:val="0"/>
              <w:jc w:val="center"/>
              <w:rPr>
                <w:bCs/>
                <w:sz w:val="23"/>
                <w:szCs w:val="23"/>
                <w:lang w:val="es-ES_tradnl"/>
              </w:rPr>
            </w:pPr>
            <w:r w:rsidRPr="00AC29D6">
              <w:rPr>
                <w:sz w:val="23"/>
                <w:szCs w:val="23"/>
              </w:rPr>
              <w:t>Políticas del derecho al acceso a la justicia para personas menores en condiciones de vulnerabilidad sometidos al proceso penal juvenil en Costa Rica</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28788754" w14:textId="77777777" w:rsidR="00CF6A73" w:rsidRPr="00AC29D6" w:rsidRDefault="00CF6A73" w:rsidP="00AC29D6">
            <w:pPr>
              <w:widowControl w:val="0"/>
              <w:jc w:val="center"/>
              <w:rPr>
                <w:sz w:val="23"/>
                <w:szCs w:val="23"/>
              </w:rPr>
            </w:pPr>
            <w:r w:rsidRPr="00AC29D6">
              <w:rPr>
                <w:sz w:val="23"/>
                <w:szCs w:val="23"/>
              </w:rPr>
              <w:t xml:space="preserve">Anexo </w:t>
            </w:r>
            <w:proofErr w:type="spellStart"/>
            <w:r w:rsidRPr="00AC29D6">
              <w:rPr>
                <w:sz w:val="23"/>
                <w:szCs w:val="23"/>
              </w:rPr>
              <w:t>N°</w:t>
            </w:r>
            <w:proofErr w:type="spellEnd"/>
            <w:r w:rsidRPr="00AC29D6">
              <w:rPr>
                <w:sz w:val="23"/>
                <w:szCs w:val="23"/>
              </w:rPr>
              <w:t xml:space="preserve"> 3</w:t>
            </w:r>
          </w:p>
          <w:p w14:paraId="32EC64E1" w14:textId="77777777" w:rsidR="00CF6A73" w:rsidRPr="00AC29D6" w:rsidRDefault="00CF6A73" w:rsidP="00AC29D6">
            <w:pPr>
              <w:widowControl w:val="0"/>
              <w:jc w:val="center"/>
              <w:rPr>
                <w:sz w:val="23"/>
                <w:szCs w:val="23"/>
              </w:rPr>
            </w:pPr>
            <w:r w:rsidRPr="00AC29D6">
              <w:rPr>
                <w:sz w:val="23"/>
                <w:szCs w:val="23"/>
              </w:rPr>
              <w:t>(…)</w:t>
            </w:r>
          </w:p>
        </w:tc>
      </w:tr>
      <w:tr w:rsidR="00CF6A73" w:rsidRPr="00AC29D6" w14:paraId="47E49451" w14:textId="77777777" w:rsidTr="00BE7C50">
        <w:trPr>
          <w:trHeight w:val="288"/>
          <w:jc w:val="center"/>
        </w:trPr>
        <w:tc>
          <w:tcPr>
            <w:tcW w:w="5399" w:type="dxa"/>
            <w:tcBorders>
              <w:top w:val="single" w:sz="4" w:space="0" w:color="auto"/>
              <w:left w:val="single" w:sz="4" w:space="0" w:color="auto"/>
              <w:bottom w:val="single" w:sz="4" w:space="0" w:color="auto"/>
              <w:right w:val="single" w:sz="4" w:space="0" w:color="auto"/>
            </w:tcBorders>
            <w:vAlign w:val="center"/>
            <w:hideMark/>
          </w:tcPr>
          <w:p w14:paraId="7DF47F1F" w14:textId="77777777" w:rsidR="00CF6A73" w:rsidRPr="00AC29D6" w:rsidRDefault="00CF6A73" w:rsidP="00AC29D6">
            <w:pPr>
              <w:widowControl w:val="0"/>
              <w:jc w:val="center"/>
              <w:rPr>
                <w:bCs/>
                <w:sz w:val="23"/>
                <w:szCs w:val="23"/>
                <w:lang w:val="es-ES_tradnl"/>
              </w:rPr>
            </w:pPr>
            <w:r w:rsidRPr="00AC29D6">
              <w:rPr>
                <w:sz w:val="23"/>
                <w:szCs w:val="23"/>
                <w:lang w:val="es-ES_tradnl"/>
              </w:rPr>
              <w:t>Política: Políticas para Garantizar el Adecuado Acceso a la Justicia de la Población Adulta Mayor y Personas con Discapacidad</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27BDBF8D" w14:textId="77777777" w:rsidR="00CF6A73" w:rsidRPr="00AC29D6" w:rsidRDefault="00CF6A73" w:rsidP="00AC29D6">
            <w:pPr>
              <w:widowControl w:val="0"/>
              <w:jc w:val="center"/>
              <w:rPr>
                <w:sz w:val="23"/>
                <w:szCs w:val="23"/>
              </w:rPr>
            </w:pPr>
            <w:r w:rsidRPr="00AC29D6">
              <w:rPr>
                <w:sz w:val="23"/>
                <w:szCs w:val="23"/>
              </w:rPr>
              <w:t xml:space="preserve">Anexo </w:t>
            </w:r>
            <w:proofErr w:type="spellStart"/>
            <w:r w:rsidRPr="00AC29D6">
              <w:rPr>
                <w:sz w:val="23"/>
                <w:szCs w:val="23"/>
              </w:rPr>
              <w:t>N°</w:t>
            </w:r>
            <w:proofErr w:type="spellEnd"/>
            <w:r w:rsidRPr="00AC29D6">
              <w:rPr>
                <w:sz w:val="23"/>
                <w:szCs w:val="23"/>
              </w:rPr>
              <w:t xml:space="preserve"> 4</w:t>
            </w:r>
          </w:p>
          <w:p w14:paraId="356A3E4B" w14:textId="77777777" w:rsidR="00CF6A73" w:rsidRPr="00AC29D6" w:rsidRDefault="00CF6A73" w:rsidP="00AC29D6">
            <w:pPr>
              <w:widowControl w:val="0"/>
              <w:jc w:val="center"/>
              <w:rPr>
                <w:sz w:val="23"/>
                <w:szCs w:val="23"/>
              </w:rPr>
            </w:pPr>
            <w:r w:rsidRPr="00AC29D6">
              <w:rPr>
                <w:sz w:val="23"/>
                <w:szCs w:val="23"/>
              </w:rPr>
              <w:t>(…)</w:t>
            </w:r>
          </w:p>
        </w:tc>
      </w:tr>
      <w:tr w:rsidR="00CF6A73" w:rsidRPr="00AC29D6" w14:paraId="0369F97E" w14:textId="77777777" w:rsidTr="00BE7C50">
        <w:trPr>
          <w:trHeight w:val="288"/>
          <w:jc w:val="center"/>
        </w:trPr>
        <w:tc>
          <w:tcPr>
            <w:tcW w:w="5399" w:type="dxa"/>
            <w:tcBorders>
              <w:top w:val="single" w:sz="4" w:space="0" w:color="auto"/>
              <w:left w:val="single" w:sz="4" w:space="0" w:color="auto"/>
              <w:bottom w:val="single" w:sz="4" w:space="0" w:color="auto"/>
              <w:right w:val="single" w:sz="4" w:space="0" w:color="auto"/>
            </w:tcBorders>
            <w:vAlign w:val="center"/>
            <w:hideMark/>
          </w:tcPr>
          <w:p w14:paraId="271AD5CC" w14:textId="77777777" w:rsidR="00CF6A73" w:rsidRPr="00AC29D6" w:rsidRDefault="00CF6A73" w:rsidP="00AC29D6">
            <w:pPr>
              <w:widowControl w:val="0"/>
              <w:jc w:val="center"/>
              <w:rPr>
                <w:bCs/>
                <w:sz w:val="23"/>
                <w:szCs w:val="23"/>
                <w:lang w:val="es-ES_tradnl"/>
              </w:rPr>
            </w:pPr>
            <w:r w:rsidRPr="00AC29D6">
              <w:rPr>
                <w:sz w:val="23"/>
                <w:szCs w:val="23"/>
                <w:lang w:val="es-ES_tradnl"/>
              </w:rPr>
              <w:t>Política: Reglas de Brasilia sobre acceso a la justicia de las personas en condición de vulnerabilidad</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4B88BBF0" w14:textId="77777777" w:rsidR="00CF6A73" w:rsidRPr="00AC29D6" w:rsidRDefault="00CF6A73" w:rsidP="00AC29D6">
            <w:pPr>
              <w:widowControl w:val="0"/>
              <w:jc w:val="center"/>
              <w:rPr>
                <w:sz w:val="23"/>
                <w:szCs w:val="23"/>
              </w:rPr>
            </w:pPr>
            <w:r w:rsidRPr="00AC29D6">
              <w:rPr>
                <w:sz w:val="23"/>
                <w:szCs w:val="23"/>
              </w:rPr>
              <w:t xml:space="preserve">Anexo </w:t>
            </w:r>
            <w:proofErr w:type="spellStart"/>
            <w:r w:rsidRPr="00AC29D6">
              <w:rPr>
                <w:sz w:val="23"/>
                <w:szCs w:val="23"/>
              </w:rPr>
              <w:t>N°</w:t>
            </w:r>
            <w:proofErr w:type="spellEnd"/>
            <w:r w:rsidRPr="00AC29D6">
              <w:rPr>
                <w:sz w:val="23"/>
                <w:szCs w:val="23"/>
              </w:rPr>
              <w:t xml:space="preserve"> 5</w:t>
            </w:r>
          </w:p>
          <w:p w14:paraId="579ED54E" w14:textId="77777777" w:rsidR="00CF6A73" w:rsidRPr="00AC29D6" w:rsidRDefault="00CF6A73" w:rsidP="00AC29D6">
            <w:pPr>
              <w:widowControl w:val="0"/>
              <w:jc w:val="center"/>
              <w:rPr>
                <w:sz w:val="23"/>
                <w:szCs w:val="23"/>
              </w:rPr>
            </w:pPr>
            <w:r w:rsidRPr="00AC29D6">
              <w:rPr>
                <w:sz w:val="23"/>
                <w:szCs w:val="23"/>
              </w:rPr>
              <w:t>(…)</w:t>
            </w:r>
          </w:p>
        </w:tc>
      </w:tr>
      <w:tr w:rsidR="00CF6A73" w:rsidRPr="00AC29D6" w14:paraId="2D8D18EA" w14:textId="77777777" w:rsidTr="00BE7C50">
        <w:trPr>
          <w:trHeight w:val="288"/>
          <w:jc w:val="center"/>
        </w:trPr>
        <w:tc>
          <w:tcPr>
            <w:tcW w:w="5399" w:type="dxa"/>
            <w:tcBorders>
              <w:top w:val="single" w:sz="4" w:space="0" w:color="auto"/>
              <w:left w:val="single" w:sz="4" w:space="0" w:color="auto"/>
              <w:bottom w:val="single" w:sz="4" w:space="0" w:color="auto"/>
              <w:right w:val="single" w:sz="4" w:space="0" w:color="auto"/>
            </w:tcBorders>
            <w:vAlign w:val="center"/>
            <w:hideMark/>
          </w:tcPr>
          <w:p w14:paraId="1394F652" w14:textId="77777777" w:rsidR="00CF6A73" w:rsidRPr="00AC29D6" w:rsidRDefault="00CF6A73" w:rsidP="00AC29D6">
            <w:pPr>
              <w:widowControl w:val="0"/>
              <w:jc w:val="center"/>
              <w:rPr>
                <w:bCs/>
                <w:sz w:val="23"/>
                <w:szCs w:val="23"/>
                <w:lang w:val="es-ES_tradnl"/>
              </w:rPr>
            </w:pPr>
            <w:r w:rsidRPr="00AC29D6">
              <w:rPr>
                <w:sz w:val="23"/>
                <w:szCs w:val="23"/>
                <w:lang w:val="es-ES_tradnl"/>
              </w:rPr>
              <w:t>Política pública de Justicia Juvenil Restaurativa en Costa Rica</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54BA6D52" w14:textId="77777777" w:rsidR="00CF6A73" w:rsidRPr="00AC29D6" w:rsidRDefault="00CF6A73" w:rsidP="00AC29D6">
            <w:pPr>
              <w:widowControl w:val="0"/>
              <w:jc w:val="center"/>
              <w:rPr>
                <w:sz w:val="23"/>
                <w:szCs w:val="23"/>
              </w:rPr>
            </w:pPr>
            <w:r w:rsidRPr="00AC29D6">
              <w:rPr>
                <w:sz w:val="23"/>
                <w:szCs w:val="23"/>
              </w:rPr>
              <w:t xml:space="preserve">Anexo </w:t>
            </w:r>
            <w:proofErr w:type="spellStart"/>
            <w:r w:rsidRPr="00AC29D6">
              <w:rPr>
                <w:sz w:val="23"/>
                <w:szCs w:val="23"/>
              </w:rPr>
              <w:t>N°</w:t>
            </w:r>
            <w:proofErr w:type="spellEnd"/>
            <w:r w:rsidRPr="00AC29D6">
              <w:rPr>
                <w:sz w:val="23"/>
                <w:szCs w:val="23"/>
              </w:rPr>
              <w:t xml:space="preserve"> 6</w:t>
            </w:r>
          </w:p>
          <w:p w14:paraId="0F00D236" w14:textId="77777777" w:rsidR="00CF6A73" w:rsidRPr="00AC29D6" w:rsidRDefault="00CF6A73" w:rsidP="00AC29D6">
            <w:pPr>
              <w:widowControl w:val="0"/>
              <w:jc w:val="center"/>
              <w:rPr>
                <w:sz w:val="23"/>
                <w:szCs w:val="23"/>
              </w:rPr>
            </w:pPr>
            <w:r w:rsidRPr="00AC29D6">
              <w:rPr>
                <w:sz w:val="23"/>
                <w:szCs w:val="23"/>
              </w:rPr>
              <w:t>(…)</w:t>
            </w:r>
          </w:p>
        </w:tc>
      </w:tr>
      <w:tr w:rsidR="00CF6A73" w:rsidRPr="00AC29D6" w14:paraId="550A172F" w14:textId="77777777" w:rsidTr="00BE7C50">
        <w:trPr>
          <w:trHeight w:val="288"/>
          <w:jc w:val="center"/>
        </w:trPr>
        <w:tc>
          <w:tcPr>
            <w:tcW w:w="5399" w:type="dxa"/>
            <w:tcBorders>
              <w:top w:val="single" w:sz="4" w:space="0" w:color="auto"/>
              <w:left w:val="single" w:sz="4" w:space="0" w:color="auto"/>
              <w:bottom w:val="single" w:sz="4" w:space="0" w:color="auto"/>
              <w:right w:val="single" w:sz="4" w:space="0" w:color="auto"/>
            </w:tcBorders>
            <w:vAlign w:val="center"/>
            <w:hideMark/>
          </w:tcPr>
          <w:p w14:paraId="1901A4CC" w14:textId="77777777" w:rsidR="00CF6A73" w:rsidRPr="00AC29D6" w:rsidRDefault="00CF6A73" w:rsidP="00AC29D6">
            <w:pPr>
              <w:widowControl w:val="0"/>
              <w:jc w:val="center"/>
              <w:rPr>
                <w:bCs/>
                <w:sz w:val="23"/>
                <w:szCs w:val="23"/>
                <w:lang w:val="es-ES_tradnl"/>
              </w:rPr>
            </w:pPr>
            <w:r w:rsidRPr="00AC29D6">
              <w:rPr>
                <w:sz w:val="23"/>
                <w:szCs w:val="23"/>
                <w:lang w:val="es-ES_tradnl"/>
              </w:rPr>
              <w:t>Política Institucional “Declaración de la Política de Accesibilidad para las personas con discapacidad en el Poder Judicial</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6F1BED24" w14:textId="77777777" w:rsidR="00CF6A73" w:rsidRPr="00AC29D6" w:rsidRDefault="00CF6A73" w:rsidP="00AC29D6">
            <w:pPr>
              <w:widowControl w:val="0"/>
              <w:jc w:val="center"/>
              <w:rPr>
                <w:sz w:val="23"/>
                <w:szCs w:val="23"/>
              </w:rPr>
            </w:pPr>
            <w:r w:rsidRPr="00AC29D6">
              <w:rPr>
                <w:sz w:val="23"/>
                <w:szCs w:val="23"/>
              </w:rPr>
              <w:t xml:space="preserve">Anexo </w:t>
            </w:r>
            <w:proofErr w:type="spellStart"/>
            <w:r w:rsidRPr="00AC29D6">
              <w:rPr>
                <w:sz w:val="23"/>
                <w:szCs w:val="23"/>
              </w:rPr>
              <w:t>N°</w:t>
            </w:r>
            <w:proofErr w:type="spellEnd"/>
            <w:r w:rsidRPr="00AC29D6">
              <w:rPr>
                <w:sz w:val="23"/>
                <w:szCs w:val="23"/>
              </w:rPr>
              <w:t xml:space="preserve"> 7</w:t>
            </w:r>
          </w:p>
          <w:p w14:paraId="1D655F6A" w14:textId="77777777" w:rsidR="00CF6A73" w:rsidRPr="00AC29D6" w:rsidRDefault="00CF6A73" w:rsidP="00AC29D6">
            <w:pPr>
              <w:widowControl w:val="0"/>
              <w:jc w:val="center"/>
              <w:rPr>
                <w:sz w:val="23"/>
                <w:szCs w:val="23"/>
              </w:rPr>
            </w:pPr>
            <w:r w:rsidRPr="00AC29D6">
              <w:rPr>
                <w:sz w:val="23"/>
                <w:szCs w:val="23"/>
              </w:rPr>
              <w:t>(…)</w:t>
            </w:r>
          </w:p>
        </w:tc>
      </w:tr>
      <w:tr w:rsidR="00CF6A73" w:rsidRPr="00AC29D6" w14:paraId="3C0EC773" w14:textId="77777777" w:rsidTr="00BE7C50">
        <w:trPr>
          <w:trHeight w:val="288"/>
          <w:jc w:val="center"/>
        </w:trPr>
        <w:tc>
          <w:tcPr>
            <w:tcW w:w="5399" w:type="dxa"/>
            <w:tcBorders>
              <w:top w:val="single" w:sz="4" w:space="0" w:color="auto"/>
              <w:left w:val="single" w:sz="4" w:space="0" w:color="auto"/>
              <w:bottom w:val="single" w:sz="4" w:space="0" w:color="auto"/>
              <w:right w:val="single" w:sz="4" w:space="0" w:color="auto"/>
            </w:tcBorders>
            <w:vAlign w:val="center"/>
            <w:hideMark/>
          </w:tcPr>
          <w:p w14:paraId="7F285052" w14:textId="77777777" w:rsidR="00CF6A73" w:rsidRPr="00AC29D6" w:rsidRDefault="00CF6A73" w:rsidP="00AC29D6">
            <w:pPr>
              <w:widowControl w:val="0"/>
              <w:jc w:val="center"/>
              <w:rPr>
                <w:bCs/>
                <w:sz w:val="23"/>
                <w:szCs w:val="23"/>
                <w:lang w:val="es-ES_tradnl"/>
              </w:rPr>
            </w:pPr>
            <w:r w:rsidRPr="00AC29D6">
              <w:rPr>
                <w:sz w:val="23"/>
                <w:szCs w:val="23"/>
              </w:rPr>
              <w:t>Política Institucional para el acceso de la justicia de personas afrodescendientes</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489E495B" w14:textId="77777777" w:rsidR="00CF6A73" w:rsidRPr="00AC29D6" w:rsidRDefault="00CF6A73" w:rsidP="00AC29D6">
            <w:pPr>
              <w:widowControl w:val="0"/>
              <w:jc w:val="center"/>
              <w:rPr>
                <w:sz w:val="23"/>
                <w:szCs w:val="23"/>
              </w:rPr>
            </w:pPr>
            <w:r w:rsidRPr="00AC29D6">
              <w:rPr>
                <w:sz w:val="23"/>
                <w:szCs w:val="23"/>
              </w:rPr>
              <w:t xml:space="preserve">Anexo </w:t>
            </w:r>
            <w:proofErr w:type="spellStart"/>
            <w:r w:rsidRPr="00AC29D6">
              <w:rPr>
                <w:sz w:val="23"/>
                <w:szCs w:val="23"/>
              </w:rPr>
              <w:t>N°</w:t>
            </w:r>
            <w:proofErr w:type="spellEnd"/>
            <w:r w:rsidRPr="00AC29D6">
              <w:rPr>
                <w:sz w:val="23"/>
                <w:szCs w:val="23"/>
              </w:rPr>
              <w:t xml:space="preserve"> 8</w:t>
            </w:r>
          </w:p>
          <w:p w14:paraId="7B7113BA" w14:textId="77777777" w:rsidR="00CF6A73" w:rsidRPr="00AC29D6" w:rsidRDefault="00CF6A73" w:rsidP="00AC29D6">
            <w:pPr>
              <w:widowControl w:val="0"/>
              <w:jc w:val="center"/>
              <w:rPr>
                <w:sz w:val="23"/>
                <w:szCs w:val="23"/>
              </w:rPr>
            </w:pPr>
            <w:r w:rsidRPr="00AC29D6">
              <w:rPr>
                <w:sz w:val="23"/>
                <w:szCs w:val="23"/>
              </w:rPr>
              <w:t>(…)</w:t>
            </w:r>
          </w:p>
        </w:tc>
      </w:tr>
      <w:tr w:rsidR="00CF6A73" w:rsidRPr="00AC29D6" w14:paraId="21C5D2BF" w14:textId="77777777" w:rsidTr="00BE7C50">
        <w:trPr>
          <w:trHeight w:val="288"/>
          <w:jc w:val="center"/>
        </w:trPr>
        <w:tc>
          <w:tcPr>
            <w:tcW w:w="5399" w:type="dxa"/>
            <w:tcBorders>
              <w:top w:val="single" w:sz="4" w:space="0" w:color="auto"/>
              <w:left w:val="single" w:sz="4" w:space="0" w:color="auto"/>
              <w:bottom w:val="single" w:sz="4" w:space="0" w:color="auto"/>
              <w:right w:val="single" w:sz="4" w:space="0" w:color="auto"/>
            </w:tcBorders>
            <w:vAlign w:val="center"/>
            <w:hideMark/>
          </w:tcPr>
          <w:p w14:paraId="1E064A71" w14:textId="77777777" w:rsidR="00CF6A73" w:rsidRPr="00AC29D6" w:rsidRDefault="00CF6A73" w:rsidP="00AC29D6">
            <w:pPr>
              <w:widowControl w:val="0"/>
              <w:jc w:val="center"/>
              <w:rPr>
                <w:bCs/>
                <w:sz w:val="23"/>
                <w:szCs w:val="23"/>
                <w:lang w:val="es-ES_tradnl"/>
              </w:rPr>
            </w:pPr>
            <w:r w:rsidRPr="00AC29D6">
              <w:rPr>
                <w:sz w:val="23"/>
                <w:szCs w:val="23"/>
                <w:lang w:val="es-ES_tradnl"/>
              </w:rPr>
              <w:t>Política Judicial dirigida al Mejoramiento del Acceso a la Justicia de las Niñas, Niños y Adolescentes en Costa Rica</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72628559" w14:textId="77777777" w:rsidR="00CF6A73" w:rsidRPr="00AC29D6" w:rsidRDefault="00CF6A73" w:rsidP="00AC29D6">
            <w:pPr>
              <w:widowControl w:val="0"/>
              <w:jc w:val="center"/>
              <w:rPr>
                <w:sz w:val="23"/>
                <w:szCs w:val="23"/>
              </w:rPr>
            </w:pPr>
            <w:r w:rsidRPr="00AC29D6">
              <w:rPr>
                <w:sz w:val="23"/>
                <w:szCs w:val="23"/>
              </w:rPr>
              <w:t xml:space="preserve">Anexo </w:t>
            </w:r>
            <w:proofErr w:type="spellStart"/>
            <w:r w:rsidRPr="00AC29D6">
              <w:rPr>
                <w:sz w:val="23"/>
                <w:szCs w:val="23"/>
              </w:rPr>
              <w:t>N°</w:t>
            </w:r>
            <w:proofErr w:type="spellEnd"/>
            <w:r w:rsidRPr="00AC29D6">
              <w:rPr>
                <w:sz w:val="23"/>
                <w:szCs w:val="23"/>
              </w:rPr>
              <w:t xml:space="preserve"> 9</w:t>
            </w:r>
          </w:p>
          <w:p w14:paraId="48A29F4B" w14:textId="77777777" w:rsidR="00CF6A73" w:rsidRPr="00AC29D6" w:rsidRDefault="00CF6A73" w:rsidP="00AC29D6">
            <w:pPr>
              <w:widowControl w:val="0"/>
              <w:jc w:val="center"/>
              <w:rPr>
                <w:sz w:val="23"/>
                <w:szCs w:val="23"/>
              </w:rPr>
            </w:pPr>
            <w:r w:rsidRPr="00AC29D6">
              <w:rPr>
                <w:sz w:val="23"/>
                <w:szCs w:val="23"/>
              </w:rPr>
              <w:t>(…)</w:t>
            </w:r>
          </w:p>
        </w:tc>
      </w:tr>
      <w:tr w:rsidR="00CF6A73" w:rsidRPr="00AC29D6" w14:paraId="21C7C280" w14:textId="77777777" w:rsidTr="00BE7C50">
        <w:trPr>
          <w:trHeight w:val="288"/>
          <w:jc w:val="center"/>
        </w:trPr>
        <w:tc>
          <w:tcPr>
            <w:tcW w:w="5399" w:type="dxa"/>
            <w:tcBorders>
              <w:top w:val="single" w:sz="4" w:space="0" w:color="auto"/>
              <w:left w:val="single" w:sz="4" w:space="0" w:color="auto"/>
              <w:bottom w:val="single" w:sz="4" w:space="0" w:color="auto"/>
              <w:right w:val="single" w:sz="4" w:space="0" w:color="auto"/>
            </w:tcBorders>
            <w:vAlign w:val="center"/>
            <w:hideMark/>
          </w:tcPr>
          <w:p w14:paraId="3D329C57" w14:textId="77777777" w:rsidR="00CF6A73" w:rsidRPr="00AC29D6" w:rsidRDefault="00CF6A73" w:rsidP="00AC29D6">
            <w:pPr>
              <w:widowControl w:val="0"/>
              <w:jc w:val="center"/>
              <w:rPr>
                <w:bCs/>
                <w:sz w:val="23"/>
                <w:szCs w:val="23"/>
                <w:lang w:val="es-ES_tradnl"/>
              </w:rPr>
            </w:pPr>
            <w:r w:rsidRPr="00AC29D6">
              <w:rPr>
                <w:sz w:val="23"/>
                <w:szCs w:val="23"/>
                <w:lang w:val="es-ES_tradnl"/>
              </w:rPr>
              <w:t>Política de Justicia Abierta para el Poder Judicial de Costa Rica</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59A47CDC" w14:textId="77777777" w:rsidR="00CF6A73" w:rsidRPr="00AC29D6" w:rsidRDefault="00CF6A73" w:rsidP="00AC29D6">
            <w:pPr>
              <w:widowControl w:val="0"/>
              <w:jc w:val="center"/>
              <w:rPr>
                <w:sz w:val="23"/>
                <w:szCs w:val="23"/>
              </w:rPr>
            </w:pPr>
            <w:r w:rsidRPr="00AC29D6">
              <w:rPr>
                <w:sz w:val="23"/>
                <w:szCs w:val="23"/>
              </w:rPr>
              <w:t xml:space="preserve">Anexo </w:t>
            </w:r>
            <w:proofErr w:type="spellStart"/>
            <w:r w:rsidRPr="00AC29D6">
              <w:rPr>
                <w:sz w:val="23"/>
                <w:szCs w:val="23"/>
              </w:rPr>
              <w:t>N°</w:t>
            </w:r>
            <w:proofErr w:type="spellEnd"/>
            <w:r w:rsidRPr="00AC29D6">
              <w:rPr>
                <w:sz w:val="23"/>
                <w:szCs w:val="23"/>
              </w:rPr>
              <w:t xml:space="preserve"> 10</w:t>
            </w:r>
          </w:p>
          <w:p w14:paraId="1656FA29" w14:textId="77777777" w:rsidR="00CF6A73" w:rsidRPr="00AC29D6" w:rsidRDefault="00CF6A73" w:rsidP="00AC29D6">
            <w:pPr>
              <w:widowControl w:val="0"/>
              <w:jc w:val="center"/>
              <w:rPr>
                <w:sz w:val="23"/>
                <w:szCs w:val="23"/>
              </w:rPr>
            </w:pPr>
            <w:r w:rsidRPr="00AC29D6">
              <w:rPr>
                <w:sz w:val="23"/>
                <w:szCs w:val="23"/>
              </w:rPr>
              <w:t>(…)</w:t>
            </w:r>
          </w:p>
        </w:tc>
      </w:tr>
      <w:tr w:rsidR="00CF6A73" w:rsidRPr="00AC29D6" w14:paraId="408A5A92" w14:textId="77777777" w:rsidTr="00BE7C50">
        <w:trPr>
          <w:trHeight w:val="288"/>
          <w:jc w:val="center"/>
        </w:trPr>
        <w:tc>
          <w:tcPr>
            <w:tcW w:w="5399" w:type="dxa"/>
            <w:tcBorders>
              <w:top w:val="single" w:sz="4" w:space="0" w:color="auto"/>
              <w:left w:val="single" w:sz="4" w:space="0" w:color="auto"/>
              <w:bottom w:val="single" w:sz="4" w:space="0" w:color="auto"/>
              <w:right w:val="single" w:sz="4" w:space="0" w:color="auto"/>
            </w:tcBorders>
            <w:vAlign w:val="center"/>
            <w:hideMark/>
          </w:tcPr>
          <w:p w14:paraId="077D668B" w14:textId="77777777" w:rsidR="00CF6A73" w:rsidRPr="00AC29D6" w:rsidRDefault="00CF6A73" w:rsidP="00AC29D6">
            <w:pPr>
              <w:widowControl w:val="0"/>
              <w:jc w:val="center"/>
              <w:rPr>
                <w:bCs/>
                <w:sz w:val="23"/>
                <w:szCs w:val="23"/>
                <w:lang w:val="es-ES_tradnl"/>
              </w:rPr>
            </w:pPr>
            <w:r w:rsidRPr="00AC29D6">
              <w:rPr>
                <w:sz w:val="23"/>
                <w:szCs w:val="23"/>
                <w:lang w:val="es-ES_tradnl"/>
              </w:rPr>
              <w:t>Política Axiológica del Poder Judicial</w:t>
            </w:r>
          </w:p>
        </w:tc>
        <w:tc>
          <w:tcPr>
            <w:tcW w:w="2410" w:type="dxa"/>
            <w:tcBorders>
              <w:top w:val="single" w:sz="4" w:space="0" w:color="auto"/>
              <w:left w:val="single" w:sz="4" w:space="0" w:color="auto"/>
              <w:bottom w:val="single" w:sz="4" w:space="0" w:color="auto"/>
              <w:right w:val="single" w:sz="4" w:space="0" w:color="auto"/>
            </w:tcBorders>
            <w:noWrap/>
            <w:vAlign w:val="center"/>
          </w:tcPr>
          <w:p w14:paraId="70D3A541" w14:textId="77777777" w:rsidR="00CF6A73" w:rsidRPr="00AC29D6" w:rsidRDefault="00CF6A73" w:rsidP="00AC29D6">
            <w:pPr>
              <w:widowControl w:val="0"/>
              <w:jc w:val="center"/>
              <w:rPr>
                <w:sz w:val="23"/>
                <w:szCs w:val="23"/>
              </w:rPr>
            </w:pPr>
            <w:r w:rsidRPr="00AC29D6">
              <w:rPr>
                <w:sz w:val="23"/>
                <w:szCs w:val="23"/>
              </w:rPr>
              <w:t xml:space="preserve">Anexo </w:t>
            </w:r>
            <w:proofErr w:type="spellStart"/>
            <w:r w:rsidRPr="00AC29D6">
              <w:rPr>
                <w:sz w:val="23"/>
                <w:szCs w:val="23"/>
              </w:rPr>
              <w:t>N°</w:t>
            </w:r>
            <w:proofErr w:type="spellEnd"/>
            <w:r w:rsidRPr="00AC29D6">
              <w:rPr>
                <w:sz w:val="23"/>
                <w:szCs w:val="23"/>
              </w:rPr>
              <w:t xml:space="preserve"> 11</w:t>
            </w:r>
          </w:p>
          <w:p w14:paraId="0277A8C0" w14:textId="77777777" w:rsidR="00CF6A73" w:rsidRPr="00AC29D6" w:rsidRDefault="00CF6A73" w:rsidP="00AC29D6">
            <w:pPr>
              <w:widowControl w:val="0"/>
              <w:jc w:val="center"/>
              <w:rPr>
                <w:sz w:val="23"/>
                <w:szCs w:val="23"/>
              </w:rPr>
            </w:pPr>
            <w:r w:rsidRPr="00AC29D6">
              <w:rPr>
                <w:sz w:val="23"/>
                <w:szCs w:val="23"/>
              </w:rPr>
              <w:t>(…)</w:t>
            </w:r>
          </w:p>
          <w:p w14:paraId="43918439" w14:textId="77777777" w:rsidR="00CF6A73" w:rsidRPr="00AC29D6" w:rsidRDefault="00CF6A73" w:rsidP="00AC29D6">
            <w:pPr>
              <w:widowControl w:val="0"/>
              <w:jc w:val="center"/>
              <w:rPr>
                <w:sz w:val="23"/>
                <w:szCs w:val="23"/>
              </w:rPr>
            </w:pPr>
          </w:p>
        </w:tc>
      </w:tr>
      <w:tr w:rsidR="00CF6A73" w:rsidRPr="00AC29D6" w14:paraId="19E1D236" w14:textId="77777777" w:rsidTr="00BE7C50">
        <w:trPr>
          <w:trHeight w:val="288"/>
          <w:jc w:val="center"/>
        </w:trPr>
        <w:tc>
          <w:tcPr>
            <w:tcW w:w="5399" w:type="dxa"/>
            <w:tcBorders>
              <w:top w:val="single" w:sz="4" w:space="0" w:color="auto"/>
              <w:left w:val="single" w:sz="4" w:space="0" w:color="auto"/>
              <w:bottom w:val="single" w:sz="4" w:space="0" w:color="auto"/>
              <w:right w:val="single" w:sz="4" w:space="0" w:color="auto"/>
            </w:tcBorders>
            <w:vAlign w:val="center"/>
            <w:hideMark/>
          </w:tcPr>
          <w:p w14:paraId="16C1780C" w14:textId="77777777" w:rsidR="00CF6A73" w:rsidRPr="00AC29D6" w:rsidRDefault="00CF6A73" w:rsidP="00AC29D6">
            <w:pPr>
              <w:widowControl w:val="0"/>
              <w:jc w:val="center"/>
              <w:rPr>
                <w:bCs/>
                <w:sz w:val="23"/>
                <w:szCs w:val="23"/>
                <w:lang w:val="es-ES_tradnl"/>
              </w:rPr>
            </w:pPr>
            <w:r w:rsidRPr="00AC29D6">
              <w:rPr>
                <w:sz w:val="23"/>
                <w:szCs w:val="23"/>
                <w:lang w:val="es-ES_tradnl"/>
              </w:rPr>
              <w:t>Política de Igual de Género del Poder Judicial</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17271225" w14:textId="77777777" w:rsidR="00CF6A73" w:rsidRPr="00AC29D6" w:rsidRDefault="00CF6A73" w:rsidP="00AC29D6">
            <w:pPr>
              <w:widowControl w:val="0"/>
              <w:jc w:val="center"/>
              <w:rPr>
                <w:sz w:val="23"/>
                <w:szCs w:val="23"/>
              </w:rPr>
            </w:pPr>
            <w:r w:rsidRPr="00AC29D6">
              <w:rPr>
                <w:sz w:val="23"/>
                <w:szCs w:val="23"/>
              </w:rPr>
              <w:t xml:space="preserve">Anexo </w:t>
            </w:r>
            <w:proofErr w:type="spellStart"/>
            <w:r w:rsidRPr="00AC29D6">
              <w:rPr>
                <w:sz w:val="23"/>
                <w:szCs w:val="23"/>
              </w:rPr>
              <w:t>N°</w:t>
            </w:r>
            <w:proofErr w:type="spellEnd"/>
            <w:r w:rsidRPr="00AC29D6">
              <w:rPr>
                <w:sz w:val="23"/>
                <w:szCs w:val="23"/>
              </w:rPr>
              <w:t xml:space="preserve"> 12</w:t>
            </w:r>
          </w:p>
          <w:p w14:paraId="50EFC83E" w14:textId="77777777" w:rsidR="00CF6A73" w:rsidRPr="00AC29D6" w:rsidRDefault="00CF6A73" w:rsidP="00AC29D6">
            <w:pPr>
              <w:widowControl w:val="0"/>
              <w:jc w:val="center"/>
              <w:rPr>
                <w:sz w:val="23"/>
                <w:szCs w:val="23"/>
              </w:rPr>
            </w:pPr>
            <w:r w:rsidRPr="00AC29D6">
              <w:rPr>
                <w:sz w:val="23"/>
                <w:szCs w:val="23"/>
              </w:rPr>
              <w:t>(…)</w:t>
            </w:r>
          </w:p>
        </w:tc>
      </w:tr>
      <w:tr w:rsidR="00CF6A73" w:rsidRPr="00AC29D6" w14:paraId="12073069" w14:textId="77777777" w:rsidTr="00BE7C50">
        <w:trPr>
          <w:trHeight w:val="288"/>
          <w:jc w:val="center"/>
        </w:trPr>
        <w:tc>
          <w:tcPr>
            <w:tcW w:w="5399" w:type="dxa"/>
            <w:tcBorders>
              <w:top w:val="single" w:sz="4" w:space="0" w:color="auto"/>
              <w:left w:val="single" w:sz="4" w:space="0" w:color="auto"/>
              <w:bottom w:val="single" w:sz="4" w:space="0" w:color="auto"/>
              <w:right w:val="single" w:sz="4" w:space="0" w:color="auto"/>
            </w:tcBorders>
            <w:vAlign w:val="center"/>
            <w:hideMark/>
          </w:tcPr>
          <w:p w14:paraId="074A1360" w14:textId="77777777" w:rsidR="00CF6A73" w:rsidRPr="00AC29D6" w:rsidRDefault="00CF6A73" w:rsidP="00AC29D6">
            <w:pPr>
              <w:widowControl w:val="0"/>
              <w:jc w:val="center"/>
              <w:rPr>
                <w:bCs/>
                <w:sz w:val="23"/>
                <w:szCs w:val="23"/>
                <w:lang w:val="es-ES_tradnl"/>
              </w:rPr>
            </w:pPr>
            <w:r w:rsidRPr="00AC29D6">
              <w:rPr>
                <w:rFonts w:eastAsia="Calibri"/>
                <w:sz w:val="23"/>
                <w:szCs w:val="23"/>
              </w:rPr>
              <w:t>Política de Participación Ciudadana del Poder Judicial</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3FD5EE5E" w14:textId="77777777" w:rsidR="00CF6A73" w:rsidRPr="00AC29D6" w:rsidRDefault="00CF6A73" w:rsidP="00AC29D6">
            <w:pPr>
              <w:widowControl w:val="0"/>
              <w:jc w:val="center"/>
              <w:rPr>
                <w:sz w:val="23"/>
                <w:szCs w:val="23"/>
              </w:rPr>
            </w:pPr>
            <w:r w:rsidRPr="00AC29D6">
              <w:rPr>
                <w:sz w:val="23"/>
                <w:szCs w:val="23"/>
              </w:rPr>
              <w:t xml:space="preserve">Anexo </w:t>
            </w:r>
            <w:proofErr w:type="spellStart"/>
            <w:r w:rsidRPr="00AC29D6">
              <w:rPr>
                <w:sz w:val="23"/>
                <w:szCs w:val="23"/>
              </w:rPr>
              <w:t>N°</w:t>
            </w:r>
            <w:proofErr w:type="spellEnd"/>
            <w:r w:rsidRPr="00AC29D6">
              <w:rPr>
                <w:sz w:val="23"/>
                <w:szCs w:val="23"/>
              </w:rPr>
              <w:t xml:space="preserve"> 13</w:t>
            </w:r>
          </w:p>
          <w:p w14:paraId="0D26513C" w14:textId="77777777" w:rsidR="00CF6A73" w:rsidRPr="00AC29D6" w:rsidRDefault="00CF6A73" w:rsidP="00AC29D6">
            <w:pPr>
              <w:widowControl w:val="0"/>
              <w:jc w:val="center"/>
              <w:rPr>
                <w:sz w:val="23"/>
                <w:szCs w:val="23"/>
              </w:rPr>
            </w:pPr>
            <w:r w:rsidRPr="00AC29D6">
              <w:rPr>
                <w:sz w:val="23"/>
                <w:szCs w:val="23"/>
              </w:rPr>
              <w:t>(…)</w:t>
            </w:r>
          </w:p>
        </w:tc>
      </w:tr>
      <w:tr w:rsidR="00CF6A73" w:rsidRPr="00AC29D6" w14:paraId="751DC74A" w14:textId="77777777" w:rsidTr="00BE7C50">
        <w:trPr>
          <w:trHeight w:val="288"/>
          <w:jc w:val="center"/>
        </w:trPr>
        <w:tc>
          <w:tcPr>
            <w:tcW w:w="5399" w:type="dxa"/>
            <w:tcBorders>
              <w:top w:val="single" w:sz="4" w:space="0" w:color="auto"/>
              <w:left w:val="single" w:sz="4" w:space="0" w:color="auto"/>
              <w:bottom w:val="single" w:sz="4" w:space="0" w:color="auto"/>
              <w:right w:val="single" w:sz="4" w:space="0" w:color="auto"/>
            </w:tcBorders>
            <w:vAlign w:val="center"/>
            <w:hideMark/>
          </w:tcPr>
          <w:p w14:paraId="38D8D5CE" w14:textId="77777777" w:rsidR="00CF6A73" w:rsidRPr="00AC29D6" w:rsidRDefault="00CF6A73" w:rsidP="00AC29D6">
            <w:pPr>
              <w:widowControl w:val="0"/>
              <w:jc w:val="center"/>
              <w:rPr>
                <w:bCs/>
                <w:sz w:val="23"/>
                <w:szCs w:val="23"/>
                <w:lang w:val="es-ES_tradnl"/>
              </w:rPr>
            </w:pPr>
            <w:r w:rsidRPr="00AC29D6">
              <w:rPr>
                <w:bCs/>
                <w:sz w:val="23"/>
                <w:szCs w:val="23"/>
                <w:lang w:val="es-ES_tradnl"/>
              </w:rPr>
              <w:t>Política Institucional contra el hostigamiento sexual</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718F195F" w14:textId="77777777" w:rsidR="00CF6A73" w:rsidRPr="00AC29D6" w:rsidRDefault="00CF6A73" w:rsidP="00AC29D6">
            <w:pPr>
              <w:widowControl w:val="0"/>
              <w:jc w:val="center"/>
              <w:rPr>
                <w:sz w:val="23"/>
                <w:szCs w:val="23"/>
              </w:rPr>
            </w:pPr>
            <w:r w:rsidRPr="00AC29D6">
              <w:rPr>
                <w:sz w:val="23"/>
                <w:szCs w:val="23"/>
              </w:rPr>
              <w:t xml:space="preserve">Anexo </w:t>
            </w:r>
            <w:proofErr w:type="spellStart"/>
            <w:r w:rsidRPr="00AC29D6">
              <w:rPr>
                <w:sz w:val="23"/>
                <w:szCs w:val="23"/>
              </w:rPr>
              <w:t>N°</w:t>
            </w:r>
            <w:proofErr w:type="spellEnd"/>
            <w:r w:rsidRPr="00AC29D6">
              <w:rPr>
                <w:sz w:val="23"/>
                <w:szCs w:val="23"/>
              </w:rPr>
              <w:t xml:space="preserve"> 14</w:t>
            </w:r>
          </w:p>
          <w:p w14:paraId="19CD540A" w14:textId="77777777" w:rsidR="00CF6A73" w:rsidRPr="00AC29D6" w:rsidRDefault="00CF6A73" w:rsidP="00AC29D6">
            <w:pPr>
              <w:widowControl w:val="0"/>
              <w:jc w:val="center"/>
              <w:rPr>
                <w:sz w:val="23"/>
                <w:szCs w:val="23"/>
              </w:rPr>
            </w:pPr>
            <w:r w:rsidRPr="00AC29D6">
              <w:rPr>
                <w:sz w:val="23"/>
                <w:szCs w:val="23"/>
              </w:rPr>
              <w:t>(…)</w:t>
            </w:r>
          </w:p>
        </w:tc>
      </w:tr>
      <w:tr w:rsidR="00CF6A73" w:rsidRPr="00AC29D6" w14:paraId="38059C31" w14:textId="77777777" w:rsidTr="00BE7C50">
        <w:trPr>
          <w:trHeight w:val="288"/>
          <w:jc w:val="center"/>
        </w:trPr>
        <w:tc>
          <w:tcPr>
            <w:tcW w:w="5399" w:type="dxa"/>
            <w:tcBorders>
              <w:top w:val="single" w:sz="4" w:space="0" w:color="auto"/>
              <w:left w:val="single" w:sz="4" w:space="0" w:color="auto"/>
              <w:bottom w:val="single" w:sz="4" w:space="0" w:color="auto"/>
              <w:right w:val="single" w:sz="4" w:space="0" w:color="auto"/>
            </w:tcBorders>
            <w:vAlign w:val="center"/>
            <w:hideMark/>
          </w:tcPr>
          <w:p w14:paraId="127362EA" w14:textId="77777777" w:rsidR="00CF6A73" w:rsidRPr="00AC29D6" w:rsidRDefault="00CF6A73" w:rsidP="00AC29D6">
            <w:pPr>
              <w:widowControl w:val="0"/>
              <w:jc w:val="center"/>
              <w:rPr>
                <w:sz w:val="23"/>
                <w:szCs w:val="23"/>
                <w:lang w:val="es-ES_tradnl"/>
              </w:rPr>
            </w:pPr>
            <w:r w:rsidRPr="00AC29D6">
              <w:rPr>
                <w:sz w:val="23"/>
                <w:szCs w:val="23"/>
                <w:lang w:val="es-ES_tradnl" w:eastAsia="es-CR"/>
              </w:rPr>
              <w:t>Circular externa 12-2021</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6FA65664" w14:textId="77777777" w:rsidR="00CF6A73" w:rsidRPr="00AC29D6" w:rsidRDefault="00CF6A73" w:rsidP="00AC29D6">
            <w:pPr>
              <w:widowControl w:val="0"/>
              <w:jc w:val="center"/>
              <w:rPr>
                <w:sz w:val="23"/>
                <w:szCs w:val="23"/>
              </w:rPr>
            </w:pPr>
            <w:r w:rsidRPr="00AC29D6">
              <w:rPr>
                <w:sz w:val="23"/>
                <w:szCs w:val="23"/>
              </w:rPr>
              <w:t xml:space="preserve">Anexo </w:t>
            </w:r>
            <w:proofErr w:type="spellStart"/>
            <w:r w:rsidRPr="00AC29D6">
              <w:rPr>
                <w:sz w:val="23"/>
                <w:szCs w:val="23"/>
              </w:rPr>
              <w:t>N°</w:t>
            </w:r>
            <w:proofErr w:type="spellEnd"/>
            <w:r w:rsidRPr="00AC29D6">
              <w:rPr>
                <w:sz w:val="23"/>
                <w:szCs w:val="23"/>
              </w:rPr>
              <w:t xml:space="preserve"> 15</w:t>
            </w:r>
          </w:p>
          <w:p w14:paraId="5B4D1AAF" w14:textId="77777777" w:rsidR="00CF6A73" w:rsidRPr="00AC29D6" w:rsidRDefault="00CF6A73" w:rsidP="00AC29D6">
            <w:pPr>
              <w:widowControl w:val="0"/>
              <w:jc w:val="center"/>
              <w:rPr>
                <w:sz w:val="23"/>
                <w:szCs w:val="23"/>
              </w:rPr>
            </w:pPr>
            <w:r w:rsidRPr="00AC29D6">
              <w:rPr>
                <w:sz w:val="23"/>
                <w:szCs w:val="23"/>
              </w:rPr>
              <w:lastRenderedPageBreak/>
              <w:t>(…)</w:t>
            </w:r>
          </w:p>
        </w:tc>
      </w:tr>
      <w:tr w:rsidR="00CF6A73" w:rsidRPr="00AC29D6" w14:paraId="46C3A069" w14:textId="77777777" w:rsidTr="00BE7C50">
        <w:trPr>
          <w:trHeight w:val="288"/>
          <w:jc w:val="center"/>
        </w:trPr>
        <w:tc>
          <w:tcPr>
            <w:tcW w:w="5399" w:type="dxa"/>
            <w:tcBorders>
              <w:top w:val="single" w:sz="4" w:space="0" w:color="auto"/>
              <w:left w:val="single" w:sz="4" w:space="0" w:color="auto"/>
              <w:bottom w:val="single" w:sz="4" w:space="0" w:color="auto"/>
              <w:right w:val="single" w:sz="4" w:space="0" w:color="auto"/>
            </w:tcBorders>
            <w:vAlign w:val="center"/>
            <w:hideMark/>
          </w:tcPr>
          <w:p w14:paraId="4A45DDDD" w14:textId="77777777" w:rsidR="00CF6A73" w:rsidRPr="00AC29D6" w:rsidRDefault="00CF6A73" w:rsidP="00AC29D6">
            <w:pPr>
              <w:widowControl w:val="0"/>
              <w:jc w:val="center"/>
              <w:rPr>
                <w:bCs/>
                <w:sz w:val="23"/>
                <w:szCs w:val="23"/>
                <w:lang w:val="es-ES_tradnl"/>
              </w:rPr>
            </w:pPr>
            <w:r w:rsidRPr="00AC29D6">
              <w:rPr>
                <w:sz w:val="23"/>
                <w:szCs w:val="23"/>
                <w:lang w:val="es-ES_tradnl"/>
              </w:rPr>
              <w:lastRenderedPageBreak/>
              <w:t>Metas operativas con oportunidad de mejora con un cumplimiento porcentual inferior a un 75%</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755D4DDC" w14:textId="77777777" w:rsidR="00CF6A73" w:rsidRPr="00AC29D6" w:rsidRDefault="00CF6A73" w:rsidP="00AC29D6">
            <w:pPr>
              <w:widowControl w:val="0"/>
              <w:jc w:val="center"/>
              <w:rPr>
                <w:sz w:val="23"/>
                <w:szCs w:val="23"/>
              </w:rPr>
            </w:pPr>
            <w:r w:rsidRPr="00AC29D6">
              <w:rPr>
                <w:sz w:val="23"/>
                <w:szCs w:val="23"/>
              </w:rPr>
              <w:t xml:space="preserve">Anexo </w:t>
            </w:r>
            <w:proofErr w:type="spellStart"/>
            <w:r w:rsidRPr="00AC29D6">
              <w:rPr>
                <w:sz w:val="23"/>
                <w:szCs w:val="23"/>
              </w:rPr>
              <w:t>N°</w:t>
            </w:r>
            <w:proofErr w:type="spellEnd"/>
            <w:r w:rsidRPr="00AC29D6">
              <w:rPr>
                <w:sz w:val="23"/>
                <w:szCs w:val="23"/>
              </w:rPr>
              <w:t xml:space="preserve"> 16</w:t>
            </w:r>
          </w:p>
          <w:p w14:paraId="1780E450" w14:textId="77777777" w:rsidR="00CF6A73" w:rsidRPr="00AC29D6" w:rsidRDefault="00CF6A73" w:rsidP="00AC29D6">
            <w:pPr>
              <w:widowControl w:val="0"/>
              <w:jc w:val="center"/>
              <w:rPr>
                <w:sz w:val="23"/>
                <w:szCs w:val="23"/>
              </w:rPr>
            </w:pPr>
            <w:r w:rsidRPr="00AC29D6">
              <w:rPr>
                <w:sz w:val="23"/>
                <w:szCs w:val="23"/>
              </w:rPr>
              <w:t>(…)</w:t>
            </w:r>
          </w:p>
        </w:tc>
      </w:tr>
      <w:tr w:rsidR="00CF6A73" w:rsidRPr="00AC29D6" w14:paraId="783FFEA0" w14:textId="77777777" w:rsidTr="00BE7C50">
        <w:trPr>
          <w:trHeight w:val="288"/>
          <w:jc w:val="center"/>
        </w:trPr>
        <w:tc>
          <w:tcPr>
            <w:tcW w:w="5399" w:type="dxa"/>
            <w:tcBorders>
              <w:top w:val="single" w:sz="4" w:space="0" w:color="auto"/>
              <w:left w:val="single" w:sz="4" w:space="0" w:color="auto"/>
              <w:bottom w:val="single" w:sz="4" w:space="0" w:color="auto"/>
              <w:right w:val="single" w:sz="4" w:space="0" w:color="auto"/>
            </w:tcBorders>
            <w:vAlign w:val="center"/>
            <w:hideMark/>
          </w:tcPr>
          <w:p w14:paraId="59EDC3B2" w14:textId="77777777" w:rsidR="00CF6A73" w:rsidRPr="00AC29D6" w:rsidRDefault="00CF6A73" w:rsidP="00AC29D6">
            <w:pPr>
              <w:widowControl w:val="0"/>
              <w:jc w:val="center"/>
              <w:rPr>
                <w:bCs/>
                <w:sz w:val="23"/>
                <w:szCs w:val="23"/>
                <w:lang w:val="es-ES_tradnl"/>
              </w:rPr>
            </w:pPr>
            <w:r w:rsidRPr="00AC29D6">
              <w:rPr>
                <w:bCs/>
                <w:sz w:val="23"/>
                <w:szCs w:val="23"/>
              </w:rPr>
              <w:t>Correo electrónico de seguimiento a las Políticas Institucionales</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11795E8E" w14:textId="77777777" w:rsidR="00CF6A73" w:rsidRPr="00AC29D6" w:rsidRDefault="00CF6A73" w:rsidP="00AC29D6">
            <w:pPr>
              <w:widowControl w:val="0"/>
              <w:jc w:val="center"/>
              <w:rPr>
                <w:sz w:val="23"/>
                <w:szCs w:val="23"/>
              </w:rPr>
            </w:pPr>
            <w:r w:rsidRPr="00AC29D6">
              <w:rPr>
                <w:sz w:val="23"/>
                <w:szCs w:val="23"/>
              </w:rPr>
              <w:t xml:space="preserve">Anexo </w:t>
            </w:r>
            <w:proofErr w:type="spellStart"/>
            <w:r w:rsidRPr="00AC29D6">
              <w:rPr>
                <w:sz w:val="23"/>
                <w:szCs w:val="23"/>
              </w:rPr>
              <w:t>N°</w:t>
            </w:r>
            <w:proofErr w:type="spellEnd"/>
            <w:r w:rsidRPr="00AC29D6">
              <w:rPr>
                <w:sz w:val="23"/>
                <w:szCs w:val="23"/>
              </w:rPr>
              <w:t xml:space="preserve"> 17</w:t>
            </w:r>
          </w:p>
          <w:p w14:paraId="782D2DB9" w14:textId="77777777" w:rsidR="00CF6A73" w:rsidRPr="00AC29D6" w:rsidRDefault="00CF6A73" w:rsidP="00AC29D6">
            <w:pPr>
              <w:widowControl w:val="0"/>
              <w:jc w:val="center"/>
              <w:rPr>
                <w:sz w:val="23"/>
                <w:szCs w:val="23"/>
              </w:rPr>
            </w:pPr>
            <w:r w:rsidRPr="00AC29D6">
              <w:rPr>
                <w:sz w:val="23"/>
                <w:szCs w:val="23"/>
              </w:rPr>
              <w:t>(…)</w:t>
            </w:r>
          </w:p>
        </w:tc>
      </w:tr>
      <w:tr w:rsidR="00CF6A73" w:rsidRPr="00AC29D6" w14:paraId="4B08447C" w14:textId="77777777" w:rsidTr="00BE7C50">
        <w:trPr>
          <w:trHeight w:val="288"/>
          <w:jc w:val="center"/>
        </w:trPr>
        <w:tc>
          <w:tcPr>
            <w:tcW w:w="5399" w:type="dxa"/>
            <w:tcBorders>
              <w:top w:val="single" w:sz="4" w:space="0" w:color="auto"/>
              <w:left w:val="single" w:sz="4" w:space="0" w:color="auto"/>
              <w:bottom w:val="single" w:sz="4" w:space="0" w:color="auto"/>
              <w:right w:val="single" w:sz="4" w:space="0" w:color="auto"/>
            </w:tcBorders>
            <w:vAlign w:val="center"/>
            <w:hideMark/>
          </w:tcPr>
          <w:p w14:paraId="4A183A08" w14:textId="77777777" w:rsidR="00CF6A73" w:rsidRPr="00AC29D6" w:rsidRDefault="00CF6A73" w:rsidP="00AC29D6">
            <w:pPr>
              <w:widowControl w:val="0"/>
              <w:jc w:val="center"/>
              <w:rPr>
                <w:bCs/>
                <w:sz w:val="23"/>
                <w:szCs w:val="23"/>
              </w:rPr>
            </w:pPr>
            <w:r w:rsidRPr="00AC29D6">
              <w:rPr>
                <w:sz w:val="23"/>
                <w:szCs w:val="23"/>
                <w:lang w:val="es-ES_tradnl" w:eastAsia="es-CR"/>
              </w:rPr>
              <w:t>Plantilla final sobre la metodología para la evaluación de las Políticas Institucionales</w:t>
            </w:r>
          </w:p>
        </w:tc>
        <w:tc>
          <w:tcPr>
            <w:tcW w:w="2410" w:type="dxa"/>
            <w:tcBorders>
              <w:top w:val="single" w:sz="4" w:space="0" w:color="auto"/>
              <w:left w:val="single" w:sz="4" w:space="0" w:color="auto"/>
              <w:bottom w:val="single" w:sz="4" w:space="0" w:color="auto"/>
              <w:right w:val="single" w:sz="4" w:space="0" w:color="auto"/>
            </w:tcBorders>
            <w:noWrap/>
            <w:vAlign w:val="center"/>
          </w:tcPr>
          <w:p w14:paraId="1E773321" w14:textId="77777777" w:rsidR="00CF6A73" w:rsidRPr="00AC29D6" w:rsidRDefault="00CF6A73" w:rsidP="00AC29D6">
            <w:pPr>
              <w:widowControl w:val="0"/>
              <w:jc w:val="center"/>
              <w:rPr>
                <w:sz w:val="23"/>
                <w:szCs w:val="23"/>
              </w:rPr>
            </w:pPr>
            <w:r w:rsidRPr="00AC29D6">
              <w:rPr>
                <w:sz w:val="23"/>
                <w:szCs w:val="23"/>
              </w:rPr>
              <w:t xml:space="preserve">Anexo </w:t>
            </w:r>
            <w:proofErr w:type="spellStart"/>
            <w:r w:rsidRPr="00AC29D6">
              <w:rPr>
                <w:sz w:val="23"/>
                <w:szCs w:val="23"/>
              </w:rPr>
              <w:t>N°</w:t>
            </w:r>
            <w:proofErr w:type="spellEnd"/>
            <w:r w:rsidRPr="00AC29D6">
              <w:rPr>
                <w:sz w:val="23"/>
                <w:szCs w:val="23"/>
              </w:rPr>
              <w:t xml:space="preserve"> 18</w:t>
            </w:r>
          </w:p>
          <w:p w14:paraId="5DF133E1" w14:textId="77777777" w:rsidR="00CF6A73" w:rsidRPr="00AC29D6" w:rsidRDefault="00CF6A73" w:rsidP="00AC29D6">
            <w:pPr>
              <w:widowControl w:val="0"/>
              <w:jc w:val="center"/>
              <w:rPr>
                <w:sz w:val="23"/>
                <w:szCs w:val="23"/>
              </w:rPr>
            </w:pPr>
            <w:r w:rsidRPr="00AC29D6">
              <w:rPr>
                <w:sz w:val="23"/>
                <w:szCs w:val="23"/>
              </w:rPr>
              <w:t>(…)</w:t>
            </w:r>
          </w:p>
          <w:p w14:paraId="0960361A" w14:textId="77777777" w:rsidR="00CF6A73" w:rsidRPr="00AC29D6" w:rsidRDefault="00CF6A73" w:rsidP="00AC29D6">
            <w:pPr>
              <w:widowControl w:val="0"/>
              <w:jc w:val="center"/>
              <w:rPr>
                <w:sz w:val="23"/>
                <w:szCs w:val="23"/>
              </w:rPr>
            </w:pPr>
          </w:p>
        </w:tc>
      </w:tr>
    </w:tbl>
    <w:p w14:paraId="17381600" w14:textId="77777777" w:rsidR="00CF6A73" w:rsidRPr="00AC29D6" w:rsidRDefault="00CF6A73" w:rsidP="00AC29D6">
      <w:pPr>
        <w:ind w:left="851" w:right="851"/>
        <w:rPr>
          <w:b/>
          <w:sz w:val="23"/>
          <w:szCs w:val="23"/>
        </w:rPr>
      </w:pPr>
    </w:p>
    <w:p w14:paraId="5DB0C661" w14:textId="77777777" w:rsidR="00CF6A73" w:rsidRPr="00AC29D6" w:rsidRDefault="00CF6A73" w:rsidP="00AC29D6">
      <w:pPr>
        <w:ind w:left="851" w:right="851"/>
        <w:jc w:val="right"/>
        <w:rPr>
          <w:sz w:val="23"/>
          <w:szCs w:val="23"/>
          <w:lang w:val="es-ES_tradnl" w:eastAsia="es-CR"/>
        </w:rPr>
      </w:pPr>
      <w:r w:rsidRPr="00AC29D6">
        <w:rPr>
          <w:sz w:val="23"/>
          <w:szCs w:val="23"/>
          <w:lang w:val="es-ES_tradnl"/>
        </w:rPr>
        <w:t>(…)</w:t>
      </w:r>
    </w:p>
    <w:p w14:paraId="61B762E9" w14:textId="77777777" w:rsidR="00CF6A73" w:rsidRPr="00AC29D6" w:rsidRDefault="00CF6A73" w:rsidP="00AC29D6">
      <w:pPr>
        <w:ind w:left="851" w:right="851"/>
        <w:jc w:val="center"/>
        <w:rPr>
          <w:sz w:val="23"/>
          <w:szCs w:val="23"/>
          <w:lang w:val="es-ES_tradnl" w:eastAsia="es-CR"/>
        </w:rPr>
      </w:pPr>
      <w:r w:rsidRPr="00AC29D6">
        <w:rPr>
          <w:sz w:val="23"/>
          <w:szCs w:val="23"/>
          <w:lang w:val="es-ES_tradnl"/>
        </w:rPr>
        <w:object w:dxaOrig="1512" w:dyaOrig="984" w14:anchorId="1D6D7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7" o:title=""/>
          </v:shape>
          <o:OLEObject Type="Embed" ProgID="Word.Document.12" ShapeID="_x0000_i1025" DrawAspect="Icon" ObjectID="_1708774324" r:id="rId8">
            <o:FieldCodes>\s</o:FieldCodes>
          </o:OLEObject>
        </w:object>
      </w:r>
    </w:p>
    <w:p w14:paraId="535A5F28" w14:textId="77777777" w:rsidR="00CF6A73" w:rsidRPr="00AC29D6" w:rsidRDefault="00CF6A73" w:rsidP="00AC29D6">
      <w:pPr>
        <w:ind w:left="851" w:right="851"/>
        <w:rPr>
          <w:sz w:val="23"/>
          <w:szCs w:val="23"/>
          <w:lang w:val="es-ES_tradnl" w:eastAsia="es-CR"/>
        </w:rPr>
      </w:pPr>
    </w:p>
    <w:p w14:paraId="4D016B8E" w14:textId="77777777" w:rsidR="00CF6A73" w:rsidRPr="00AC29D6" w:rsidRDefault="00CF6A73" w:rsidP="00AC29D6">
      <w:pPr>
        <w:ind w:left="851" w:right="851"/>
        <w:jc w:val="center"/>
        <w:rPr>
          <w:iCs/>
          <w:sz w:val="23"/>
          <w:szCs w:val="23"/>
          <w:lang w:val="es-ES_tradnl" w:eastAsia="es-ES"/>
        </w:rPr>
      </w:pPr>
      <w:r w:rsidRPr="00AC29D6">
        <w:rPr>
          <w:iCs/>
          <w:sz w:val="23"/>
          <w:szCs w:val="23"/>
          <w:lang w:val="es-ES_tradnl"/>
        </w:rPr>
        <w:t>-0-</w:t>
      </w:r>
    </w:p>
    <w:p w14:paraId="4A880140" w14:textId="77777777" w:rsidR="00CF6A73" w:rsidRPr="00AC29D6" w:rsidRDefault="00CF6A73" w:rsidP="00AC29D6">
      <w:pPr>
        <w:jc w:val="center"/>
        <w:rPr>
          <w:i/>
          <w:sz w:val="23"/>
          <w:szCs w:val="23"/>
          <w:lang w:val="es-ES_tradnl" w:eastAsia="es-ES"/>
        </w:rPr>
      </w:pPr>
    </w:p>
    <w:p w14:paraId="31C6CF0A" w14:textId="72B9454D" w:rsidR="00294863" w:rsidRPr="00AC29D6" w:rsidRDefault="00CF6A73" w:rsidP="00AC29D6">
      <w:pPr>
        <w:ind w:firstLine="709"/>
        <w:jc w:val="both"/>
        <w:rPr>
          <w:b/>
          <w:bCs/>
          <w:sz w:val="23"/>
          <w:szCs w:val="23"/>
          <w:lang w:val="es-MX"/>
        </w:rPr>
      </w:pPr>
      <w:r w:rsidRPr="00AC29D6">
        <w:rPr>
          <w:b/>
          <w:sz w:val="23"/>
          <w:szCs w:val="23"/>
          <w:lang w:val="es-ES_tradnl"/>
        </w:rPr>
        <w:t>Se acordó: 1.)</w:t>
      </w:r>
      <w:r w:rsidRPr="00AC29D6">
        <w:rPr>
          <w:sz w:val="23"/>
          <w:szCs w:val="23"/>
          <w:lang w:val="es-ES_tradnl"/>
        </w:rPr>
        <w:t xml:space="preserve"> Tener por recibido el informe </w:t>
      </w:r>
      <w:r w:rsidRPr="00AC29D6">
        <w:rPr>
          <w:snapToGrid w:val="0"/>
          <w:sz w:val="23"/>
          <w:szCs w:val="23"/>
          <w:lang w:val="es-ES_tradnl" w:eastAsia="es-ES"/>
        </w:rPr>
        <w:t xml:space="preserve">1431-PLA-EV-2021 </w:t>
      </w:r>
      <w:r w:rsidRPr="00AC29D6">
        <w:rPr>
          <w:sz w:val="23"/>
          <w:szCs w:val="23"/>
          <w:lang w:val="pt-BR"/>
        </w:rPr>
        <w:t>de</w:t>
      </w:r>
      <w:r w:rsidRPr="00AC29D6">
        <w:rPr>
          <w:sz w:val="23"/>
          <w:szCs w:val="23"/>
          <w:lang w:val="es-ES_tradnl"/>
        </w:rPr>
        <w:t xml:space="preserve"> la Dirección de Planificación,</w:t>
      </w:r>
      <w:r w:rsidRPr="00AC29D6">
        <w:rPr>
          <w:sz w:val="23"/>
          <w:szCs w:val="23"/>
          <w:lang w:val="es-ES_tradnl" w:eastAsia="es-ES"/>
        </w:rPr>
        <w:t xml:space="preserve"> </w:t>
      </w:r>
      <w:r w:rsidRPr="00AC29D6">
        <w:rPr>
          <w:sz w:val="23"/>
          <w:szCs w:val="23"/>
          <w:lang w:val="es-ES_tradnl"/>
        </w:rPr>
        <w:t>relacionado con el Informe de Seguimiento de las Políticas Institucionales del Poder Judicial 2021.</w:t>
      </w:r>
      <w:r w:rsidRPr="00AC29D6">
        <w:rPr>
          <w:sz w:val="23"/>
          <w:szCs w:val="23"/>
          <w:lang w:val="es-ES_tradnl" w:eastAsia="es-ES"/>
        </w:rPr>
        <w:t xml:space="preserve"> </w:t>
      </w:r>
      <w:r w:rsidRPr="00AC29D6">
        <w:rPr>
          <w:b/>
          <w:sz w:val="23"/>
          <w:szCs w:val="23"/>
          <w:lang w:val="es-ES_tradnl"/>
        </w:rPr>
        <w:t xml:space="preserve">2.) </w:t>
      </w:r>
      <w:r w:rsidRPr="00AC29D6">
        <w:rPr>
          <w:bCs/>
          <w:sz w:val="23"/>
          <w:szCs w:val="23"/>
          <w:lang w:val="es-ES_tradnl"/>
        </w:rPr>
        <w:t>Tomar nota de los principales elementos expuestos en el oficio de cita y de las recomendaciones emitidas; en consecuencia, se aprueba el presente</w:t>
      </w:r>
      <w:r w:rsidRPr="00AC29D6">
        <w:rPr>
          <w:sz w:val="23"/>
          <w:szCs w:val="23"/>
          <w:lang w:val="es-ES_tradnl"/>
        </w:rPr>
        <w:t xml:space="preserve"> informe referente a las Políticas Instituciones del Poder Judicial a octubre del 2021 y comparativo al 15 de diciembre 2021. </w:t>
      </w:r>
      <w:r w:rsidRPr="00AC29D6">
        <w:rPr>
          <w:b/>
          <w:bCs/>
          <w:sz w:val="23"/>
          <w:szCs w:val="23"/>
          <w:lang w:val="es-MX"/>
        </w:rPr>
        <w:t xml:space="preserve">3.) </w:t>
      </w:r>
      <w:r w:rsidRPr="00AC29D6">
        <w:rPr>
          <w:sz w:val="23"/>
          <w:szCs w:val="23"/>
          <w:lang w:val="es-MX"/>
        </w:rPr>
        <w:t>Hacer este acuerdo de conocimiento de las oficinas y despachos judiciales, y de los responsables estratégicos, para lo de sus cargos, según corresponda.</w:t>
      </w:r>
      <w:r w:rsidRPr="00AC29D6">
        <w:rPr>
          <w:b/>
          <w:bCs/>
          <w:sz w:val="23"/>
          <w:szCs w:val="23"/>
          <w:lang w:val="es-MX"/>
        </w:rPr>
        <w:t xml:space="preserve"> </w:t>
      </w:r>
      <w:r w:rsidRPr="00AC29D6">
        <w:rPr>
          <w:b/>
          <w:sz w:val="23"/>
          <w:szCs w:val="23"/>
        </w:rPr>
        <w:t>Se declara acuerdo firme.</w:t>
      </w:r>
      <w:r w:rsidR="009F45D2" w:rsidRPr="00AC29D6">
        <w:rPr>
          <w:sz w:val="23"/>
          <w:szCs w:val="23"/>
        </w:rPr>
        <w:t>”</w:t>
      </w:r>
    </w:p>
    <w:p w14:paraId="5C125FAA" w14:textId="77777777" w:rsidR="009033DA" w:rsidRPr="00AC29D6" w:rsidRDefault="009033DA" w:rsidP="00AC29D6">
      <w:pPr>
        <w:widowControl w:val="0"/>
        <w:autoSpaceDE w:val="0"/>
        <w:autoSpaceDN w:val="0"/>
        <w:adjustRightInd w:val="0"/>
        <w:ind w:right="851"/>
        <w:jc w:val="both"/>
        <w:rPr>
          <w:sz w:val="23"/>
          <w:szCs w:val="23"/>
        </w:rPr>
      </w:pPr>
    </w:p>
    <w:p w14:paraId="47ECE26F" w14:textId="77777777" w:rsidR="003D6337" w:rsidRPr="00AC29D6" w:rsidRDefault="00561024" w:rsidP="00AC29D6">
      <w:pPr>
        <w:tabs>
          <w:tab w:val="left" w:pos="4295"/>
        </w:tabs>
        <w:ind w:left="4248"/>
        <w:jc w:val="both"/>
        <w:rPr>
          <w:b/>
          <w:bCs/>
          <w:sz w:val="23"/>
          <w:szCs w:val="23"/>
        </w:rPr>
      </w:pPr>
      <w:r w:rsidRPr="00AC29D6">
        <w:rPr>
          <w:b/>
          <w:bCs/>
          <w:sz w:val="23"/>
          <w:szCs w:val="23"/>
        </w:rPr>
        <w:t>A</w:t>
      </w:r>
      <w:r w:rsidR="003D6337" w:rsidRPr="00AC29D6">
        <w:rPr>
          <w:b/>
          <w:bCs/>
          <w:sz w:val="23"/>
          <w:szCs w:val="23"/>
        </w:rPr>
        <w:t xml:space="preserve">tentamente, </w:t>
      </w:r>
    </w:p>
    <w:p w14:paraId="65B7A8D2" w14:textId="77777777" w:rsidR="003D6337" w:rsidRPr="00AC29D6" w:rsidRDefault="003D6337" w:rsidP="00AC29D6">
      <w:pPr>
        <w:ind w:left="-708"/>
        <w:jc w:val="both"/>
        <w:rPr>
          <w:b/>
          <w:bCs/>
          <w:sz w:val="23"/>
          <w:szCs w:val="23"/>
        </w:rPr>
      </w:pPr>
    </w:p>
    <w:p w14:paraId="51D45ABA" w14:textId="77777777" w:rsidR="003D6337" w:rsidRPr="00AC29D6" w:rsidRDefault="003D6337" w:rsidP="00AC29D6">
      <w:pPr>
        <w:ind w:left="-708"/>
        <w:jc w:val="both"/>
        <w:rPr>
          <w:b/>
          <w:bCs/>
          <w:sz w:val="23"/>
          <w:szCs w:val="23"/>
        </w:rPr>
      </w:pPr>
    </w:p>
    <w:p w14:paraId="5AA974A0" w14:textId="77777777" w:rsidR="003D6337" w:rsidRPr="00AC29D6" w:rsidRDefault="003D6337" w:rsidP="00AC29D6">
      <w:pPr>
        <w:ind w:left="708"/>
        <w:jc w:val="both"/>
        <w:rPr>
          <w:b/>
          <w:bCs/>
          <w:sz w:val="23"/>
          <w:szCs w:val="23"/>
          <w:lang w:val="es-ES_tradnl"/>
        </w:rPr>
      </w:pPr>
    </w:p>
    <w:p w14:paraId="31EBFCE9" w14:textId="77777777" w:rsidR="00910D0C" w:rsidRPr="00AC29D6" w:rsidRDefault="00910D0C" w:rsidP="00AC29D6">
      <w:pPr>
        <w:ind w:left="708"/>
        <w:jc w:val="both"/>
        <w:rPr>
          <w:b/>
          <w:bCs/>
          <w:sz w:val="23"/>
          <w:szCs w:val="23"/>
          <w:lang w:val="es-ES_tradnl"/>
        </w:rPr>
      </w:pPr>
    </w:p>
    <w:p w14:paraId="455247DE" w14:textId="1EDF8477" w:rsidR="009F1C8E" w:rsidRPr="00AC29D6" w:rsidRDefault="009F1C8E" w:rsidP="00AC29D6">
      <w:pPr>
        <w:pStyle w:val="Ttulo53"/>
        <w:keepNext w:val="0"/>
        <w:tabs>
          <w:tab w:val="clear" w:pos="0"/>
        </w:tabs>
        <w:ind w:left="4248"/>
        <w:jc w:val="both"/>
        <w:rPr>
          <w:rFonts w:eastAsia="Times New Roman"/>
          <w:i w:val="0"/>
          <w:iCs w:val="0"/>
          <w:sz w:val="23"/>
          <w:szCs w:val="23"/>
          <w:u w:val="none"/>
          <w:shd w:val="clear" w:color="auto" w:fill="auto"/>
          <w:lang w:val="es-CR"/>
        </w:rPr>
      </w:pPr>
      <w:r w:rsidRPr="00AC29D6">
        <w:rPr>
          <w:rFonts w:eastAsia="Times New Roman"/>
          <w:i w:val="0"/>
          <w:iCs w:val="0"/>
          <w:sz w:val="23"/>
          <w:szCs w:val="23"/>
          <w:u w:val="none"/>
          <w:shd w:val="clear" w:color="auto" w:fill="auto"/>
          <w:lang w:val="es-CR"/>
        </w:rPr>
        <w:t>Kenneth Aguilar Hernández</w:t>
      </w:r>
    </w:p>
    <w:p w14:paraId="009BE598" w14:textId="73A8B387" w:rsidR="00F833FF" w:rsidRPr="00AC29D6" w:rsidRDefault="009F1C8E" w:rsidP="00AC29D6">
      <w:pPr>
        <w:pStyle w:val="Ttulo53"/>
        <w:keepNext w:val="0"/>
        <w:tabs>
          <w:tab w:val="clear" w:pos="0"/>
        </w:tabs>
        <w:ind w:left="4248"/>
        <w:jc w:val="both"/>
        <w:rPr>
          <w:rFonts w:eastAsia="Times New Roman"/>
          <w:i w:val="0"/>
          <w:iCs w:val="0"/>
          <w:sz w:val="23"/>
          <w:szCs w:val="23"/>
          <w:u w:val="none"/>
          <w:shd w:val="clear" w:color="auto" w:fill="auto"/>
          <w:lang w:val="es-CR"/>
        </w:rPr>
      </w:pPr>
      <w:r w:rsidRPr="00AC29D6">
        <w:rPr>
          <w:rFonts w:eastAsia="Times New Roman"/>
          <w:i w:val="0"/>
          <w:iCs w:val="0"/>
          <w:sz w:val="23"/>
          <w:szCs w:val="23"/>
          <w:u w:val="none"/>
          <w:shd w:val="clear" w:color="auto" w:fill="auto"/>
          <w:lang w:val="es-CR"/>
        </w:rPr>
        <w:t xml:space="preserve">Prosecretario General </w:t>
      </w:r>
    </w:p>
    <w:p w14:paraId="7A07677B" w14:textId="77777777" w:rsidR="00007D52" w:rsidRPr="00AC29D6" w:rsidRDefault="00007D52" w:rsidP="00AC29D6">
      <w:pPr>
        <w:pStyle w:val="Ttulo53"/>
        <w:keepNext w:val="0"/>
        <w:tabs>
          <w:tab w:val="clear" w:pos="0"/>
          <w:tab w:val="left" w:pos="708"/>
        </w:tabs>
        <w:ind w:left="4248"/>
        <w:jc w:val="both"/>
        <w:rPr>
          <w:rFonts w:eastAsia="Times New Roman"/>
          <w:i w:val="0"/>
          <w:iCs w:val="0"/>
          <w:sz w:val="23"/>
          <w:szCs w:val="23"/>
          <w:u w:val="none"/>
          <w:lang w:val="es-CR"/>
        </w:rPr>
      </w:pPr>
      <w:r w:rsidRPr="00AC29D6">
        <w:rPr>
          <w:rFonts w:eastAsia="Times New Roman"/>
          <w:i w:val="0"/>
          <w:iCs w:val="0"/>
          <w:sz w:val="23"/>
          <w:szCs w:val="23"/>
          <w:u w:val="none"/>
          <w:lang w:val="es-CR"/>
        </w:rPr>
        <w:t>Secretaría General de la Corte</w:t>
      </w:r>
    </w:p>
    <w:p w14:paraId="6CFD6FA5" w14:textId="77777777" w:rsidR="009033DA" w:rsidRPr="00AC29D6" w:rsidRDefault="00477DCD" w:rsidP="00AC29D6">
      <w:pPr>
        <w:pStyle w:val="Ttulo51"/>
        <w:keepNext w:val="0"/>
        <w:tabs>
          <w:tab w:val="clear" w:pos="0"/>
        </w:tabs>
        <w:jc w:val="both"/>
        <w:rPr>
          <w:rFonts w:eastAsia="Times New Roman"/>
          <w:i w:val="0"/>
          <w:iCs w:val="0"/>
          <w:sz w:val="23"/>
          <w:szCs w:val="23"/>
          <w:u w:val="none"/>
          <w:shd w:val="clear" w:color="auto" w:fill="auto"/>
          <w:lang w:val="es-CR"/>
        </w:rPr>
      </w:pPr>
      <w:r w:rsidRPr="00AC29D6">
        <w:rPr>
          <w:rFonts w:eastAsia="Times New Roman"/>
          <w:i w:val="0"/>
          <w:iCs w:val="0"/>
          <w:sz w:val="23"/>
          <w:szCs w:val="23"/>
          <w:u w:val="none"/>
          <w:shd w:val="clear" w:color="auto" w:fill="auto"/>
          <w:lang w:val="es-CR"/>
        </w:rPr>
        <w:t xml:space="preserve"> </w:t>
      </w:r>
    </w:p>
    <w:p w14:paraId="160C4001" w14:textId="4EA0E81D" w:rsidR="003C3831" w:rsidRPr="00AC29D6" w:rsidRDefault="00790B81" w:rsidP="00AC29D6">
      <w:pPr>
        <w:autoSpaceDE w:val="0"/>
        <w:autoSpaceDN w:val="0"/>
        <w:jc w:val="both"/>
        <w:rPr>
          <w:b/>
          <w:bCs/>
          <w:color w:val="FF0000"/>
          <w:sz w:val="23"/>
          <w:szCs w:val="23"/>
          <w:lang w:val="es-ES_tradnl"/>
        </w:rPr>
      </w:pPr>
      <w:proofErr w:type="spellStart"/>
      <w:r w:rsidRPr="00AC29D6">
        <w:rPr>
          <w:sz w:val="23"/>
          <w:szCs w:val="23"/>
        </w:rPr>
        <w:t>C</w:t>
      </w:r>
      <w:r w:rsidR="00B46B14" w:rsidRPr="00AC29D6">
        <w:rPr>
          <w:sz w:val="23"/>
          <w:szCs w:val="23"/>
        </w:rPr>
        <w:t>c</w:t>
      </w:r>
      <w:proofErr w:type="spellEnd"/>
      <w:r w:rsidR="0029216A" w:rsidRPr="00AC29D6">
        <w:rPr>
          <w:sz w:val="23"/>
          <w:szCs w:val="23"/>
        </w:rPr>
        <w:t>:</w:t>
      </w:r>
      <w:r w:rsidR="009033DA" w:rsidRPr="00AC29D6">
        <w:rPr>
          <w:sz w:val="23"/>
          <w:szCs w:val="23"/>
        </w:rPr>
        <w:t xml:space="preserve"> </w:t>
      </w:r>
      <w:r w:rsidR="003C3831" w:rsidRPr="00AC29D6">
        <w:rPr>
          <w:b/>
          <w:bCs/>
          <w:color w:val="FF0000"/>
          <w:sz w:val="23"/>
          <w:szCs w:val="23"/>
          <w:lang w:val="es-ES_tradnl"/>
        </w:rPr>
        <w:tab/>
      </w:r>
    </w:p>
    <w:p w14:paraId="7343A35A"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Sala Primera</w:t>
      </w:r>
    </w:p>
    <w:p w14:paraId="04DEAAE9"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Sala Segunda</w:t>
      </w:r>
    </w:p>
    <w:p w14:paraId="6D4F5FD1" w14:textId="6BE3A9DC" w:rsidR="001B006A" w:rsidRPr="00AC29D6"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Sala Tercera</w:t>
      </w:r>
    </w:p>
    <w:p w14:paraId="2D16B203" w14:textId="77777777" w:rsidR="00AC29D6" w:rsidRPr="001B006A" w:rsidRDefault="00AC29D6"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Despacho de la Presidencia</w:t>
      </w:r>
    </w:p>
    <w:p w14:paraId="437E3DA6"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Comisión de la Jurisdicción Agraria</w:t>
      </w:r>
    </w:p>
    <w:p w14:paraId="5D0FDC53"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Comisión de la Jurisdicción Civil</w:t>
      </w:r>
    </w:p>
    <w:p w14:paraId="44843FE2"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Comisión de la Jurisdicción de Familia, Niñez y Adolescencia</w:t>
      </w:r>
    </w:p>
    <w:p w14:paraId="209391E0"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lastRenderedPageBreak/>
        <w:t>Comisión de la Jurisdicción Laboral</w:t>
      </w:r>
    </w:p>
    <w:p w14:paraId="585010DF"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Comisión de la Jurisdicción Penal</w:t>
      </w:r>
      <w:r w:rsidRPr="001B006A">
        <w:rPr>
          <w:color w:val="242424"/>
          <w:sz w:val="23"/>
          <w:szCs w:val="23"/>
          <w:lang w:val="es-CR" w:eastAsia="es-CR"/>
        </w:rPr>
        <w:br/>
        <w:t>Comisión de Resolución Alterna de Conflictos</w:t>
      </w:r>
      <w:r w:rsidRPr="001B006A">
        <w:rPr>
          <w:color w:val="242424"/>
          <w:sz w:val="23"/>
          <w:szCs w:val="23"/>
          <w:lang w:val="es-CR" w:eastAsia="es-CR"/>
        </w:rPr>
        <w:br/>
        <w:t>Comisión de Acceso a la Justicia</w:t>
      </w:r>
    </w:p>
    <w:p w14:paraId="12A41454"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Comisión Nacional para el Mejoramiento de la Administración de Justicia</w:t>
      </w:r>
    </w:p>
    <w:p w14:paraId="6DA9C919" w14:textId="3A026EA9" w:rsidR="001B006A" w:rsidRPr="00AC29D6"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Inspección Judicial</w:t>
      </w:r>
    </w:p>
    <w:p w14:paraId="0D221691" w14:textId="77777777" w:rsidR="00AC29D6" w:rsidRPr="001B006A" w:rsidRDefault="00AC29D6"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Defensa Pública</w:t>
      </w:r>
    </w:p>
    <w:p w14:paraId="6FC86388" w14:textId="77777777" w:rsidR="00AC29D6" w:rsidRPr="001B006A" w:rsidRDefault="00AC29D6"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Fiscalía General</w:t>
      </w:r>
    </w:p>
    <w:p w14:paraId="759F54B6" w14:textId="77777777" w:rsidR="00AC29D6" w:rsidRPr="001B006A" w:rsidRDefault="00AC29D6"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Ministerio Público</w:t>
      </w:r>
    </w:p>
    <w:p w14:paraId="4DB48FBC"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Centro de Conciliación del Poder Judicial</w:t>
      </w:r>
    </w:p>
    <w:p w14:paraId="22FAF77D"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Centro de Información Jurisprudencial</w:t>
      </w:r>
    </w:p>
    <w:p w14:paraId="21F8EE0D"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Centro de Apoyo Coordinación y Mejoramiento de la Función Jurisdiccional</w:t>
      </w:r>
    </w:p>
    <w:p w14:paraId="6CB04207" w14:textId="17C9F9BF" w:rsidR="001B006A" w:rsidRPr="00AC29D6"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Contraloría de Servicios del Poder Judicial</w:t>
      </w:r>
    </w:p>
    <w:p w14:paraId="51554470" w14:textId="77777777" w:rsidR="00AC29D6" w:rsidRPr="00AC29D6" w:rsidRDefault="00AC29D6" w:rsidP="00AC29D6">
      <w:pPr>
        <w:shd w:val="clear" w:color="auto" w:fill="FFFFFF"/>
        <w:suppressAutoHyphens w:val="0"/>
        <w:ind w:left="720"/>
        <w:rPr>
          <w:color w:val="242424"/>
          <w:sz w:val="23"/>
          <w:szCs w:val="23"/>
          <w:lang w:val="es-CR" w:eastAsia="es-CR"/>
        </w:rPr>
      </w:pPr>
      <w:r w:rsidRPr="00AC29D6">
        <w:rPr>
          <w:color w:val="242424"/>
          <w:sz w:val="23"/>
          <w:szCs w:val="23"/>
          <w:lang w:val="es-CR" w:eastAsia="es-CR"/>
        </w:rPr>
        <w:t xml:space="preserve">Dirección General del </w:t>
      </w:r>
      <w:r w:rsidRPr="001B006A">
        <w:rPr>
          <w:color w:val="242424"/>
          <w:sz w:val="23"/>
          <w:szCs w:val="23"/>
          <w:lang w:val="es-CR" w:eastAsia="es-CR"/>
        </w:rPr>
        <w:t>Organismo de Investigación Judicial</w:t>
      </w:r>
    </w:p>
    <w:p w14:paraId="3336699E" w14:textId="563BDB34"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Dirección de Tecnología de Información</w:t>
      </w:r>
    </w:p>
    <w:p w14:paraId="497E9DB3"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Dirección Ejecutiva</w:t>
      </w:r>
    </w:p>
    <w:p w14:paraId="1974CAED"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Dirección Gestión Humana</w:t>
      </w:r>
    </w:p>
    <w:p w14:paraId="309992FB"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Dirección Jurídica</w:t>
      </w:r>
    </w:p>
    <w:p w14:paraId="0EA87975"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Escuela Judicial</w:t>
      </w:r>
    </w:p>
    <w:p w14:paraId="7A1A1653"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Oficina de Control Interno</w:t>
      </w:r>
    </w:p>
    <w:p w14:paraId="55D76A02"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Oficina de Cumplimiento</w:t>
      </w:r>
    </w:p>
    <w:p w14:paraId="69674388"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Programa de Justicia Restaurativa</w:t>
      </w:r>
    </w:p>
    <w:p w14:paraId="394ED086" w14:textId="77777777" w:rsidR="00AC29D6"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Servicio de Atención y Protección de Víctimas y Testigos</w:t>
      </w:r>
    </w:p>
    <w:p w14:paraId="56807914" w14:textId="539FECDE"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Unidad de acceso a la justicia</w:t>
      </w:r>
    </w:p>
    <w:p w14:paraId="4D676ED4"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Administración Ciudad Judicial San Joaquín de Flores</w:t>
      </w:r>
    </w:p>
    <w:p w14:paraId="14138905"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Administración del Circuito Judicial de Heredia</w:t>
      </w:r>
    </w:p>
    <w:p w14:paraId="4C7C3BAA"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Administración Regional de Turrialba</w:t>
      </w:r>
      <w:r w:rsidRPr="001B006A">
        <w:rPr>
          <w:color w:val="242424"/>
          <w:sz w:val="23"/>
          <w:szCs w:val="23"/>
          <w:lang w:val="es-CR" w:eastAsia="es-CR"/>
        </w:rPr>
        <w:br/>
        <w:t>Administración Regional de Cartago</w:t>
      </w:r>
      <w:r w:rsidRPr="001B006A">
        <w:rPr>
          <w:color w:val="242424"/>
          <w:sz w:val="23"/>
          <w:szCs w:val="23"/>
          <w:lang w:val="es-CR" w:eastAsia="es-CR"/>
        </w:rPr>
        <w:br/>
        <w:t>Administración Regional del Primer Circuito Judicial San José</w:t>
      </w:r>
    </w:p>
    <w:p w14:paraId="5509C119"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Administración Regional del Primer Circuito Judicial Alajuela</w:t>
      </w:r>
    </w:p>
    <w:p w14:paraId="7241BBD6"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Administración Regional del Segundo Circuito Judicial Alajuela</w:t>
      </w:r>
    </w:p>
    <w:p w14:paraId="5ED00630" w14:textId="77777777" w:rsidR="001B006A" w:rsidRPr="001B006A" w:rsidRDefault="001B006A" w:rsidP="00AC29D6">
      <w:pPr>
        <w:shd w:val="clear" w:color="auto" w:fill="FFFFFF"/>
        <w:suppressAutoHyphens w:val="0"/>
        <w:ind w:left="720"/>
        <w:rPr>
          <w:color w:val="242424"/>
          <w:sz w:val="23"/>
          <w:szCs w:val="23"/>
          <w:lang w:val="es-CR" w:eastAsia="es-CR"/>
        </w:rPr>
      </w:pPr>
      <w:r w:rsidRPr="001B006A">
        <w:rPr>
          <w:color w:val="242424"/>
          <w:sz w:val="23"/>
          <w:szCs w:val="23"/>
          <w:lang w:val="es-CR" w:eastAsia="es-CR"/>
        </w:rPr>
        <w:t>Administración Regional del Tercer Circuito Judicial Alajuela</w:t>
      </w:r>
    </w:p>
    <w:p w14:paraId="4D00C07F" w14:textId="58406464" w:rsidR="00CF6A73" w:rsidRPr="00AC29D6" w:rsidRDefault="00CF6A73" w:rsidP="00AC29D6">
      <w:pPr>
        <w:autoSpaceDE w:val="0"/>
        <w:autoSpaceDN w:val="0"/>
        <w:ind w:firstLine="708"/>
        <w:rPr>
          <w:color w:val="FF0000"/>
          <w:sz w:val="23"/>
          <w:szCs w:val="23"/>
          <w:lang w:val="es-ES_tradnl"/>
        </w:rPr>
      </w:pPr>
      <w:r w:rsidRPr="00AC29D6">
        <w:rPr>
          <w:sz w:val="23"/>
          <w:szCs w:val="23"/>
          <w:lang w:val="es-MX"/>
        </w:rPr>
        <w:t>Encargado de Circulares</w:t>
      </w:r>
      <w:r w:rsidR="00AC29D6" w:rsidRPr="00AC29D6">
        <w:rPr>
          <w:sz w:val="23"/>
          <w:szCs w:val="23"/>
          <w:lang w:val="es-MX"/>
        </w:rPr>
        <w:t xml:space="preserve"> de la Secretaria General de la Corte</w:t>
      </w:r>
    </w:p>
    <w:p w14:paraId="0B7B2DDB" w14:textId="21CE957E" w:rsidR="0029216A" w:rsidRPr="00AC29D6" w:rsidRDefault="0029216A" w:rsidP="00AC29D6">
      <w:pPr>
        <w:ind w:firstLine="708"/>
        <w:jc w:val="both"/>
        <w:rPr>
          <w:sz w:val="23"/>
          <w:szCs w:val="23"/>
        </w:rPr>
      </w:pPr>
      <w:r w:rsidRPr="00AC29D6">
        <w:rPr>
          <w:sz w:val="23"/>
          <w:szCs w:val="23"/>
        </w:rPr>
        <w:t xml:space="preserve">Diligencias / </w:t>
      </w:r>
      <w:proofErr w:type="spellStart"/>
      <w:r w:rsidRPr="00AC29D6">
        <w:rPr>
          <w:sz w:val="23"/>
          <w:szCs w:val="23"/>
        </w:rPr>
        <w:t>Refs</w:t>
      </w:r>
      <w:proofErr w:type="spellEnd"/>
      <w:r w:rsidRPr="00AC29D6">
        <w:rPr>
          <w:sz w:val="23"/>
          <w:szCs w:val="23"/>
        </w:rPr>
        <w:t>: (</w:t>
      </w:r>
      <w:r w:rsidR="00CF6A73" w:rsidRPr="00AC29D6">
        <w:rPr>
          <w:b/>
          <w:bCs/>
          <w:sz w:val="23"/>
          <w:szCs w:val="23"/>
          <w:lang w:val="es-ES_tradnl"/>
        </w:rPr>
        <w:t>10433-2021</w:t>
      </w:r>
      <w:r w:rsidRPr="00AC29D6">
        <w:rPr>
          <w:sz w:val="23"/>
          <w:szCs w:val="23"/>
        </w:rPr>
        <w:t xml:space="preserve">) </w:t>
      </w:r>
    </w:p>
    <w:p w14:paraId="44EB5DEE" w14:textId="3BFFA355" w:rsidR="009F45D2" w:rsidRPr="00AC29D6" w:rsidRDefault="00BE2779" w:rsidP="00AC29D6">
      <w:pPr>
        <w:ind w:firstLine="708"/>
        <w:jc w:val="both"/>
        <w:rPr>
          <w:b/>
          <w:sz w:val="23"/>
          <w:szCs w:val="23"/>
          <w:shd w:val="clear" w:color="auto" w:fill="FFFFFF"/>
          <w:lang w:val="es-ES_tradnl"/>
        </w:rPr>
      </w:pPr>
      <w:r w:rsidRPr="00AC29D6">
        <w:rPr>
          <w:b/>
          <w:sz w:val="23"/>
          <w:szCs w:val="23"/>
          <w:shd w:val="clear" w:color="auto" w:fill="FFFFFF"/>
          <w:lang w:val="es-ES_tradnl"/>
        </w:rPr>
        <w:t>ediazo</w:t>
      </w:r>
    </w:p>
    <w:sectPr w:rsidR="009F45D2" w:rsidRPr="00AC29D6" w:rsidSect="00186ADE">
      <w:headerReference w:type="even" r:id="rId9"/>
      <w:headerReference w:type="default" r:id="rId10"/>
      <w:footerReference w:type="even" r:id="rId11"/>
      <w:footerReference w:type="default" r:id="rId12"/>
      <w:headerReference w:type="first" r:id="rId13"/>
      <w:footerReference w:type="first" r:id="rId14"/>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3C154F" w14:textId="77777777" w:rsidR="006374A4" w:rsidRDefault="006374A4">
      <w:r>
        <w:separator/>
      </w:r>
    </w:p>
  </w:endnote>
  <w:endnote w:type="continuationSeparator" w:id="0">
    <w:p w14:paraId="13333109" w14:textId="77777777" w:rsidR="006374A4" w:rsidRDefault="00637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Courier New"/>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7AE883" w14:textId="77777777" w:rsidR="006374A4" w:rsidRDefault="006374A4">
      <w:r>
        <w:separator/>
      </w:r>
    </w:p>
  </w:footnote>
  <w:footnote w:type="continuationSeparator" w:id="0">
    <w:p w14:paraId="08E1361D" w14:textId="77777777" w:rsidR="006374A4" w:rsidRDefault="00637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7B23D90D" w:rsidR="00186ADE" w:rsidRDefault="001360A3">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7E9D7F26">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0"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4"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1"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5"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8"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2"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4"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0"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4"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5"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8"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12A20B3"/>
    <w:multiLevelType w:val="multilevel"/>
    <w:tmpl w:val="41BC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7" w15:restartNumberingAfterBreak="0">
    <w:nsid w:val="43CE09F8"/>
    <w:multiLevelType w:val="hybridMultilevel"/>
    <w:tmpl w:val="C4BE523A"/>
    <w:lvl w:ilvl="0" w:tplc="55AC1898">
      <w:start w:val="1"/>
      <w:numFmt w:val="decimal"/>
      <w:lvlText w:val="17.%1."/>
      <w:lvlJc w:val="left"/>
      <w:pPr>
        <w:ind w:left="720" w:hanging="360"/>
      </w:pPr>
      <w:rPr>
        <w:b/>
        <w:bCs/>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8"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4"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5"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9"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2"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3"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4"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60664AC"/>
    <w:multiLevelType w:val="hybridMultilevel"/>
    <w:tmpl w:val="A2FE5AAA"/>
    <w:lvl w:ilvl="0" w:tplc="1BA26C14">
      <w:start w:val="1"/>
      <w:numFmt w:val="decimal"/>
      <w:lvlText w:val="18.%1."/>
      <w:lvlJc w:val="left"/>
      <w:pPr>
        <w:ind w:left="777" w:hanging="360"/>
      </w:pPr>
      <w:rPr>
        <w:b/>
        <w:bCs/>
      </w:rPr>
    </w:lvl>
    <w:lvl w:ilvl="1" w:tplc="140A0019">
      <w:start w:val="1"/>
      <w:numFmt w:val="lowerLetter"/>
      <w:lvlText w:val="%2."/>
      <w:lvlJc w:val="left"/>
      <w:pPr>
        <w:ind w:left="1497" w:hanging="360"/>
      </w:pPr>
    </w:lvl>
    <w:lvl w:ilvl="2" w:tplc="140A001B">
      <w:start w:val="1"/>
      <w:numFmt w:val="lowerRoman"/>
      <w:lvlText w:val="%3."/>
      <w:lvlJc w:val="right"/>
      <w:pPr>
        <w:ind w:left="2217" w:hanging="180"/>
      </w:pPr>
    </w:lvl>
    <w:lvl w:ilvl="3" w:tplc="140A000F">
      <w:start w:val="1"/>
      <w:numFmt w:val="decimal"/>
      <w:lvlText w:val="%4."/>
      <w:lvlJc w:val="left"/>
      <w:pPr>
        <w:ind w:left="2937" w:hanging="360"/>
      </w:pPr>
    </w:lvl>
    <w:lvl w:ilvl="4" w:tplc="140A0019">
      <w:start w:val="1"/>
      <w:numFmt w:val="lowerLetter"/>
      <w:lvlText w:val="%5."/>
      <w:lvlJc w:val="left"/>
      <w:pPr>
        <w:ind w:left="3657" w:hanging="360"/>
      </w:pPr>
    </w:lvl>
    <w:lvl w:ilvl="5" w:tplc="140A001B">
      <w:start w:val="1"/>
      <w:numFmt w:val="lowerRoman"/>
      <w:lvlText w:val="%6."/>
      <w:lvlJc w:val="right"/>
      <w:pPr>
        <w:ind w:left="4377" w:hanging="180"/>
      </w:pPr>
    </w:lvl>
    <w:lvl w:ilvl="6" w:tplc="140A000F">
      <w:start w:val="1"/>
      <w:numFmt w:val="decimal"/>
      <w:lvlText w:val="%7."/>
      <w:lvlJc w:val="left"/>
      <w:pPr>
        <w:ind w:left="5097" w:hanging="360"/>
      </w:pPr>
    </w:lvl>
    <w:lvl w:ilvl="7" w:tplc="140A0019">
      <w:start w:val="1"/>
      <w:numFmt w:val="lowerLetter"/>
      <w:lvlText w:val="%8."/>
      <w:lvlJc w:val="left"/>
      <w:pPr>
        <w:ind w:left="5817" w:hanging="360"/>
      </w:pPr>
    </w:lvl>
    <w:lvl w:ilvl="8" w:tplc="140A001B">
      <w:start w:val="1"/>
      <w:numFmt w:val="lowerRoman"/>
      <w:lvlText w:val="%9."/>
      <w:lvlJc w:val="right"/>
      <w:pPr>
        <w:ind w:left="6537" w:hanging="180"/>
      </w:pPr>
    </w:lvl>
  </w:abstractNum>
  <w:abstractNum w:abstractNumId="86"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9"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90"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2"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6"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100"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6"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7"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4"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6"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7"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5"/>
  </w:num>
  <w:num w:numId="3">
    <w:abstractNumId w:val="15"/>
  </w:num>
  <w:num w:numId="4">
    <w:abstractNumId w:val="103"/>
  </w:num>
  <w:num w:numId="5">
    <w:abstractNumId w:val="1"/>
  </w:num>
  <w:num w:numId="6">
    <w:abstractNumId w:val="66"/>
  </w:num>
  <w:num w:numId="7">
    <w:abstractNumId w:val="0"/>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num>
  <w:num w:numId="10">
    <w:abstractNumId w:val="47"/>
  </w:num>
  <w:num w:numId="11">
    <w:abstractNumId w:val="46"/>
  </w:num>
  <w:num w:numId="12">
    <w:abstractNumId w:val="106"/>
  </w:num>
  <w:num w:numId="13">
    <w:abstractNumId w:val="111"/>
  </w:num>
  <w:num w:numId="14">
    <w:abstractNumId w:val="32"/>
  </w:num>
  <w:num w:numId="15">
    <w:abstractNumId w:val="124"/>
  </w:num>
  <w:num w:numId="16">
    <w:abstractNumId w:val="98"/>
  </w:num>
  <w:num w:numId="17">
    <w:abstractNumId w:val="87"/>
  </w:num>
  <w:num w:numId="18">
    <w:abstractNumId w:val="90"/>
  </w:num>
  <w:num w:numId="19">
    <w:abstractNumId w:val="23"/>
  </w:num>
  <w:num w:numId="20">
    <w:abstractNumId w:val="45"/>
  </w:num>
  <w:num w:numId="21">
    <w:abstractNumId w:val="62"/>
  </w:num>
  <w:num w:numId="22">
    <w:abstractNumId w:val="21"/>
  </w:num>
  <w:num w:numId="23">
    <w:abstractNumId w:val="122"/>
  </w:num>
  <w:num w:numId="24">
    <w:abstractNumId w:val="55"/>
  </w:num>
  <w:num w:numId="25">
    <w:abstractNumId w:val="44"/>
  </w:num>
  <w:num w:numId="26">
    <w:abstractNumId w:val="79"/>
  </w:num>
  <w:num w:numId="27">
    <w:abstractNumId w:val="12"/>
  </w:num>
  <w:num w:numId="28">
    <w:abstractNumId w:val="39"/>
  </w:num>
  <w:num w:numId="29">
    <w:abstractNumId w:val="76"/>
  </w:num>
  <w:num w:numId="30">
    <w:abstractNumId w:val="58"/>
  </w:num>
  <w:num w:numId="31">
    <w:abstractNumId w:val="48"/>
  </w:num>
  <w:num w:numId="32">
    <w:abstractNumId w:val="84"/>
  </w:num>
  <w:num w:numId="33">
    <w:abstractNumId w:val="9"/>
  </w:num>
  <w:num w:numId="34">
    <w:abstractNumId w:val="69"/>
  </w:num>
  <w:num w:numId="35">
    <w:abstractNumId w:val="38"/>
  </w:num>
  <w:num w:numId="36">
    <w:abstractNumId w:val="17"/>
  </w:num>
  <w:num w:numId="37">
    <w:abstractNumId w:val="41"/>
  </w:num>
  <w:num w:numId="38">
    <w:abstractNumId w:val="117"/>
  </w:num>
  <w:num w:numId="39">
    <w:abstractNumId w:val="33"/>
  </w:num>
  <w:num w:numId="40">
    <w:abstractNumId w:val="7"/>
  </w:num>
  <w:num w:numId="41">
    <w:abstractNumId w:val="119"/>
  </w:num>
  <w:num w:numId="42">
    <w:abstractNumId w:val="24"/>
  </w:num>
  <w:num w:numId="43">
    <w:abstractNumId w:val="8"/>
  </w:num>
  <w:num w:numId="44">
    <w:abstractNumId w:val="51"/>
  </w:num>
  <w:num w:numId="45">
    <w:abstractNumId w:val="96"/>
  </w:num>
  <w:num w:numId="46">
    <w:abstractNumId w:val="115"/>
  </w:num>
  <w:num w:numId="47">
    <w:abstractNumId w:val="116"/>
  </w:num>
  <w:num w:numId="48">
    <w:abstractNumId w:val="112"/>
  </w:num>
  <w:num w:numId="49">
    <w:abstractNumId w:val="36"/>
  </w:num>
  <w:num w:numId="50">
    <w:abstractNumId w:val="92"/>
  </w:num>
  <w:num w:numId="51">
    <w:abstractNumId w:val="20"/>
  </w:num>
  <w:num w:numId="52">
    <w:abstractNumId w:val="97"/>
  </w:num>
  <w:num w:numId="53">
    <w:abstractNumId w:val="110"/>
  </w:num>
  <w:num w:numId="54">
    <w:abstractNumId w:val="60"/>
  </w:num>
  <w:num w:numId="55">
    <w:abstractNumId w:val="75"/>
  </w:num>
  <w:num w:numId="56">
    <w:abstractNumId w:val="50"/>
  </w:num>
  <w:num w:numId="57">
    <w:abstractNumId w:val="16"/>
  </w:num>
  <w:num w:numId="58">
    <w:abstractNumId w:val="113"/>
  </w:num>
  <w:num w:numId="59">
    <w:abstractNumId w:val="13"/>
  </w:num>
  <w:num w:numId="60">
    <w:abstractNumId w:val="100"/>
  </w:num>
  <w:num w:numId="61">
    <w:abstractNumId w:val="64"/>
  </w:num>
  <w:num w:numId="62">
    <w:abstractNumId w:val="27"/>
  </w:num>
  <w:num w:numId="63">
    <w:abstractNumId w:val="31"/>
  </w:num>
  <w:num w:numId="64">
    <w:abstractNumId w:val="77"/>
  </w:num>
  <w:num w:numId="65">
    <w:abstractNumId w:val="129"/>
  </w:num>
  <w:num w:numId="66">
    <w:abstractNumId w:val="63"/>
  </w:num>
  <w:num w:numId="67">
    <w:abstractNumId w:val="94"/>
  </w:num>
  <w:num w:numId="68">
    <w:abstractNumId w:val="29"/>
  </w:num>
  <w:num w:numId="69">
    <w:abstractNumId w:val="28"/>
  </w:num>
  <w:num w:numId="70">
    <w:abstractNumId w:val="95"/>
  </w:num>
  <w:num w:numId="71">
    <w:abstractNumId w:val="127"/>
  </w:num>
  <w:num w:numId="72">
    <w:abstractNumId w:val="52"/>
  </w:num>
  <w:num w:numId="73">
    <w:abstractNumId w:val="125"/>
  </w:num>
  <w:num w:numId="74">
    <w:abstractNumId w:val="18"/>
  </w:num>
  <w:num w:numId="75">
    <w:abstractNumId w:val="25"/>
  </w:num>
  <w:num w:numId="76">
    <w:abstractNumId w:val="107"/>
  </w:num>
  <w:num w:numId="77">
    <w:abstractNumId w:val="118"/>
  </w:num>
  <w:num w:numId="78">
    <w:abstractNumId w:val="128"/>
  </w:num>
  <w:num w:numId="79">
    <w:abstractNumId w:val="104"/>
  </w:num>
  <w:num w:numId="80">
    <w:abstractNumId w:val="80"/>
  </w:num>
  <w:num w:numId="81">
    <w:abstractNumId w:val="101"/>
  </w:num>
  <w:num w:numId="82">
    <w:abstractNumId w:val="109"/>
  </w:num>
  <w:num w:numId="83">
    <w:abstractNumId w:val="130"/>
  </w:num>
  <w:num w:numId="84">
    <w:abstractNumId w:val="86"/>
  </w:num>
  <w:num w:numId="85">
    <w:abstractNumId w:val="34"/>
  </w:num>
  <w:num w:numId="86">
    <w:abstractNumId w:val="70"/>
  </w:num>
  <w:num w:numId="87">
    <w:abstractNumId w:val="102"/>
  </w:num>
  <w:num w:numId="88">
    <w:abstractNumId w:val="57"/>
  </w:num>
  <w:num w:numId="89">
    <w:abstractNumId w:val="126"/>
  </w:num>
  <w:num w:numId="90">
    <w:abstractNumId w:val="61"/>
  </w:num>
  <w:num w:numId="91">
    <w:abstractNumId w:val="37"/>
  </w:num>
  <w:num w:numId="92">
    <w:abstractNumId w:val="22"/>
  </w:num>
  <w:num w:numId="93">
    <w:abstractNumId w:val="35"/>
  </w:num>
  <w:num w:numId="94">
    <w:abstractNumId w:val="26"/>
  </w:num>
  <w:num w:numId="95">
    <w:abstractNumId w:val="14"/>
  </w:num>
  <w:num w:numId="96">
    <w:abstractNumId w:val="81"/>
  </w:num>
  <w:num w:numId="97">
    <w:abstractNumId w:val="74"/>
  </w:num>
  <w:num w:numId="98">
    <w:abstractNumId w:val="40"/>
  </w:num>
  <w:num w:numId="99">
    <w:abstractNumId w:val="91"/>
  </w:num>
  <w:num w:numId="100">
    <w:abstractNumId w:val="73"/>
  </w:num>
  <w:num w:numId="101">
    <w:abstractNumId w:val="89"/>
  </w:num>
  <w:num w:numId="102">
    <w:abstractNumId w:val="30"/>
  </w:num>
  <w:num w:numId="103">
    <w:abstractNumId w:val="19"/>
  </w:num>
  <w:num w:numId="104">
    <w:abstractNumId w:val="71"/>
  </w:num>
  <w:num w:numId="105">
    <w:abstractNumId w:val="10"/>
  </w:num>
  <w:num w:numId="106">
    <w:abstractNumId w:val="83"/>
  </w:num>
  <w:num w:numId="107">
    <w:abstractNumId w:val="54"/>
  </w:num>
  <w:num w:numId="108">
    <w:abstractNumId w:val="88"/>
  </w:num>
  <w:num w:numId="109">
    <w:abstractNumId w:val="120"/>
  </w:num>
  <w:num w:numId="110">
    <w:abstractNumId w:val="6"/>
  </w:num>
  <w:num w:numId="111">
    <w:abstractNumId w:val="72"/>
  </w:num>
  <w:num w:numId="112">
    <w:abstractNumId w:val="121"/>
  </w:num>
  <w:num w:numId="113">
    <w:abstractNumId w:val="5"/>
  </w:num>
  <w:num w:numId="114">
    <w:abstractNumId w:val="42"/>
  </w:num>
  <w:num w:numId="115">
    <w:abstractNumId w:val="78"/>
  </w:num>
  <w:num w:numId="116">
    <w:abstractNumId w:val="99"/>
  </w:num>
  <w:num w:numId="117">
    <w:abstractNumId w:val="49"/>
  </w:num>
  <w:num w:numId="118">
    <w:abstractNumId w:val="11"/>
  </w:num>
  <w:num w:numId="11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3"/>
  </w:num>
  <w:num w:numId="121">
    <w:abstractNumId w:val="114"/>
  </w:num>
  <w:num w:numId="122">
    <w:abstractNumId w:val="68"/>
  </w:num>
  <w:num w:numId="123">
    <w:abstractNumId w:val="131"/>
  </w:num>
  <w:num w:numId="124">
    <w:abstractNumId w:val="93"/>
  </w:num>
  <w:num w:numId="125">
    <w:abstractNumId w:val="108"/>
  </w:num>
  <w:num w:numId="12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1CB5"/>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2CAE"/>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0A3"/>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006A"/>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0D89"/>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CE2"/>
    <w:rsid w:val="00330900"/>
    <w:rsid w:val="003318B5"/>
    <w:rsid w:val="00331C62"/>
    <w:rsid w:val="00335E22"/>
    <w:rsid w:val="00342756"/>
    <w:rsid w:val="003438E5"/>
    <w:rsid w:val="0034587C"/>
    <w:rsid w:val="00347438"/>
    <w:rsid w:val="00347A60"/>
    <w:rsid w:val="003528D1"/>
    <w:rsid w:val="003547C3"/>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97368"/>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3831"/>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91AE7"/>
    <w:rsid w:val="00491E3A"/>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C77DA"/>
    <w:rsid w:val="004D2236"/>
    <w:rsid w:val="004D2E19"/>
    <w:rsid w:val="004D3A51"/>
    <w:rsid w:val="004D5A9B"/>
    <w:rsid w:val="004D6743"/>
    <w:rsid w:val="004E0F9F"/>
    <w:rsid w:val="004E1825"/>
    <w:rsid w:val="004E7220"/>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50CB"/>
    <w:rsid w:val="005854FE"/>
    <w:rsid w:val="005858DF"/>
    <w:rsid w:val="005916A5"/>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374A4"/>
    <w:rsid w:val="006402B0"/>
    <w:rsid w:val="00640BEB"/>
    <w:rsid w:val="00642C5F"/>
    <w:rsid w:val="0064326B"/>
    <w:rsid w:val="00643DD9"/>
    <w:rsid w:val="00646537"/>
    <w:rsid w:val="00646BF4"/>
    <w:rsid w:val="00652BC7"/>
    <w:rsid w:val="00653E57"/>
    <w:rsid w:val="00655E99"/>
    <w:rsid w:val="0065644F"/>
    <w:rsid w:val="00656AD0"/>
    <w:rsid w:val="006578E0"/>
    <w:rsid w:val="00662200"/>
    <w:rsid w:val="0066356A"/>
    <w:rsid w:val="0066595E"/>
    <w:rsid w:val="00667F65"/>
    <w:rsid w:val="00675D90"/>
    <w:rsid w:val="00677782"/>
    <w:rsid w:val="00680056"/>
    <w:rsid w:val="00680D5A"/>
    <w:rsid w:val="006868D6"/>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0C96"/>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1B89"/>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B81"/>
    <w:rsid w:val="00792BA3"/>
    <w:rsid w:val="00792DA2"/>
    <w:rsid w:val="00792E37"/>
    <w:rsid w:val="007A19CA"/>
    <w:rsid w:val="007A228E"/>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4F3"/>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3A9B"/>
    <w:rsid w:val="008F7BD8"/>
    <w:rsid w:val="00901F61"/>
    <w:rsid w:val="009033DA"/>
    <w:rsid w:val="0091084F"/>
    <w:rsid w:val="00910D0C"/>
    <w:rsid w:val="00911C10"/>
    <w:rsid w:val="00912119"/>
    <w:rsid w:val="00916994"/>
    <w:rsid w:val="00920158"/>
    <w:rsid w:val="009222E0"/>
    <w:rsid w:val="00926F2E"/>
    <w:rsid w:val="0093170F"/>
    <w:rsid w:val="009322A3"/>
    <w:rsid w:val="00932AAE"/>
    <w:rsid w:val="00933DDB"/>
    <w:rsid w:val="00933FB3"/>
    <w:rsid w:val="0093452A"/>
    <w:rsid w:val="00934AB7"/>
    <w:rsid w:val="009413F0"/>
    <w:rsid w:val="009414E9"/>
    <w:rsid w:val="00941953"/>
    <w:rsid w:val="00942063"/>
    <w:rsid w:val="00942821"/>
    <w:rsid w:val="009447E0"/>
    <w:rsid w:val="00944E19"/>
    <w:rsid w:val="00944EFF"/>
    <w:rsid w:val="0094758F"/>
    <w:rsid w:val="00950671"/>
    <w:rsid w:val="00951B93"/>
    <w:rsid w:val="00952F7A"/>
    <w:rsid w:val="00953964"/>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BEE"/>
    <w:rsid w:val="00A22C29"/>
    <w:rsid w:val="00A31821"/>
    <w:rsid w:val="00A37A85"/>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5FA0"/>
    <w:rsid w:val="00A963D1"/>
    <w:rsid w:val="00A9668F"/>
    <w:rsid w:val="00A979FF"/>
    <w:rsid w:val="00AA1E86"/>
    <w:rsid w:val="00AA3202"/>
    <w:rsid w:val="00AA5BE0"/>
    <w:rsid w:val="00AB144B"/>
    <w:rsid w:val="00AB2E62"/>
    <w:rsid w:val="00AB66F7"/>
    <w:rsid w:val="00AB73C6"/>
    <w:rsid w:val="00AC29D6"/>
    <w:rsid w:val="00AC2BF6"/>
    <w:rsid w:val="00AC7BEB"/>
    <w:rsid w:val="00AD0601"/>
    <w:rsid w:val="00AD1B4D"/>
    <w:rsid w:val="00AD22D4"/>
    <w:rsid w:val="00AD241A"/>
    <w:rsid w:val="00AD60A3"/>
    <w:rsid w:val="00AD67C6"/>
    <w:rsid w:val="00AD738D"/>
    <w:rsid w:val="00AD7613"/>
    <w:rsid w:val="00AD7CEF"/>
    <w:rsid w:val="00AE1904"/>
    <w:rsid w:val="00AE2F5C"/>
    <w:rsid w:val="00AE323F"/>
    <w:rsid w:val="00AE32D4"/>
    <w:rsid w:val="00AE66E1"/>
    <w:rsid w:val="00AE77B6"/>
    <w:rsid w:val="00AF0F90"/>
    <w:rsid w:val="00AF21FD"/>
    <w:rsid w:val="00AF263F"/>
    <w:rsid w:val="00AF2AAE"/>
    <w:rsid w:val="00AF34DF"/>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1996"/>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2779"/>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37457"/>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6A73"/>
    <w:rsid w:val="00CF7911"/>
    <w:rsid w:val="00D01ABD"/>
    <w:rsid w:val="00D02265"/>
    <w:rsid w:val="00D022C3"/>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16B"/>
    <w:rsid w:val="00D86BE7"/>
    <w:rsid w:val="00D922BB"/>
    <w:rsid w:val="00D930B6"/>
    <w:rsid w:val="00D939E7"/>
    <w:rsid w:val="00D93E61"/>
    <w:rsid w:val="00D969BA"/>
    <w:rsid w:val="00DA2A3B"/>
    <w:rsid w:val="00DA68B3"/>
    <w:rsid w:val="00DA6B0B"/>
    <w:rsid w:val="00DB662B"/>
    <w:rsid w:val="00DB749E"/>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2368"/>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19B"/>
    <w:rsid w:val="00E55D81"/>
    <w:rsid w:val="00E57405"/>
    <w:rsid w:val="00E60A06"/>
    <w:rsid w:val="00E6149C"/>
    <w:rsid w:val="00E6394B"/>
    <w:rsid w:val="00E64066"/>
    <w:rsid w:val="00E71977"/>
    <w:rsid w:val="00E7263D"/>
    <w:rsid w:val="00E748D0"/>
    <w:rsid w:val="00E7681F"/>
    <w:rsid w:val="00E77F5E"/>
    <w:rsid w:val="00E8000F"/>
    <w:rsid w:val="00E815A3"/>
    <w:rsid w:val="00E821CF"/>
    <w:rsid w:val="00E8254C"/>
    <w:rsid w:val="00E82A69"/>
    <w:rsid w:val="00E83FBA"/>
    <w:rsid w:val="00E845FE"/>
    <w:rsid w:val="00E90F1E"/>
    <w:rsid w:val="00E92B73"/>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226600">
      <w:bodyDiv w:val="1"/>
      <w:marLeft w:val="0"/>
      <w:marRight w:val="0"/>
      <w:marTop w:val="0"/>
      <w:marBottom w:val="0"/>
      <w:divBdr>
        <w:top w:val="none" w:sz="0" w:space="0" w:color="auto"/>
        <w:left w:val="none" w:sz="0" w:space="0" w:color="auto"/>
        <w:bottom w:val="none" w:sz="0" w:space="0" w:color="auto"/>
        <w:right w:val="none" w:sz="0" w:space="0" w:color="auto"/>
      </w:divBdr>
    </w:div>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13</Pages>
  <Words>4326</Words>
  <Characters>23796</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28066</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Elienai Díaz Obando</cp:lastModifiedBy>
  <cp:revision>3</cp:revision>
  <cp:lastPrinted>2016-02-03T19:46:00Z</cp:lastPrinted>
  <dcterms:created xsi:type="dcterms:W3CDTF">2022-03-14T20:06:00Z</dcterms:created>
  <dcterms:modified xsi:type="dcterms:W3CDTF">2022-03-14T20:45:00Z</dcterms:modified>
</cp:coreProperties>
</file>