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015BFF" w14:textId="77777777" w:rsidR="002E7075" w:rsidRDefault="002E7075" w:rsidP="007058BC">
      <w:pPr>
        <w:jc w:val="both"/>
        <w:rPr>
          <w:rFonts w:ascii="Times New Roman" w:hAnsi="Times New Roman" w:cs="Times New Roman"/>
          <w:b/>
          <w:sz w:val="24"/>
          <w:szCs w:val="24"/>
          <w:u w:val="single" w:color="000000"/>
          <w:lang w:val="es-ES_tradnl"/>
        </w:rPr>
      </w:pPr>
    </w:p>
    <w:p w14:paraId="40EB8868" w14:textId="402B866A" w:rsidR="007058BC" w:rsidRPr="002E7075" w:rsidRDefault="007058BC" w:rsidP="00656B12">
      <w:pPr>
        <w:spacing w:after="0" w:line="240" w:lineRule="auto"/>
        <w:ind w:firstLine="709"/>
        <w:jc w:val="both"/>
        <w:rPr>
          <w:rFonts w:ascii="Times New Roman" w:hAnsi="Times New Roman" w:cs="Times New Roman"/>
          <w:sz w:val="24"/>
          <w:szCs w:val="24"/>
          <w:lang w:val="es-ES_tradnl"/>
        </w:rPr>
      </w:pPr>
      <w:r w:rsidRPr="002E7075">
        <w:rPr>
          <w:rFonts w:ascii="Times New Roman" w:hAnsi="Times New Roman" w:cs="Times New Roman"/>
          <w:b/>
          <w:sz w:val="24"/>
          <w:szCs w:val="24"/>
          <w:u w:val="single" w:color="000000"/>
          <w:lang w:val="es-ES_tradnl"/>
        </w:rPr>
        <w:t xml:space="preserve">CIRCULAR N° </w:t>
      </w:r>
      <w:r w:rsidR="00805D84">
        <w:rPr>
          <w:rFonts w:ascii="Times New Roman" w:hAnsi="Times New Roman" w:cs="Times New Roman"/>
          <w:b/>
          <w:sz w:val="24"/>
          <w:szCs w:val="24"/>
          <w:u w:val="single" w:color="000000"/>
          <w:lang w:val="es-ES_tradnl"/>
        </w:rPr>
        <w:t>138</w:t>
      </w:r>
      <w:r w:rsidRPr="002E7075">
        <w:rPr>
          <w:rFonts w:ascii="Times New Roman" w:hAnsi="Times New Roman" w:cs="Times New Roman"/>
          <w:b/>
          <w:sz w:val="24"/>
          <w:szCs w:val="24"/>
          <w:u w:val="single" w:color="000000"/>
          <w:lang w:val="es-ES_tradnl"/>
        </w:rPr>
        <w:t>-2021</w:t>
      </w:r>
      <w:r w:rsidRPr="002E7075">
        <w:rPr>
          <w:rFonts w:ascii="Times New Roman" w:hAnsi="Times New Roman" w:cs="Times New Roman"/>
          <w:sz w:val="24"/>
          <w:szCs w:val="24"/>
          <w:lang w:val="es-ES_tradnl"/>
        </w:rPr>
        <w:t xml:space="preserve"> </w:t>
      </w:r>
    </w:p>
    <w:p w14:paraId="3AF05AF7" w14:textId="77777777" w:rsidR="00805D84" w:rsidRDefault="00805D84" w:rsidP="00656B12">
      <w:pPr>
        <w:spacing w:after="0" w:line="240" w:lineRule="auto"/>
        <w:ind w:firstLine="709"/>
        <w:jc w:val="both"/>
        <w:rPr>
          <w:rFonts w:ascii="Times New Roman" w:hAnsi="Times New Roman" w:cs="Times New Roman"/>
          <w:sz w:val="24"/>
          <w:szCs w:val="24"/>
          <w:lang w:val="es-ES" w:eastAsia="es-CR"/>
        </w:rPr>
      </w:pPr>
      <w:r>
        <w:rPr>
          <w:rFonts w:ascii="Times New Roman" w:hAnsi="Times New Roman" w:cs="Times New Roman"/>
          <w:b/>
          <w:bCs/>
          <w:sz w:val="24"/>
          <w:szCs w:val="24"/>
          <w:u w:val="single"/>
          <w:lang w:val="es-ES" w:eastAsia="es-CR"/>
        </w:rPr>
        <w:t>Asunto</w:t>
      </w:r>
      <w:r>
        <w:rPr>
          <w:rFonts w:ascii="Times New Roman" w:hAnsi="Times New Roman" w:cs="Times New Roman"/>
          <w:sz w:val="24"/>
          <w:szCs w:val="24"/>
          <w:lang w:val="es-ES" w:eastAsia="es-CR"/>
        </w:rPr>
        <w:t>: Procedimiento para el uso y actualización de la Guía de Información de Oficinas (GIO)</w:t>
      </w:r>
    </w:p>
    <w:p w14:paraId="70CD0731" w14:textId="5DF2A68A" w:rsidR="00805D84" w:rsidRPr="00805D84" w:rsidRDefault="00805D84" w:rsidP="00656B12">
      <w:pPr>
        <w:spacing w:after="0" w:line="240" w:lineRule="auto"/>
        <w:ind w:firstLine="709"/>
        <w:jc w:val="both"/>
        <w:rPr>
          <w:rFonts w:ascii="Times New Roman" w:hAnsi="Times New Roman" w:cs="Times New Roman"/>
          <w:sz w:val="24"/>
          <w:szCs w:val="24"/>
          <w:u w:val="single"/>
          <w:lang w:val="es-ES" w:eastAsia="es-CR"/>
        </w:rPr>
      </w:pPr>
      <w:r w:rsidRPr="00805D84">
        <w:rPr>
          <w:rFonts w:ascii="Times New Roman" w:hAnsi="Times New Roman" w:cs="Times New Roman"/>
          <w:b/>
          <w:bCs/>
          <w:sz w:val="24"/>
          <w:szCs w:val="24"/>
          <w:u w:val="single"/>
          <w:lang w:val="es-ES" w:eastAsia="es-CR"/>
        </w:rPr>
        <w:t>A TODAS LAS OFICINAS Y DESPACHOS JUDICIALES DEL PAÍS</w:t>
      </w:r>
    </w:p>
    <w:p w14:paraId="05DD3A0D" w14:textId="77777777" w:rsidR="00805D84" w:rsidRDefault="00805D84" w:rsidP="00656B12">
      <w:pPr>
        <w:spacing w:after="0" w:line="240" w:lineRule="auto"/>
        <w:ind w:firstLine="709"/>
        <w:jc w:val="both"/>
        <w:rPr>
          <w:rFonts w:ascii="Times New Roman" w:hAnsi="Times New Roman" w:cs="Times New Roman"/>
          <w:sz w:val="24"/>
          <w:szCs w:val="24"/>
          <w:lang w:val="es-ES" w:eastAsia="es-CR"/>
        </w:rPr>
      </w:pPr>
      <w:r>
        <w:rPr>
          <w:rFonts w:ascii="Times New Roman" w:hAnsi="Times New Roman" w:cs="Times New Roman"/>
          <w:b/>
          <w:bCs/>
          <w:sz w:val="24"/>
          <w:szCs w:val="24"/>
          <w:u w:val="single"/>
          <w:lang w:val="es-ES" w:eastAsia="es-CR"/>
        </w:rPr>
        <w:t>SE LES HACE SABER QUE</w:t>
      </w:r>
      <w:r>
        <w:rPr>
          <w:rFonts w:ascii="Times New Roman" w:hAnsi="Times New Roman" w:cs="Times New Roman"/>
          <w:b/>
          <w:bCs/>
          <w:sz w:val="24"/>
          <w:szCs w:val="24"/>
          <w:lang w:val="es-ES" w:eastAsia="es-CR"/>
        </w:rPr>
        <w:t>:</w:t>
      </w:r>
    </w:p>
    <w:p w14:paraId="4F3C1D76" w14:textId="069836B5" w:rsidR="00805D84" w:rsidRDefault="00805D84" w:rsidP="00656B12">
      <w:pPr>
        <w:spacing w:after="0" w:line="240" w:lineRule="auto"/>
        <w:ind w:firstLine="709"/>
        <w:jc w:val="both"/>
        <w:rPr>
          <w:rFonts w:ascii="Times New Roman" w:hAnsi="Times New Roman" w:cs="Times New Roman"/>
          <w:sz w:val="24"/>
          <w:szCs w:val="24"/>
          <w:lang w:val="es-ES" w:eastAsia="es-CR"/>
        </w:rPr>
      </w:pPr>
      <w:r>
        <w:rPr>
          <w:rFonts w:ascii="Times New Roman" w:hAnsi="Times New Roman" w:cs="Times New Roman"/>
          <w:sz w:val="24"/>
          <w:szCs w:val="24"/>
          <w:lang w:val="es-ES" w:eastAsia="es-CR"/>
        </w:rPr>
        <w:t xml:space="preserve">El Consejo Superior del Poder Judicial en sesión No. 44-2021 celebrada el 27 de mayo de 2021, artículo XLVIII, </w:t>
      </w:r>
      <w:r w:rsidR="00656B12">
        <w:rPr>
          <w:rFonts w:ascii="Times New Roman" w:hAnsi="Times New Roman" w:cs="Times New Roman"/>
          <w:sz w:val="24"/>
          <w:szCs w:val="24"/>
          <w:lang w:val="es-ES" w:eastAsia="es-CR"/>
        </w:rPr>
        <w:t xml:space="preserve">dispuso </w:t>
      </w:r>
      <w:r>
        <w:rPr>
          <w:rFonts w:ascii="Times New Roman" w:hAnsi="Times New Roman" w:cs="Times New Roman"/>
          <w:sz w:val="24"/>
          <w:szCs w:val="24"/>
          <w:lang w:val="es-ES" w:eastAsia="es-CR"/>
        </w:rPr>
        <w:t xml:space="preserve">aprobó el Procedimiento para el uso y actualización de la Guía de Información de Oficinas (GIO) que indica: </w:t>
      </w:r>
    </w:p>
    <w:p w14:paraId="361CB4AC" w14:textId="77777777" w:rsidR="00805D84" w:rsidRPr="00805D84" w:rsidRDefault="00805D84" w:rsidP="00656B12">
      <w:pPr>
        <w:pStyle w:val="Prrafodelista"/>
        <w:numPr>
          <w:ilvl w:val="1"/>
          <w:numId w:val="18"/>
        </w:numPr>
        <w:spacing w:after="0" w:line="240" w:lineRule="auto"/>
        <w:ind w:left="0" w:firstLine="709"/>
        <w:jc w:val="both"/>
        <w:rPr>
          <w:rFonts w:ascii="Times New Roman" w:hAnsi="Times New Roman" w:cs="Times New Roman"/>
          <w:color w:val="1A1A1A"/>
          <w:sz w:val="24"/>
          <w:szCs w:val="24"/>
        </w:rPr>
      </w:pPr>
      <w:r w:rsidRPr="00805D84">
        <w:rPr>
          <w:rFonts w:ascii="Times New Roman" w:hAnsi="Times New Roman" w:cs="Times New Roman"/>
          <w:color w:val="1A1A1A"/>
          <w:sz w:val="24"/>
          <w:szCs w:val="24"/>
        </w:rPr>
        <w:t xml:space="preserve">Es responsabilidad de cada oficina y despacho judicial mantener actualizada la información de contacto, así como del personal que labora en el despacho u oficina, en el sistema Guía Integral de Oficinas (GIO), según el </w:t>
      </w:r>
      <w:r w:rsidRPr="00805D84">
        <w:rPr>
          <w:rFonts w:ascii="Times New Roman" w:hAnsi="Times New Roman" w:cs="Times New Roman"/>
          <w:sz w:val="24"/>
          <w:szCs w:val="24"/>
        </w:rPr>
        <w:t xml:space="preserve">Procedimiento para el uso, mantenimiento y actualización de la Guía de Información de Oficinas (GIO). Ver adjunto. </w:t>
      </w:r>
    </w:p>
    <w:p w14:paraId="064BEFCC" w14:textId="77777777" w:rsidR="00805D84" w:rsidRPr="00805D84" w:rsidRDefault="00805D84" w:rsidP="00656B12">
      <w:pPr>
        <w:spacing w:after="0" w:line="240" w:lineRule="auto"/>
        <w:ind w:firstLine="709"/>
        <w:contextualSpacing/>
        <w:jc w:val="both"/>
        <w:rPr>
          <w:rFonts w:ascii="Times New Roman" w:hAnsi="Times New Roman" w:cs="Times New Roman"/>
          <w:color w:val="1A1A1A"/>
          <w:sz w:val="24"/>
          <w:szCs w:val="24"/>
        </w:rPr>
      </w:pPr>
    </w:p>
    <w:bookmarkStart w:id="0" w:name="_MON_1668424799"/>
    <w:bookmarkEnd w:id="0"/>
    <w:p w14:paraId="2A3B1943" w14:textId="77777777" w:rsidR="00805D84" w:rsidRPr="00805D84" w:rsidRDefault="00805D84" w:rsidP="00656B12">
      <w:pPr>
        <w:spacing w:after="0" w:line="240" w:lineRule="auto"/>
        <w:ind w:firstLine="709"/>
        <w:contextualSpacing/>
        <w:jc w:val="both"/>
        <w:rPr>
          <w:rFonts w:ascii="Times New Roman" w:hAnsi="Times New Roman" w:cs="Times New Roman"/>
          <w:color w:val="1A1A1A"/>
          <w:sz w:val="24"/>
          <w:szCs w:val="24"/>
        </w:rPr>
      </w:pPr>
      <w:r w:rsidRPr="00805D84">
        <w:rPr>
          <w:rFonts w:ascii="Times New Roman" w:hAnsi="Times New Roman" w:cs="Times New Roman"/>
          <w:color w:val="1A1A1A"/>
          <w:sz w:val="24"/>
          <w:szCs w:val="24"/>
        </w:rPr>
        <w:object w:dxaOrig="6048" w:dyaOrig="3936" w14:anchorId="58EA0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02.25pt;height:196.5pt" o:ole="">
            <v:imagedata r:id="rId7" o:title=""/>
          </v:shape>
          <o:OLEObject Type="Embed" ProgID="Word.Document.12" ShapeID="_x0000_i1031" DrawAspect="Icon" ObjectID="_1684588161" r:id="rId8">
            <o:FieldCodes>\s</o:FieldCodes>
          </o:OLEObject>
        </w:object>
      </w:r>
    </w:p>
    <w:p w14:paraId="45C551AA" w14:textId="77777777" w:rsidR="00805D84" w:rsidRPr="00805D84" w:rsidRDefault="00805D84" w:rsidP="00656B12">
      <w:pPr>
        <w:pStyle w:val="Prrafodelista"/>
        <w:numPr>
          <w:ilvl w:val="1"/>
          <w:numId w:val="18"/>
        </w:numPr>
        <w:spacing w:after="0" w:line="240" w:lineRule="auto"/>
        <w:ind w:left="0" w:firstLine="709"/>
        <w:jc w:val="both"/>
        <w:rPr>
          <w:rFonts w:ascii="Times New Roman" w:hAnsi="Times New Roman" w:cs="Times New Roman"/>
          <w:color w:val="1A1A1A"/>
          <w:sz w:val="24"/>
          <w:szCs w:val="24"/>
        </w:rPr>
      </w:pPr>
      <w:r w:rsidRPr="00805D84">
        <w:rPr>
          <w:rFonts w:ascii="Times New Roman" w:hAnsi="Times New Roman" w:cs="Times New Roman"/>
          <w:color w:val="1A1A1A"/>
          <w:sz w:val="24"/>
          <w:szCs w:val="24"/>
        </w:rPr>
        <w:t>Es responsabilidad de las Administraciones Regionales y de los Órganos Auxiliares (Ministerio Público, Defensa Pública, Organismo de Investigación Judicial y Oficina de Atención y Protección a la Víctima), una vez recibida el Acta de Recepción del Inmueble o se haya tomado un arriendo; actualizar y registrar la información de los edificios propios y alquilados en el sistema Guía Integral de Oficinas (GIO).</w:t>
      </w:r>
    </w:p>
    <w:p w14:paraId="3DDAB85B" w14:textId="77777777" w:rsidR="00805D84" w:rsidRPr="00805D84" w:rsidRDefault="00805D84" w:rsidP="00656B12">
      <w:pPr>
        <w:pStyle w:val="Prrafodelista"/>
        <w:numPr>
          <w:ilvl w:val="1"/>
          <w:numId w:val="18"/>
        </w:numPr>
        <w:spacing w:after="0" w:line="240" w:lineRule="auto"/>
        <w:ind w:left="0" w:firstLine="709"/>
        <w:jc w:val="both"/>
        <w:rPr>
          <w:rFonts w:ascii="Times New Roman" w:hAnsi="Times New Roman" w:cs="Times New Roman"/>
          <w:color w:val="1A1A1A"/>
          <w:sz w:val="24"/>
          <w:szCs w:val="24"/>
        </w:rPr>
      </w:pPr>
      <w:r w:rsidRPr="00805D84">
        <w:rPr>
          <w:rFonts w:ascii="Times New Roman" w:hAnsi="Times New Roman" w:cs="Times New Roman"/>
          <w:color w:val="1A1A1A"/>
          <w:sz w:val="24"/>
          <w:szCs w:val="24"/>
        </w:rPr>
        <w:t>En el caso de los edificios de uso exclusivo de las oficinas del Ministerio Público, Defensa Pública, Organismo de Investigación Judicial y Oficina de Atención y Protección a la Víctima, la actualización en el Sistema GIO será responsabilidad de cada área administrativa competente.</w:t>
      </w:r>
    </w:p>
    <w:p w14:paraId="0ADF4D7C" w14:textId="77777777" w:rsidR="00805D84" w:rsidRPr="00805D84" w:rsidRDefault="00805D84" w:rsidP="00656B12">
      <w:pPr>
        <w:pStyle w:val="Prrafodelista"/>
        <w:numPr>
          <w:ilvl w:val="1"/>
          <w:numId w:val="18"/>
        </w:numPr>
        <w:spacing w:after="0" w:line="240" w:lineRule="auto"/>
        <w:ind w:left="0" w:firstLine="709"/>
        <w:jc w:val="both"/>
        <w:rPr>
          <w:rFonts w:ascii="Times New Roman" w:hAnsi="Times New Roman" w:cs="Times New Roman"/>
          <w:color w:val="1A1A1A"/>
          <w:sz w:val="24"/>
          <w:szCs w:val="24"/>
        </w:rPr>
      </w:pPr>
      <w:r w:rsidRPr="00805D84">
        <w:rPr>
          <w:rFonts w:ascii="Times New Roman" w:hAnsi="Times New Roman" w:cs="Times New Roman"/>
          <w:color w:val="1A1A1A"/>
          <w:sz w:val="24"/>
          <w:szCs w:val="24"/>
        </w:rPr>
        <w:t>En el caso de edificios compartidos entre las oficinas del Ministerio Público, Defensa Pública, Organismo de Investigación Judicial, Oficina de Atención y Protección a la Víctima y oficinas del ámbito jurisdiccional y administrativo, las Administraciones Regionales serán las responsables de actualizar la información en el Sistema GIO y para ello deberán coordinar con las administraciones de los ámbitos involucrados.</w:t>
      </w:r>
    </w:p>
    <w:p w14:paraId="33AC3A08" w14:textId="77777777" w:rsidR="00805D84" w:rsidRPr="00805D84" w:rsidRDefault="00805D84" w:rsidP="00656B12">
      <w:pPr>
        <w:pStyle w:val="Prrafodelista"/>
        <w:numPr>
          <w:ilvl w:val="1"/>
          <w:numId w:val="18"/>
        </w:numPr>
        <w:spacing w:after="0" w:line="240" w:lineRule="auto"/>
        <w:ind w:left="0" w:firstLine="709"/>
        <w:jc w:val="both"/>
        <w:rPr>
          <w:rFonts w:ascii="Times New Roman" w:hAnsi="Times New Roman" w:cs="Times New Roman"/>
          <w:color w:val="1A1A1A"/>
          <w:sz w:val="24"/>
          <w:szCs w:val="24"/>
        </w:rPr>
      </w:pPr>
      <w:r w:rsidRPr="00805D84">
        <w:rPr>
          <w:rFonts w:ascii="Times New Roman" w:hAnsi="Times New Roman" w:cs="Times New Roman"/>
          <w:color w:val="1A1A1A"/>
          <w:sz w:val="24"/>
          <w:szCs w:val="24"/>
        </w:rPr>
        <w:t xml:space="preserve">El Departamento de Servicios Generales velará porque el registro de la información de los edificios propios y alquilados sean ingresados de manera correcta y sin duplicidades en el Sistema GIO, ya que se puede suscitar cuando en el inmueble se ubiquen </w:t>
      </w:r>
      <w:r w:rsidRPr="00805D84">
        <w:rPr>
          <w:rFonts w:ascii="Times New Roman" w:hAnsi="Times New Roman" w:cs="Times New Roman"/>
          <w:color w:val="1A1A1A"/>
          <w:sz w:val="24"/>
          <w:szCs w:val="24"/>
        </w:rPr>
        <w:lastRenderedPageBreak/>
        <w:t>dos o más oficinas de diferente programa presupuestario y el registro se realice por ambas administraciones.</w:t>
      </w:r>
    </w:p>
    <w:p w14:paraId="713B1048" w14:textId="77777777" w:rsidR="00805D84" w:rsidRPr="00805D84" w:rsidRDefault="00805D84" w:rsidP="00656B12">
      <w:pPr>
        <w:pStyle w:val="Prrafodelista"/>
        <w:numPr>
          <w:ilvl w:val="1"/>
          <w:numId w:val="18"/>
        </w:numPr>
        <w:spacing w:after="0" w:line="240" w:lineRule="auto"/>
        <w:ind w:left="0" w:firstLine="709"/>
        <w:jc w:val="both"/>
        <w:rPr>
          <w:rFonts w:ascii="Times New Roman" w:hAnsi="Times New Roman" w:cs="Times New Roman"/>
          <w:color w:val="1A1A1A"/>
          <w:sz w:val="24"/>
          <w:szCs w:val="24"/>
        </w:rPr>
      </w:pPr>
      <w:r w:rsidRPr="00805D84">
        <w:rPr>
          <w:rFonts w:ascii="Times New Roman" w:hAnsi="Times New Roman" w:cs="Times New Roman"/>
          <w:color w:val="1A1A1A"/>
          <w:sz w:val="24"/>
          <w:szCs w:val="24"/>
        </w:rPr>
        <w:t xml:space="preserve">Con la implementación de la nueva versión de la GIO, se procedió con la migración de los datos, por tanto, se solicita a las oficinas y despachos judiciales revisar la información registrada, en el caso de presentarse faltantes de datos o inconsistencias proceder con la actualización de la información. </w:t>
      </w:r>
    </w:p>
    <w:p w14:paraId="01EC9006" w14:textId="77777777" w:rsidR="00805D84" w:rsidRPr="00AF1871" w:rsidRDefault="00805D84" w:rsidP="00805D84">
      <w:pPr>
        <w:pStyle w:val="Prrafodelista"/>
        <w:spacing w:line="360" w:lineRule="auto"/>
        <w:ind w:left="360"/>
        <w:jc w:val="both"/>
        <w:rPr>
          <w:rFonts w:ascii="Times New Roman" w:hAnsi="Times New Roman"/>
          <w:color w:val="1A1A1A"/>
        </w:rPr>
      </w:pPr>
    </w:p>
    <w:p w14:paraId="7EEEE575" w14:textId="5D1BCE32" w:rsidR="00470DCC" w:rsidRDefault="00470DCC" w:rsidP="002E7075">
      <w:pPr>
        <w:jc w:val="both"/>
        <w:rPr>
          <w:rFonts w:ascii="Times New Roman" w:hAnsi="Times New Roman" w:cs="Times New Roman"/>
          <w:b/>
          <w:bCs/>
          <w:sz w:val="24"/>
          <w:szCs w:val="24"/>
        </w:rPr>
      </w:pPr>
      <w:r w:rsidRPr="00F3358B">
        <w:rPr>
          <w:rFonts w:ascii="Times New Roman" w:hAnsi="Times New Roman" w:cs="Times New Roman"/>
          <w:b/>
          <w:bCs/>
          <w:sz w:val="24"/>
          <w:szCs w:val="24"/>
          <w:lang w:eastAsia="zh-CN"/>
        </w:rPr>
        <w:t xml:space="preserve">De conformidad con la circular N° 67-09 emitida por la Secretaría de la Corte el 22 de junio de 2009, se le comunica que en virtud del principio de gratuidad que rige esta materia, la publicación está exenta de todo pago de derechos. </w:t>
      </w:r>
      <w:r w:rsidRPr="00F3358B">
        <w:rPr>
          <w:rFonts w:ascii="Times New Roman" w:hAnsi="Times New Roman" w:cs="Times New Roman"/>
          <w:b/>
          <w:bCs/>
          <w:sz w:val="24"/>
          <w:szCs w:val="24"/>
        </w:rPr>
        <w:t>Publíquese una sola vez en el Boletín Judicial.</w:t>
      </w:r>
    </w:p>
    <w:p w14:paraId="4C00A435" w14:textId="77777777" w:rsidR="007E78CB" w:rsidRPr="00F3358B" w:rsidRDefault="007E78CB" w:rsidP="003E7083">
      <w:pPr>
        <w:widowControl w:val="0"/>
        <w:spacing w:after="0" w:line="240" w:lineRule="auto"/>
        <w:jc w:val="both"/>
        <w:rPr>
          <w:rFonts w:ascii="Times New Roman" w:hAnsi="Times New Roman" w:cs="Times New Roman"/>
          <w:b/>
          <w:bCs/>
          <w:sz w:val="24"/>
          <w:szCs w:val="24"/>
        </w:rPr>
      </w:pPr>
    </w:p>
    <w:p w14:paraId="5F435B65" w14:textId="3104DC34" w:rsidR="00470DCC" w:rsidRPr="00F3358B" w:rsidRDefault="00470DCC" w:rsidP="00805D84">
      <w:pPr>
        <w:spacing w:after="0" w:line="240" w:lineRule="auto"/>
        <w:jc w:val="both"/>
        <w:rPr>
          <w:rFonts w:ascii="Times New Roman" w:eastAsia="Calibri" w:hAnsi="Times New Roman" w:cs="Times New Roman"/>
          <w:b/>
          <w:bCs/>
          <w:sz w:val="24"/>
          <w:szCs w:val="24"/>
          <w:lang w:eastAsia="es-CR"/>
        </w:rPr>
      </w:pPr>
      <w:r w:rsidRPr="00F3358B">
        <w:rPr>
          <w:rFonts w:ascii="Times New Roman" w:eastAsia="Calibri" w:hAnsi="Times New Roman" w:cs="Times New Roman"/>
          <w:b/>
          <w:bCs/>
          <w:sz w:val="24"/>
          <w:szCs w:val="24"/>
          <w:lang w:eastAsia="es-CR"/>
        </w:rPr>
        <w:t xml:space="preserve">San José, </w:t>
      </w:r>
      <w:r w:rsidR="00656B12">
        <w:rPr>
          <w:rFonts w:ascii="Times New Roman" w:eastAsia="Calibri" w:hAnsi="Times New Roman" w:cs="Times New Roman"/>
          <w:b/>
          <w:bCs/>
          <w:sz w:val="24"/>
          <w:szCs w:val="24"/>
          <w:lang w:eastAsia="es-CR"/>
        </w:rPr>
        <w:t>8</w:t>
      </w:r>
      <w:bookmarkStart w:id="1" w:name="_GoBack"/>
      <w:bookmarkEnd w:id="1"/>
      <w:r w:rsidRPr="00F3358B">
        <w:rPr>
          <w:rFonts w:ascii="Times New Roman" w:eastAsia="Calibri" w:hAnsi="Times New Roman" w:cs="Times New Roman"/>
          <w:b/>
          <w:bCs/>
          <w:sz w:val="24"/>
          <w:szCs w:val="24"/>
          <w:lang w:eastAsia="es-CR"/>
        </w:rPr>
        <w:t xml:space="preserve"> de </w:t>
      </w:r>
      <w:r w:rsidR="00805D84">
        <w:rPr>
          <w:rFonts w:ascii="Times New Roman" w:eastAsia="Calibri" w:hAnsi="Times New Roman" w:cs="Times New Roman"/>
          <w:b/>
          <w:bCs/>
          <w:sz w:val="24"/>
          <w:szCs w:val="24"/>
          <w:lang w:eastAsia="es-CR"/>
        </w:rPr>
        <w:t>junio</w:t>
      </w:r>
      <w:r w:rsidR="00DC30F5" w:rsidRPr="00F3358B">
        <w:rPr>
          <w:rFonts w:ascii="Times New Roman" w:eastAsia="Calibri" w:hAnsi="Times New Roman" w:cs="Times New Roman"/>
          <w:b/>
          <w:bCs/>
          <w:sz w:val="24"/>
          <w:szCs w:val="24"/>
          <w:lang w:eastAsia="es-CR"/>
        </w:rPr>
        <w:t xml:space="preserve"> de 2021</w:t>
      </w:r>
      <w:r w:rsidRPr="00F3358B">
        <w:rPr>
          <w:rFonts w:ascii="Times New Roman" w:eastAsia="Calibri" w:hAnsi="Times New Roman" w:cs="Times New Roman"/>
          <w:b/>
          <w:bCs/>
          <w:sz w:val="24"/>
          <w:szCs w:val="24"/>
          <w:lang w:eastAsia="es-CR"/>
        </w:rPr>
        <w:t>.</w:t>
      </w:r>
    </w:p>
    <w:p w14:paraId="2EC24F64" w14:textId="6F6C75D5" w:rsidR="003E7083" w:rsidRPr="00F3358B" w:rsidRDefault="003E7083" w:rsidP="003E7083">
      <w:pPr>
        <w:spacing w:after="0" w:line="240" w:lineRule="auto"/>
        <w:ind w:firstLine="720"/>
        <w:jc w:val="both"/>
        <w:rPr>
          <w:rFonts w:ascii="Times New Roman" w:eastAsia="Calibri" w:hAnsi="Times New Roman" w:cs="Times New Roman"/>
          <w:b/>
          <w:bCs/>
          <w:sz w:val="24"/>
          <w:szCs w:val="24"/>
          <w:lang w:eastAsia="es-CR"/>
        </w:rPr>
      </w:pPr>
    </w:p>
    <w:p w14:paraId="2EF169A9" w14:textId="7E6F46D7" w:rsidR="003E7083" w:rsidRPr="00F3358B" w:rsidRDefault="003E7083" w:rsidP="003E7083">
      <w:pPr>
        <w:spacing w:after="0" w:line="240" w:lineRule="auto"/>
        <w:ind w:firstLine="720"/>
        <w:jc w:val="both"/>
        <w:rPr>
          <w:rFonts w:ascii="Times New Roman" w:eastAsia="Calibri" w:hAnsi="Times New Roman" w:cs="Times New Roman"/>
          <w:b/>
          <w:bCs/>
          <w:sz w:val="24"/>
          <w:szCs w:val="24"/>
          <w:lang w:eastAsia="es-CR"/>
        </w:rPr>
      </w:pPr>
    </w:p>
    <w:p w14:paraId="453E8182" w14:textId="77777777" w:rsidR="000E4AD9" w:rsidRPr="00F3358B" w:rsidRDefault="00320414" w:rsidP="003E7083">
      <w:pPr>
        <w:spacing w:after="0" w:line="240" w:lineRule="auto"/>
        <w:jc w:val="center"/>
        <w:rPr>
          <w:rFonts w:ascii="Times New Roman" w:hAnsi="Times New Roman" w:cs="Times New Roman"/>
          <w:b/>
          <w:bCs/>
          <w:sz w:val="24"/>
          <w:szCs w:val="24"/>
        </w:rPr>
      </w:pPr>
      <w:r w:rsidRPr="00F3358B">
        <w:rPr>
          <w:rFonts w:ascii="Times New Roman" w:hAnsi="Times New Roman" w:cs="Times New Roman"/>
          <w:b/>
          <w:bCs/>
          <w:sz w:val="24"/>
          <w:szCs w:val="24"/>
        </w:rPr>
        <w:t>Lic. Carlos T. Mora Rodríguez</w:t>
      </w:r>
    </w:p>
    <w:p w14:paraId="09FB43AD" w14:textId="77777777" w:rsidR="000E4AD9" w:rsidRPr="00F3358B" w:rsidRDefault="000E4AD9" w:rsidP="003E7083">
      <w:pPr>
        <w:spacing w:after="0" w:line="240" w:lineRule="auto"/>
        <w:jc w:val="center"/>
        <w:rPr>
          <w:rFonts w:ascii="Times New Roman" w:hAnsi="Times New Roman" w:cs="Times New Roman"/>
          <w:b/>
          <w:bCs/>
          <w:sz w:val="24"/>
          <w:szCs w:val="24"/>
        </w:rPr>
      </w:pPr>
      <w:r w:rsidRPr="00F3358B">
        <w:rPr>
          <w:rFonts w:ascii="Times New Roman" w:hAnsi="Times New Roman" w:cs="Times New Roman"/>
          <w:b/>
          <w:bCs/>
          <w:sz w:val="24"/>
          <w:szCs w:val="24"/>
        </w:rPr>
        <w:t>Subsecretario General interino</w:t>
      </w:r>
    </w:p>
    <w:p w14:paraId="07600976" w14:textId="77777777" w:rsidR="000E4AD9" w:rsidRPr="00F3358B" w:rsidRDefault="000E4AD9" w:rsidP="003E7083">
      <w:pPr>
        <w:spacing w:after="0" w:line="240" w:lineRule="auto"/>
        <w:jc w:val="center"/>
        <w:rPr>
          <w:rFonts w:ascii="Times New Roman" w:hAnsi="Times New Roman" w:cs="Times New Roman"/>
          <w:b/>
          <w:bCs/>
          <w:sz w:val="24"/>
          <w:szCs w:val="24"/>
        </w:rPr>
      </w:pPr>
      <w:r w:rsidRPr="00F3358B">
        <w:rPr>
          <w:rFonts w:ascii="Times New Roman" w:hAnsi="Times New Roman" w:cs="Times New Roman"/>
          <w:b/>
          <w:bCs/>
          <w:sz w:val="24"/>
          <w:szCs w:val="24"/>
        </w:rPr>
        <w:t xml:space="preserve">Corte Suprema de </w:t>
      </w:r>
      <w:r w:rsidR="003340F8" w:rsidRPr="00F3358B">
        <w:rPr>
          <w:rFonts w:ascii="Times New Roman" w:hAnsi="Times New Roman" w:cs="Times New Roman"/>
          <w:b/>
          <w:bCs/>
          <w:sz w:val="24"/>
          <w:szCs w:val="24"/>
        </w:rPr>
        <w:t>Justicia</w:t>
      </w:r>
    </w:p>
    <w:p w14:paraId="5E431D95" w14:textId="720A2572" w:rsidR="000E4AD9" w:rsidRPr="00120CC7" w:rsidRDefault="00AE245F" w:rsidP="003E7083">
      <w:pPr>
        <w:pStyle w:val="NormalWeb"/>
        <w:spacing w:before="0" w:beforeAutospacing="0" w:after="0" w:afterAutospacing="0"/>
        <w:ind w:left="142" w:right="141"/>
        <w:rPr>
          <w:i/>
          <w:iCs/>
          <w:u w:val="single"/>
        </w:rPr>
      </w:pPr>
      <w:r w:rsidRPr="00F3358B">
        <w:rPr>
          <w:i/>
          <w:iCs/>
        </w:rPr>
        <w:t>Ref.:</w:t>
      </w:r>
      <w:r w:rsidR="00282350" w:rsidRPr="00F3358B">
        <w:rPr>
          <w:i/>
          <w:iCs/>
        </w:rPr>
        <w:t xml:space="preserve"> </w:t>
      </w:r>
      <w:r w:rsidR="00E70BA1">
        <w:rPr>
          <w:i/>
          <w:iCs/>
        </w:rPr>
        <w:t>29</w:t>
      </w:r>
      <w:r w:rsidR="00805D84">
        <w:rPr>
          <w:i/>
          <w:iCs/>
        </w:rPr>
        <w:t>97</w:t>
      </w:r>
      <w:r w:rsidR="00E70BA1">
        <w:rPr>
          <w:i/>
          <w:iCs/>
        </w:rPr>
        <w:t>-20</w:t>
      </w:r>
      <w:r w:rsidR="00805D84">
        <w:rPr>
          <w:i/>
          <w:iCs/>
        </w:rPr>
        <w:t>12</w:t>
      </w:r>
      <w:r w:rsidR="004361DE" w:rsidRPr="00F3358B">
        <w:rPr>
          <w:i/>
          <w:iCs/>
        </w:rPr>
        <w:t xml:space="preserve"> </w:t>
      </w:r>
      <w:r w:rsidR="004361DE" w:rsidRPr="00120CC7">
        <w:rPr>
          <w:i/>
          <w:iCs/>
        </w:rPr>
        <w:t>R</w:t>
      </w:r>
      <w:r w:rsidR="00F3358B" w:rsidRPr="00120CC7">
        <w:rPr>
          <w:i/>
          <w:iCs/>
        </w:rPr>
        <w:t>andall</w:t>
      </w:r>
    </w:p>
    <w:sectPr w:rsidR="000E4AD9" w:rsidRPr="00120CC7" w:rsidSect="00BC52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D85229" w14:textId="77777777" w:rsidR="00EE1A85" w:rsidRDefault="00EE1A85" w:rsidP="002A72F6">
      <w:pPr>
        <w:spacing w:after="0" w:line="240" w:lineRule="auto"/>
      </w:pPr>
      <w:r>
        <w:separator/>
      </w:r>
    </w:p>
  </w:endnote>
  <w:endnote w:type="continuationSeparator" w:id="0">
    <w:p w14:paraId="547EC1F5" w14:textId="77777777" w:rsidR="00EE1A85" w:rsidRDefault="00EE1A85" w:rsidP="002A7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502412" w14:textId="77777777" w:rsidR="00EE1A85" w:rsidRDefault="00EE1A85" w:rsidP="002A72F6">
      <w:pPr>
        <w:spacing w:after="0" w:line="240" w:lineRule="auto"/>
      </w:pPr>
      <w:r>
        <w:separator/>
      </w:r>
    </w:p>
  </w:footnote>
  <w:footnote w:type="continuationSeparator" w:id="0">
    <w:p w14:paraId="7E12718A" w14:textId="77777777" w:rsidR="00EE1A85" w:rsidRDefault="00EE1A85" w:rsidP="002A72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70798"/>
    <w:multiLevelType w:val="multilevel"/>
    <w:tmpl w:val="10C8450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1AA50FE"/>
    <w:multiLevelType w:val="multilevel"/>
    <w:tmpl w:val="F050C77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185953C9"/>
    <w:multiLevelType w:val="hybridMultilevel"/>
    <w:tmpl w:val="031483D2"/>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213B0AB9"/>
    <w:multiLevelType w:val="hybridMultilevel"/>
    <w:tmpl w:val="1656420E"/>
    <w:lvl w:ilvl="0" w:tplc="5E36C9E6">
      <w:start w:val="1"/>
      <w:numFmt w:val="bullet"/>
      <w:lvlText w:val=""/>
      <w:lvlJc w:val="left"/>
      <w:pPr>
        <w:ind w:left="720" w:hanging="360"/>
      </w:pPr>
      <w:rPr>
        <w:rFonts w:ascii="Symbol" w:hAnsi="Symbol" w:hint="default"/>
      </w:rPr>
    </w:lvl>
    <w:lvl w:ilvl="1" w:tplc="30E8BC58">
      <w:start w:val="1"/>
      <w:numFmt w:val="bullet"/>
      <w:lvlText w:val="o"/>
      <w:lvlJc w:val="left"/>
      <w:pPr>
        <w:ind w:left="1440" w:hanging="360"/>
      </w:pPr>
      <w:rPr>
        <w:rFonts w:ascii="Courier New" w:hAnsi="Courier New" w:hint="default"/>
      </w:rPr>
    </w:lvl>
    <w:lvl w:ilvl="2" w:tplc="035EA5C4">
      <w:start w:val="1"/>
      <w:numFmt w:val="bullet"/>
      <w:lvlText w:val=""/>
      <w:lvlJc w:val="left"/>
      <w:pPr>
        <w:ind w:left="2160" w:hanging="360"/>
      </w:pPr>
      <w:rPr>
        <w:rFonts w:ascii="Wingdings" w:hAnsi="Wingdings" w:hint="default"/>
      </w:rPr>
    </w:lvl>
    <w:lvl w:ilvl="3" w:tplc="FC0015CE">
      <w:start w:val="1"/>
      <w:numFmt w:val="bullet"/>
      <w:lvlText w:val=""/>
      <w:lvlJc w:val="left"/>
      <w:pPr>
        <w:ind w:left="2880" w:hanging="360"/>
      </w:pPr>
      <w:rPr>
        <w:rFonts w:ascii="Symbol" w:hAnsi="Symbol" w:hint="default"/>
      </w:rPr>
    </w:lvl>
    <w:lvl w:ilvl="4" w:tplc="E2124A20">
      <w:start w:val="1"/>
      <w:numFmt w:val="bullet"/>
      <w:lvlText w:val="o"/>
      <w:lvlJc w:val="left"/>
      <w:pPr>
        <w:ind w:left="3600" w:hanging="360"/>
      </w:pPr>
      <w:rPr>
        <w:rFonts w:ascii="Courier New" w:hAnsi="Courier New" w:hint="default"/>
      </w:rPr>
    </w:lvl>
    <w:lvl w:ilvl="5" w:tplc="FF2005C4">
      <w:start w:val="1"/>
      <w:numFmt w:val="bullet"/>
      <w:lvlText w:val=""/>
      <w:lvlJc w:val="left"/>
      <w:pPr>
        <w:ind w:left="4320" w:hanging="360"/>
      </w:pPr>
      <w:rPr>
        <w:rFonts w:ascii="Wingdings" w:hAnsi="Wingdings" w:hint="default"/>
      </w:rPr>
    </w:lvl>
    <w:lvl w:ilvl="6" w:tplc="824055C0">
      <w:start w:val="1"/>
      <w:numFmt w:val="bullet"/>
      <w:lvlText w:val=""/>
      <w:lvlJc w:val="left"/>
      <w:pPr>
        <w:ind w:left="5040" w:hanging="360"/>
      </w:pPr>
      <w:rPr>
        <w:rFonts w:ascii="Symbol" w:hAnsi="Symbol" w:hint="default"/>
      </w:rPr>
    </w:lvl>
    <w:lvl w:ilvl="7" w:tplc="00727E74">
      <w:start w:val="1"/>
      <w:numFmt w:val="bullet"/>
      <w:lvlText w:val="o"/>
      <w:lvlJc w:val="left"/>
      <w:pPr>
        <w:ind w:left="5760" w:hanging="360"/>
      </w:pPr>
      <w:rPr>
        <w:rFonts w:ascii="Courier New" w:hAnsi="Courier New" w:hint="default"/>
      </w:rPr>
    </w:lvl>
    <w:lvl w:ilvl="8" w:tplc="94806DDC">
      <w:start w:val="1"/>
      <w:numFmt w:val="bullet"/>
      <w:lvlText w:val=""/>
      <w:lvlJc w:val="left"/>
      <w:pPr>
        <w:ind w:left="6480" w:hanging="360"/>
      </w:pPr>
      <w:rPr>
        <w:rFonts w:ascii="Wingdings" w:hAnsi="Wingdings" w:hint="default"/>
      </w:rPr>
    </w:lvl>
  </w:abstractNum>
  <w:abstractNum w:abstractNumId="4" w15:restartNumberingAfterBreak="0">
    <w:nsid w:val="2E3742CA"/>
    <w:multiLevelType w:val="hybridMultilevel"/>
    <w:tmpl w:val="E11EFC6C"/>
    <w:lvl w:ilvl="0" w:tplc="4E46402A">
      <w:start w:val="1"/>
      <w:numFmt w:val="bullet"/>
      <w:lvlText w:val=""/>
      <w:lvlJc w:val="left"/>
      <w:pPr>
        <w:ind w:left="720" w:hanging="360"/>
      </w:pPr>
      <w:rPr>
        <w:rFonts w:ascii="Symbol" w:hAnsi="Symbol" w:hint="default"/>
      </w:rPr>
    </w:lvl>
    <w:lvl w:ilvl="1" w:tplc="E3688CA8">
      <w:start w:val="1"/>
      <w:numFmt w:val="bullet"/>
      <w:lvlText w:val="o"/>
      <w:lvlJc w:val="left"/>
      <w:pPr>
        <w:ind w:left="1440" w:hanging="360"/>
      </w:pPr>
      <w:rPr>
        <w:rFonts w:ascii="Courier New" w:hAnsi="Courier New" w:hint="default"/>
      </w:rPr>
    </w:lvl>
    <w:lvl w:ilvl="2" w:tplc="741E06D6">
      <w:start w:val="1"/>
      <w:numFmt w:val="bullet"/>
      <w:lvlText w:val=""/>
      <w:lvlJc w:val="left"/>
      <w:pPr>
        <w:ind w:left="2160" w:hanging="360"/>
      </w:pPr>
      <w:rPr>
        <w:rFonts w:ascii="Wingdings" w:hAnsi="Wingdings" w:hint="default"/>
      </w:rPr>
    </w:lvl>
    <w:lvl w:ilvl="3" w:tplc="7FEE447E">
      <w:start w:val="1"/>
      <w:numFmt w:val="bullet"/>
      <w:lvlText w:val=""/>
      <w:lvlJc w:val="left"/>
      <w:pPr>
        <w:ind w:left="2880" w:hanging="360"/>
      </w:pPr>
      <w:rPr>
        <w:rFonts w:ascii="Symbol" w:hAnsi="Symbol" w:hint="default"/>
      </w:rPr>
    </w:lvl>
    <w:lvl w:ilvl="4" w:tplc="105298D8">
      <w:start w:val="1"/>
      <w:numFmt w:val="bullet"/>
      <w:lvlText w:val="o"/>
      <w:lvlJc w:val="left"/>
      <w:pPr>
        <w:ind w:left="3600" w:hanging="360"/>
      </w:pPr>
      <w:rPr>
        <w:rFonts w:ascii="Courier New" w:hAnsi="Courier New" w:hint="default"/>
      </w:rPr>
    </w:lvl>
    <w:lvl w:ilvl="5" w:tplc="2E84D5D2">
      <w:start w:val="1"/>
      <w:numFmt w:val="bullet"/>
      <w:lvlText w:val=""/>
      <w:lvlJc w:val="left"/>
      <w:pPr>
        <w:ind w:left="4320" w:hanging="360"/>
      </w:pPr>
      <w:rPr>
        <w:rFonts w:ascii="Wingdings" w:hAnsi="Wingdings" w:hint="default"/>
      </w:rPr>
    </w:lvl>
    <w:lvl w:ilvl="6" w:tplc="864A5F96">
      <w:start w:val="1"/>
      <w:numFmt w:val="bullet"/>
      <w:lvlText w:val=""/>
      <w:lvlJc w:val="left"/>
      <w:pPr>
        <w:ind w:left="5040" w:hanging="360"/>
      </w:pPr>
      <w:rPr>
        <w:rFonts w:ascii="Symbol" w:hAnsi="Symbol" w:hint="default"/>
      </w:rPr>
    </w:lvl>
    <w:lvl w:ilvl="7" w:tplc="678E130E">
      <w:start w:val="1"/>
      <w:numFmt w:val="bullet"/>
      <w:lvlText w:val="o"/>
      <w:lvlJc w:val="left"/>
      <w:pPr>
        <w:ind w:left="5760" w:hanging="360"/>
      </w:pPr>
      <w:rPr>
        <w:rFonts w:ascii="Courier New" w:hAnsi="Courier New" w:hint="default"/>
      </w:rPr>
    </w:lvl>
    <w:lvl w:ilvl="8" w:tplc="57EEDDD8">
      <w:start w:val="1"/>
      <w:numFmt w:val="bullet"/>
      <w:lvlText w:val=""/>
      <w:lvlJc w:val="left"/>
      <w:pPr>
        <w:ind w:left="6480" w:hanging="360"/>
      </w:pPr>
      <w:rPr>
        <w:rFonts w:ascii="Wingdings" w:hAnsi="Wingdings" w:hint="default"/>
      </w:rPr>
    </w:lvl>
  </w:abstractNum>
  <w:abstractNum w:abstractNumId="5" w15:restartNumberingAfterBreak="0">
    <w:nsid w:val="3937288C"/>
    <w:multiLevelType w:val="hybridMultilevel"/>
    <w:tmpl w:val="7CEE19F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3B7113BF"/>
    <w:multiLevelType w:val="hybridMultilevel"/>
    <w:tmpl w:val="83002DD6"/>
    <w:styleLink w:val="111111111221"/>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7" w15:restartNumberingAfterBreak="0">
    <w:nsid w:val="3C2C32BB"/>
    <w:multiLevelType w:val="multilevel"/>
    <w:tmpl w:val="F850B1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45685AD4"/>
    <w:multiLevelType w:val="multilevel"/>
    <w:tmpl w:val="7324AF3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48A52296"/>
    <w:multiLevelType w:val="multilevel"/>
    <w:tmpl w:val="0E10C16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4EB839F8"/>
    <w:multiLevelType w:val="multilevel"/>
    <w:tmpl w:val="E45E8694"/>
    <w:lvl w:ilvl="0">
      <w:start w:val="1"/>
      <w:numFmt w:val="decimal"/>
      <w:lvlText w:val="%1."/>
      <w:lvlJc w:val="left"/>
      <w:pPr>
        <w:ind w:left="720" w:hanging="360"/>
      </w:pPr>
      <w:rPr>
        <w:rFonts w:ascii="Times New Roman" w:hAnsi="Times New Roman" w:cs="Times New Roman" w:hint="default"/>
        <w:b/>
        <w:b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8573D0D"/>
    <w:multiLevelType w:val="multilevel"/>
    <w:tmpl w:val="BE2E80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5EF76E2F"/>
    <w:multiLevelType w:val="hybridMultilevel"/>
    <w:tmpl w:val="39EC959A"/>
    <w:lvl w:ilvl="0" w:tplc="140A000F">
      <w:start w:val="1"/>
      <w:numFmt w:val="decimal"/>
      <w:lvlText w:val="%1."/>
      <w:lvlJc w:val="left"/>
      <w:pPr>
        <w:ind w:left="760" w:hanging="360"/>
      </w:pPr>
    </w:lvl>
    <w:lvl w:ilvl="1" w:tplc="140A0019">
      <w:start w:val="1"/>
      <w:numFmt w:val="lowerLetter"/>
      <w:lvlText w:val="%2."/>
      <w:lvlJc w:val="left"/>
      <w:pPr>
        <w:ind w:left="1480" w:hanging="360"/>
      </w:pPr>
    </w:lvl>
    <w:lvl w:ilvl="2" w:tplc="140A001B" w:tentative="1">
      <w:start w:val="1"/>
      <w:numFmt w:val="lowerRoman"/>
      <w:lvlText w:val="%3."/>
      <w:lvlJc w:val="right"/>
      <w:pPr>
        <w:ind w:left="2200" w:hanging="180"/>
      </w:pPr>
    </w:lvl>
    <w:lvl w:ilvl="3" w:tplc="140A000F" w:tentative="1">
      <w:start w:val="1"/>
      <w:numFmt w:val="decimal"/>
      <w:lvlText w:val="%4."/>
      <w:lvlJc w:val="left"/>
      <w:pPr>
        <w:ind w:left="2920" w:hanging="360"/>
      </w:pPr>
    </w:lvl>
    <w:lvl w:ilvl="4" w:tplc="140A0019" w:tentative="1">
      <w:start w:val="1"/>
      <w:numFmt w:val="lowerLetter"/>
      <w:lvlText w:val="%5."/>
      <w:lvlJc w:val="left"/>
      <w:pPr>
        <w:ind w:left="3640" w:hanging="360"/>
      </w:pPr>
    </w:lvl>
    <w:lvl w:ilvl="5" w:tplc="140A001B" w:tentative="1">
      <w:start w:val="1"/>
      <w:numFmt w:val="lowerRoman"/>
      <w:lvlText w:val="%6."/>
      <w:lvlJc w:val="right"/>
      <w:pPr>
        <w:ind w:left="4360" w:hanging="180"/>
      </w:pPr>
    </w:lvl>
    <w:lvl w:ilvl="6" w:tplc="140A000F" w:tentative="1">
      <w:start w:val="1"/>
      <w:numFmt w:val="decimal"/>
      <w:lvlText w:val="%7."/>
      <w:lvlJc w:val="left"/>
      <w:pPr>
        <w:ind w:left="5080" w:hanging="360"/>
      </w:pPr>
    </w:lvl>
    <w:lvl w:ilvl="7" w:tplc="140A0019" w:tentative="1">
      <w:start w:val="1"/>
      <w:numFmt w:val="lowerLetter"/>
      <w:lvlText w:val="%8."/>
      <w:lvlJc w:val="left"/>
      <w:pPr>
        <w:ind w:left="5800" w:hanging="360"/>
      </w:pPr>
    </w:lvl>
    <w:lvl w:ilvl="8" w:tplc="140A001B" w:tentative="1">
      <w:start w:val="1"/>
      <w:numFmt w:val="lowerRoman"/>
      <w:lvlText w:val="%9."/>
      <w:lvlJc w:val="right"/>
      <w:pPr>
        <w:ind w:left="6520" w:hanging="180"/>
      </w:pPr>
    </w:lvl>
  </w:abstractNum>
  <w:abstractNum w:abstractNumId="13" w15:restartNumberingAfterBreak="0">
    <w:nsid w:val="6268718D"/>
    <w:multiLevelType w:val="multilevel"/>
    <w:tmpl w:val="F4CA694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65414596"/>
    <w:multiLevelType w:val="hybridMultilevel"/>
    <w:tmpl w:val="9E50E736"/>
    <w:lvl w:ilvl="0" w:tplc="140A000F">
      <w:start w:val="1"/>
      <w:numFmt w:val="decimal"/>
      <w:lvlText w:val="%1."/>
      <w:lvlJc w:val="left"/>
      <w:pPr>
        <w:ind w:left="928"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65C20333"/>
    <w:multiLevelType w:val="hybridMultilevel"/>
    <w:tmpl w:val="F3C43306"/>
    <w:lvl w:ilvl="0" w:tplc="C8FA92CE">
      <w:start w:val="1"/>
      <w:numFmt w:val="bullet"/>
      <w:lvlText w:val=""/>
      <w:lvlJc w:val="left"/>
      <w:pPr>
        <w:ind w:left="720" w:hanging="360"/>
      </w:pPr>
      <w:rPr>
        <w:rFonts w:ascii="Symbol" w:hAnsi="Symbol" w:hint="default"/>
      </w:rPr>
    </w:lvl>
    <w:lvl w:ilvl="1" w:tplc="6EFACF4A">
      <w:start w:val="1"/>
      <w:numFmt w:val="bullet"/>
      <w:lvlText w:val="o"/>
      <w:lvlJc w:val="left"/>
      <w:pPr>
        <w:ind w:left="1440" w:hanging="360"/>
      </w:pPr>
      <w:rPr>
        <w:rFonts w:ascii="Courier New" w:hAnsi="Courier New" w:hint="default"/>
      </w:rPr>
    </w:lvl>
    <w:lvl w:ilvl="2" w:tplc="E326D816">
      <w:start w:val="1"/>
      <w:numFmt w:val="bullet"/>
      <w:lvlText w:val=""/>
      <w:lvlJc w:val="left"/>
      <w:pPr>
        <w:ind w:left="2160" w:hanging="360"/>
      </w:pPr>
      <w:rPr>
        <w:rFonts w:ascii="Wingdings" w:hAnsi="Wingdings" w:hint="default"/>
      </w:rPr>
    </w:lvl>
    <w:lvl w:ilvl="3" w:tplc="4CD0346A">
      <w:start w:val="1"/>
      <w:numFmt w:val="bullet"/>
      <w:lvlText w:val=""/>
      <w:lvlJc w:val="left"/>
      <w:pPr>
        <w:ind w:left="2880" w:hanging="360"/>
      </w:pPr>
      <w:rPr>
        <w:rFonts w:ascii="Symbol" w:hAnsi="Symbol" w:hint="default"/>
      </w:rPr>
    </w:lvl>
    <w:lvl w:ilvl="4" w:tplc="2646A03E">
      <w:start w:val="1"/>
      <w:numFmt w:val="bullet"/>
      <w:lvlText w:val="o"/>
      <w:lvlJc w:val="left"/>
      <w:pPr>
        <w:ind w:left="3600" w:hanging="360"/>
      </w:pPr>
      <w:rPr>
        <w:rFonts w:ascii="Courier New" w:hAnsi="Courier New" w:hint="default"/>
      </w:rPr>
    </w:lvl>
    <w:lvl w:ilvl="5" w:tplc="056C6CA2">
      <w:start w:val="1"/>
      <w:numFmt w:val="bullet"/>
      <w:lvlText w:val=""/>
      <w:lvlJc w:val="left"/>
      <w:pPr>
        <w:ind w:left="4320" w:hanging="360"/>
      </w:pPr>
      <w:rPr>
        <w:rFonts w:ascii="Wingdings" w:hAnsi="Wingdings" w:hint="default"/>
      </w:rPr>
    </w:lvl>
    <w:lvl w:ilvl="6" w:tplc="DD60385C">
      <w:start w:val="1"/>
      <w:numFmt w:val="bullet"/>
      <w:lvlText w:val=""/>
      <w:lvlJc w:val="left"/>
      <w:pPr>
        <w:ind w:left="5040" w:hanging="360"/>
      </w:pPr>
      <w:rPr>
        <w:rFonts w:ascii="Symbol" w:hAnsi="Symbol" w:hint="default"/>
      </w:rPr>
    </w:lvl>
    <w:lvl w:ilvl="7" w:tplc="9474BEF8">
      <w:start w:val="1"/>
      <w:numFmt w:val="bullet"/>
      <w:lvlText w:val="o"/>
      <w:lvlJc w:val="left"/>
      <w:pPr>
        <w:ind w:left="5760" w:hanging="360"/>
      </w:pPr>
      <w:rPr>
        <w:rFonts w:ascii="Courier New" w:hAnsi="Courier New" w:hint="default"/>
      </w:rPr>
    </w:lvl>
    <w:lvl w:ilvl="8" w:tplc="A7BE9C22">
      <w:start w:val="1"/>
      <w:numFmt w:val="bullet"/>
      <w:lvlText w:val=""/>
      <w:lvlJc w:val="left"/>
      <w:pPr>
        <w:ind w:left="6480" w:hanging="360"/>
      </w:pPr>
      <w:rPr>
        <w:rFonts w:ascii="Wingdings" w:hAnsi="Wingdings" w:hint="default"/>
      </w:rPr>
    </w:lvl>
  </w:abstractNum>
  <w:abstractNum w:abstractNumId="16" w15:restartNumberingAfterBreak="0">
    <w:nsid w:val="6D3D0DB5"/>
    <w:multiLevelType w:val="hybridMultilevel"/>
    <w:tmpl w:val="0960289E"/>
    <w:lvl w:ilvl="0" w:tplc="9FD09032">
      <w:start w:val="1"/>
      <w:numFmt w:val="decimal"/>
      <w:lvlText w:val="%1."/>
      <w:lvlJc w:val="left"/>
      <w:pPr>
        <w:ind w:left="720" w:hanging="360"/>
      </w:pPr>
    </w:lvl>
    <w:lvl w:ilvl="1" w:tplc="5EBA7D22">
      <w:start w:val="1"/>
      <w:numFmt w:val="lowerLetter"/>
      <w:lvlText w:val="%2."/>
      <w:lvlJc w:val="left"/>
      <w:pPr>
        <w:ind w:left="1440" w:hanging="360"/>
      </w:pPr>
    </w:lvl>
    <w:lvl w:ilvl="2" w:tplc="F7ECCF28">
      <w:start w:val="1"/>
      <w:numFmt w:val="lowerRoman"/>
      <w:lvlText w:val="%3."/>
      <w:lvlJc w:val="right"/>
      <w:pPr>
        <w:ind w:left="2160" w:hanging="180"/>
      </w:pPr>
    </w:lvl>
    <w:lvl w:ilvl="3" w:tplc="DF848C84">
      <w:start w:val="1"/>
      <w:numFmt w:val="decimal"/>
      <w:lvlText w:val="%4."/>
      <w:lvlJc w:val="left"/>
      <w:pPr>
        <w:ind w:left="2880" w:hanging="360"/>
      </w:pPr>
    </w:lvl>
    <w:lvl w:ilvl="4" w:tplc="065A2D7A">
      <w:start w:val="1"/>
      <w:numFmt w:val="lowerLetter"/>
      <w:lvlText w:val="%5."/>
      <w:lvlJc w:val="left"/>
      <w:pPr>
        <w:ind w:left="3600" w:hanging="360"/>
      </w:pPr>
    </w:lvl>
    <w:lvl w:ilvl="5" w:tplc="FD58D49A">
      <w:start w:val="1"/>
      <w:numFmt w:val="lowerRoman"/>
      <w:lvlText w:val="%6."/>
      <w:lvlJc w:val="right"/>
      <w:pPr>
        <w:ind w:left="4320" w:hanging="180"/>
      </w:pPr>
    </w:lvl>
    <w:lvl w:ilvl="6" w:tplc="BEA09F38">
      <w:start w:val="1"/>
      <w:numFmt w:val="decimal"/>
      <w:lvlText w:val="%7."/>
      <w:lvlJc w:val="left"/>
      <w:pPr>
        <w:ind w:left="5040" w:hanging="360"/>
      </w:pPr>
    </w:lvl>
    <w:lvl w:ilvl="7" w:tplc="B650A49A">
      <w:start w:val="1"/>
      <w:numFmt w:val="lowerLetter"/>
      <w:lvlText w:val="%8."/>
      <w:lvlJc w:val="left"/>
      <w:pPr>
        <w:ind w:left="5760" w:hanging="360"/>
      </w:pPr>
    </w:lvl>
    <w:lvl w:ilvl="8" w:tplc="1A9648A4">
      <w:start w:val="1"/>
      <w:numFmt w:val="lowerRoman"/>
      <w:lvlText w:val="%9."/>
      <w:lvlJc w:val="right"/>
      <w:pPr>
        <w:ind w:left="6480" w:hanging="180"/>
      </w:pPr>
    </w:lvl>
  </w:abstractNum>
  <w:num w:numId="1">
    <w:abstractNumId w:val="12"/>
  </w:num>
  <w:num w:numId="2">
    <w:abstractNumId w:val="14"/>
  </w:num>
  <w:num w:numId="3">
    <w:abstractNumId w:val="3"/>
  </w:num>
  <w:num w:numId="4">
    <w:abstractNumId w:val="15"/>
  </w:num>
  <w:num w:numId="5">
    <w:abstractNumId w:val="4"/>
  </w:num>
  <w:num w:numId="6">
    <w:abstractNumId w:val="16"/>
  </w:num>
  <w:num w:numId="7">
    <w:abstractNumId w:val="5"/>
  </w:num>
  <w:num w:numId="8">
    <w:abstractNumId w:val="7"/>
  </w:num>
  <w:num w:numId="9">
    <w:abstractNumId w:val="13"/>
  </w:num>
  <w:num w:numId="10">
    <w:abstractNumId w:val="1"/>
  </w:num>
  <w:num w:numId="11">
    <w:abstractNumId w:val="9"/>
  </w:num>
  <w:num w:numId="12">
    <w:abstractNumId w:val="11"/>
  </w:num>
  <w:num w:numId="13">
    <w:abstractNumId w:val="10"/>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8"/>
  </w:num>
  <w:num w:numId="17">
    <w:abstractNumId w:val="0"/>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CR"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s-ES_tradnl" w:vendorID="64" w:dllVersion="0" w:nlCheck="1" w:checkStyle="0"/>
  <w:activeWritingStyle w:appName="MSWord" w:lang="es-CR" w:vendorID="64" w:dllVersion="0" w:nlCheck="1" w:checkStyle="0"/>
  <w:activeWritingStyle w:appName="MSWord" w:lang="pt-BR" w:vendorID="64" w:dllVersion="0" w:nlCheck="1" w:checkStyle="0"/>
  <w:activeWritingStyle w:appName="MSWord" w:lang="es-CR"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131078" w:nlCheck="1" w:checkStyle="0"/>
  <w:activeWritingStyle w:appName="MSWord" w:lang="es-CR" w:vendorID="64" w:dllVersion="131078" w:nlCheck="1" w:checkStyle="0"/>
  <w:activeWritingStyle w:appName="MSWord" w:lang="es-ES"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87C"/>
    <w:rsid w:val="000E4AD9"/>
    <w:rsid w:val="0011483A"/>
    <w:rsid w:val="00120CC7"/>
    <w:rsid w:val="00180FE0"/>
    <w:rsid w:val="001C502C"/>
    <w:rsid w:val="00282350"/>
    <w:rsid w:val="002A72F6"/>
    <w:rsid w:val="002C50A9"/>
    <w:rsid w:val="002D06D6"/>
    <w:rsid w:val="002E6B95"/>
    <w:rsid w:val="002E7075"/>
    <w:rsid w:val="00320414"/>
    <w:rsid w:val="003340F8"/>
    <w:rsid w:val="003C259A"/>
    <w:rsid w:val="003E7083"/>
    <w:rsid w:val="004361DE"/>
    <w:rsid w:val="00470DCC"/>
    <w:rsid w:val="004C591B"/>
    <w:rsid w:val="00523F27"/>
    <w:rsid w:val="00523F79"/>
    <w:rsid w:val="005D7FD0"/>
    <w:rsid w:val="006566A6"/>
    <w:rsid w:val="00656B12"/>
    <w:rsid w:val="00677A05"/>
    <w:rsid w:val="006C4BBB"/>
    <w:rsid w:val="007058BC"/>
    <w:rsid w:val="00713F00"/>
    <w:rsid w:val="007D02B1"/>
    <w:rsid w:val="007E78CB"/>
    <w:rsid w:val="00805D84"/>
    <w:rsid w:val="008427C1"/>
    <w:rsid w:val="008627DD"/>
    <w:rsid w:val="00885CE2"/>
    <w:rsid w:val="008D2D5E"/>
    <w:rsid w:val="008F387C"/>
    <w:rsid w:val="0093437B"/>
    <w:rsid w:val="00A84DC1"/>
    <w:rsid w:val="00AE245F"/>
    <w:rsid w:val="00B54686"/>
    <w:rsid w:val="00BC5210"/>
    <w:rsid w:val="00C03962"/>
    <w:rsid w:val="00C416C5"/>
    <w:rsid w:val="00CF0EB2"/>
    <w:rsid w:val="00CF75C3"/>
    <w:rsid w:val="00D424E9"/>
    <w:rsid w:val="00D6031C"/>
    <w:rsid w:val="00D7048D"/>
    <w:rsid w:val="00D768FB"/>
    <w:rsid w:val="00DB2277"/>
    <w:rsid w:val="00DC30F5"/>
    <w:rsid w:val="00E70BA1"/>
    <w:rsid w:val="00E836C3"/>
    <w:rsid w:val="00EB579B"/>
    <w:rsid w:val="00EE1A85"/>
    <w:rsid w:val="00EF107F"/>
    <w:rsid w:val="00F23662"/>
    <w:rsid w:val="00F3358B"/>
    <w:rsid w:val="00F401F3"/>
    <w:rsid w:val="00F65E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8EA2034"/>
  <w15:docId w15:val="{2AB2CB84-B785-4FB3-A09D-E231CBC8B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502C"/>
  </w:style>
  <w:style w:type="paragraph" w:styleId="Ttulo1">
    <w:name w:val="heading 1"/>
    <w:basedOn w:val="Normal"/>
    <w:next w:val="Normal"/>
    <w:link w:val="Ttulo1Car"/>
    <w:uiPriority w:val="9"/>
    <w:qFormat/>
    <w:rsid w:val="001C50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link w:val="Ttulo3Car"/>
    <w:uiPriority w:val="9"/>
    <w:qFormat/>
    <w:rsid w:val="001C502C"/>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C502C"/>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uiPriority w:val="9"/>
    <w:rsid w:val="001C502C"/>
    <w:rPr>
      <w:rFonts w:ascii="Times New Roman" w:eastAsia="Times New Roman" w:hAnsi="Times New Roman" w:cs="Times New Roman"/>
      <w:b/>
      <w:bCs/>
      <w:sz w:val="27"/>
      <w:szCs w:val="27"/>
      <w:lang w:eastAsia="es-ES"/>
    </w:rPr>
  </w:style>
  <w:style w:type="paragraph" w:styleId="TDC1">
    <w:name w:val="toc 1"/>
    <w:basedOn w:val="Normal"/>
    <w:next w:val="Normal"/>
    <w:autoRedefine/>
    <w:uiPriority w:val="39"/>
    <w:unhideWhenUsed/>
    <w:qFormat/>
    <w:rsid w:val="001C502C"/>
    <w:pPr>
      <w:spacing w:after="100"/>
    </w:pPr>
  </w:style>
  <w:style w:type="paragraph" w:styleId="TDC2">
    <w:name w:val="toc 2"/>
    <w:basedOn w:val="Normal"/>
    <w:next w:val="Normal"/>
    <w:autoRedefine/>
    <w:uiPriority w:val="39"/>
    <w:semiHidden/>
    <w:unhideWhenUsed/>
    <w:qFormat/>
    <w:rsid w:val="001C502C"/>
    <w:pPr>
      <w:spacing w:after="100"/>
      <w:ind w:left="220"/>
    </w:pPr>
    <w:rPr>
      <w:rFonts w:eastAsiaTheme="minorEastAsia"/>
      <w:lang w:val="en-US" w:eastAsia="ja-JP"/>
    </w:rPr>
  </w:style>
  <w:style w:type="paragraph" w:styleId="TDC3">
    <w:name w:val="toc 3"/>
    <w:basedOn w:val="Normal"/>
    <w:next w:val="Normal"/>
    <w:autoRedefine/>
    <w:uiPriority w:val="39"/>
    <w:unhideWhenUsed/>
    <w:qFormat/>
    <w:rsid w:val="001C502C"/>
    <w:pPr>
      <w:spacing w:after="100"/>
      <w:ind w:left="440"/>
    </w:pPr>
    <w:rPr>
      <w:rFonts w:eastAsiaTheme="minorEastAsia"/>
      <w:lang w:val="en-US" w:eastAsia="ja-JP"/>
    </w:rPr>
  </w:style>
  <w:style w:type="paragraph" w:styleId="Sinespaciado">
    <w:name w:val="No Spacing"/>
    <w:link w:val="SinespaciadoCar"/>
    <w:uiPriority w:val="1"/>
    <w:qFormat/>
    <w:rsid w:val="001C502C"/>
    <w:pPr>
      <w:spacing w:after="0" w:line="240" w:lineRule="auto"/>
    </w:pPr>
    <w:rPr>
      <w:rFonts w:eastAsiaTheme="minorEastAsia"/>
      <w:lang w:val="en-US" w:eastAsia="ja-JP"/>
    </w:rPr>
  </w:style>
  <w:style w:type="character" w:customStyle="1" w:styleId="SinespaciadoCar">
    <w:name w:val="Sin espaciado Car"/>
    <w:basedOn w:val="Fuentedeprrafopredeter"/>
    <w:link w:val="Sinespaciado"/>
    <w:uiPriority w:val="1"/>
    <w:rsid w:val="001C502C"/>
    <w:rPr>
      <w:rFonts w:eastAsiaTheme="minorEastAsia"/>
      <w:lang w:val="en-US" w:eastAsia="ja-JP"/>
    </w:rPr>
  </w:style>
  <w:style w:type="paragraph" w:styleId="Prrafodelista">
    <w:name w:val="List Paragraph"/>
    <w:basedOn w:val="Normal"/>
    <w:link w:val="PrrafodelistaCar"/>
    <w:uiPriority w:val="34"/>
    <w:qFormat/>
    <w:rsid w:val="001C502C"/>
    <w:pPr>
      <w:ind w:left="720"/>
      <w:contextualSpacing/>
    </w:pPr>
  </w:style>
  <w:style w:type="paragraph" w:styleId="TtuloTDC">
    <w:name w:val="TOC Heading"/>
    <w:basedOn w:val="Ttulo1"/>
    <w:next w:val="Normal"/>
    <w:uiPriority w:val="39"/>
    <w:unhideWhenUsed/>
    <w:qFormat/>
    <w:rsid w:val="001C502C"/>
    <w:pPr>
      <w:outlineLvl w:val="9"/>
    </w:pPr>
    <w:rPr>
      <w:lang w:val="en-US" w:eastAsia="ja-JP"/>
    </w:rPr>
  </w:style>
  <w:style w:type="paragraph" w:styleId="Textoindependiente">
    <w:name w:val="Body Text"/>
    <w:basedOn w:val="Normal"/>
    <w:link w:val="TextoindependienteCar"/>
    <w:rsid w:val="0093437B"/>
    <w:pPr>
      <w:suppressAutoHyphens/>
      <w:spacing w:after="0" w:line="240" w:lineRule="auto"/>
      <w:jc w:val="both"/>
    </w:pPr>
    <w:rPr>
      <w:rFonts w:ascii="Times New Roman" w:eastAsia="Times New Roman" w:hAnsi="Times New Roman" w:cs="Times New Roman"/>
      <w:sz w:val="28"/>
      <w:szCs w:val="28"/>
      <w:lang w:val="es-ES" w:eastAsia="ar-SA"/>
    </w:rPr>
  </w:style>
  <w:style w:type="character" w:customStyle="1" w:styleId="TextoindependienteCar">
    <w:name w:val="Texto independiente Car"/>
    <w:basedOn w:val="Fuentedeprrafopredeter"/>
    <w:link w:val="Textoindependiente"/>
    <w:rsid w:val="0093437B"/>
    <w:rPr>
      <w:rFonts w:ascii="Times New Roman" w:eastAsia="Times New Roman" w:hAnsi="Times New Roman" w:cs="Times New Roman"/>
      <w:sz w:val="28"/>
      <w:szCs w:val="28"/>
      <w:lang w:val="es-ES" w:eastAsia="ar-SA"/>
    </w:rPr>
  </w:style>
  <w:style w:type="paragraph" w:customStyle="1" w:styleId="xmsonormal">
    <w:name w:val="x_msonormal"/>
    <w:basedOn w:val="Normal"/>
    <w:uiPriority w:val="99"/>
    <w:rsid w:val="0093437B"/>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styleId="NormalWeb">
    <w:name w:val="Normal (Web)"/>
    <w:basedOn w:val="Normal"/>
    <w:uiPriority w:val="99"/>
    <w:unhideWhenUsed/>
    <w:rsid w:val="000E4AD9"/>
    <w:pPr>
      <w:spacing w:before="100" w:beforeAutospacing="1" w:after="100" w:afterAutospacing="1" w:line="240" w:lineRule="auto"/>
    </w:pPr>
    <w:rPr>
      <w:rFonts w:ascii="Times New Roman" w:hAnsi="Times New Roman" w:cs="Times New Roman"/>
      <w:sz w:val="24"/>
      <w:szCs w:val="24"/>
      <w:lang w:eastAsia="es-CR"/>
    </w:rPr>
  </w:style>
  <w:style w:type="character" w:customStyle="1" w:styleId="PrrafodelistaCar">
    <w:name w:val="Párrafo de lista Car"/>
    <w:link w:val="Prrafodelista"/>
    <w:uiPriority w:val="34"/>
    <w:rsid w:val="002D06D6"/>
  </w:style>
  <w:style w:type="character" w:styleId="Hipervnculo">
    <w:name w:val="Hyperlink"/>
    <w:basedOn w:val="Fuentedeprrafopredeter"/>
    <w:uiPriority w:val="99"/>
    <w:semiHidden/>
    <w:unhideWhenUsed/>
    <w:rsid w:val="00180FE0"/>
    <w:rPr>
      <w:color w:val="0563C1"/>
      <w:u w:val="single"/>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Footnote Te"/>
    <w:basedOn w:val="Normal"/>
    <w:link w:val="TextonotapieCar"/>
    <w:qFormat/>
    <w:rsid w:val="002A72F6"/>
    <w:pPr>
      <w:widowControl w:val="0"/>
      <w:suppressAutoHyphens/>
      <w:spacing w:after="0" w:line="240" w:lineRule="auto"/>
      <w:ind w:left="283" w:hanging="283"/>
    </w:pPr>
    <w:rPr>
      <w:rFonts w:ascii="Times New Roman" w:eastAsia="Times New Roman" w:hAnsi="Times New Roman" w:cs="Times New Roman"/>
      <w:sz w:val="20"/>
      <w:szCs w:val="20"/>
      <w:lang w:val="es-ES" w:eastAsia="ar-SA"/>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basedOn w:val="Fuentedeprrafopredeter"/>
    <w:link w:val="Textonotapie"/>
    <w:qFormat/>
    <w:rsid w:val="002A72F6"/>
    <w:rPr>
      <w:rFonts w:ascii="Times New Roman" w:eastAsia="Times New Roman" w:hAnsi="Times New Roman" w:cs="Times New Roman"/>
      <w:sz w:val="20"/>
      <w:szCs w:val="20"/>
      <w:lang w:val="es-ES" w:eastAsia="ar-SA"/>
    </w:rPr>
  </w:style>
  <w:style w:type="character" w:styleId="Refdenotaalpie">
    <w:name w:val="footnote reference"/>
    <w:aliases w:val="ƒ89,^ƒ89,Footnotes refss,Texto de nota al pie,Appel note de bas de page,Referencia nota al pie,Footnote number,referencia nota al pie,BVI fnr,f,Ref,de nota al pie,FC,ftref,16 Point,Superscript 6 Point,Superscript 6 Point + 11 pt"/>
    <w:qFormat/>
    <w:rsid w:val="002A72F6"/>
    <w:rPr>
      <w:vertAlign w:val="superscript"/>
    </w:rPr>
  </w:style>
  <w:style w:type="numbering" w:customStyle="1" w:styleId="111111111221">
    <w:name w:val="1.1 / 1.1.1 / 1.1.1.1221"/>
    <w:rsid w:val="00120CC7"/>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021605">
      <w:bodyDiv w:val="1"/>
      <w:marLeft w:val="0"/>
      <w:marRight w:val="0"/>
      <w:marTop w:val="0"/>
      <w:marBottom w:val="0"/>
      <w:divBdr>
        <w:top w:val="none" w:sz="0" w:space="0" w:color="auto"/>
        <w:left w:val="none" w:sz="0" w:space="0" w:color="auto"/>
        <w:bottom w:val="none" w:sz="0" w:space="0" w:color="auto"/>
        <w:right w:val="none" w:sz="0" w:space="0" w:color="auto"/>
      </w:divBdr>
    </w:div>
    <w:div w:id="438574232">
      <w:bodyDiv w:val="1"/>
      <w:marLeft w:val="0"/>
      <w:marRight w:val="0"/>
      <w:marTop w:val="0"/>
      <w:marBottom w:val="0"/>
      <w:divBdr>
        <w:top w:val="none" w:sz="0" w:space="0" w:color="auto"/>
        <w:left w:val="none" w:sz="0" w:space="0" w:color="auto"/>
        <w:bottom w:val="none" w:sz="0" w:space="0" w:color="auto"/>
        <w:right w:val="none" w:sz="0" w:space="0" w:color="auto"/>
      </w:divBdr>
    </w:div>
    <w:div w:id="456490979">
      <w:bodyDiv w:val="1"/>
      <w:marLeft w:val="0"/>
      <w:marRight w:val="0"/>
      <w:marTop w:val="0"/>
      <w:marBottom w:val="0"/>
      <w:divBdr>
        <w:top w:val="none" w:sz="0" w:space="0" w:color="auto"/>
        <w:left w:val="none" w:sz="0" w:space="0" w:color="auto"/>
        <w:bottom w:val="none" w:sz="0" w:space="0" w:color="auto"/>
        <w:right w:val="none" w:sz="0" w:space="0" w:color="auto"/>
      </w:divBdr>
    </w:div>
    <w:div w:id="472604039">
      <w:bodyDiv w:val="1"/>
      <w:marLeft w:val="0"/>
      <w:marRight w:val="0"/>
      <w:marTop w:val="0"/>
      <w:marBottom w:val="0"/>
      <w:divBdr>
        <w:top w:val="none" w:sz="0" w:space="0" w:color="auto"/>
        <w:left w:val="none" w:sz="0" w:space="0" w:color="auto"/>
        <w:bottom w:val="none" w:sz="0" w:space="0" w:color="auto"/>
        <w:right w:val="none" w:sz="0" w:space="0" w:color="auto"/>
      </w:divBdr>
    </w:div>
    <w:div w:id="626085911">
      <w:bodyDiv w:val="1"/>
      <w:marLeft w:val="0"/>
      <w:marRight w:val="0"/>
      <w:marTop w:val="0"/>
      <w:marBottom w:val="0"/>
      <w:divBdr>
        <w:top w:val="none" w:sz="0" w:space="0" w:color="auto"/>
        <w:left w:val="none" w:sz="0" w:space="0" w:color="auto"/>
        <w:bottom w:val="none" w:sz="0" w:space="0" w:color="auto"/>
        <w:right w:val="none" w:sz="0" w:space="0" w:color="auto"/>
      </w:divBdr>
    </w:div>
    <w:div w:id="659315464">
      <w:bodyDiv w:val="1"/>
      <w:marLeft w:val="0"/>
      <w:marRight w:val="0"/>
      <w:marTop w:val="0"/>
      <w:marBottom w:val="0"/>
      <w:divBdr>
        <w:top w:val="none" w:sz="0" w:space="0" w:color="auto"/>
        <w:left w:val="none" w:sz="0" w:space="0" w:color="auto"/>
        <w:bottom w:val="none" w:sz="0" w:space="0" w:color="auto"/>
        <w:right w:val="none" w:sz="0" w:space="0" w:color="auto"/>
      </w:divBdr>
    </w:div>
    <w:div w:id="716515412">
      <w:bodyDiv w:val="1"/>
      <w:marLeft w:val="0"/>
      <w:marRight w:val="0"/>
      <w:marTop w:val="0"/>
      <w:marBottom w:val="0"/>
      <w:divBdr>
        <w:top w:val="none" w:sz="0" w:space="0" w:color="auto"/>
        <w:left w:val="none" w:sz="0" w:space="0" w:color="auto"/>
        <w:bottom w:val="none" w:sz="0" w:space="0" w:color="auto"/>
        <w:right w:val="none" w:sz="0" w:space="0" w:color="auto"/>
      </w:divBdr>
    </w:div>
    <w:div w:id="1274821921">
      <w:bodyDiv w:val="1"/>
      <w:marLeft w:val="0"/>
      <w:marRight w:val="0"/>
      <w:marTop w:val="0"/>
      <w:marBottom w:val="0"/>
      <w:divBdr>
        <w:top w:val="none" w:sz="0" w:space="0" w:color="auto"/>
        <w:left w:val="none" w:sz="0" w:space="0" w:color="auto"/>
        <w:bottom w:val="none" w:sz="0" w:space="0" w:color="auto"/>
        <w:right w:val="none" w:sz="0" w:space="0" w:color="auto"/>
      </w:divBdr>
    </w:div>
    <w:div w:id="1725250922">
      <w:bodyDiv w:val="1"/>
      <w:marLeft w:val="0"/>
      <w:marRight w:val="0"/>
      <w:marTop w:val="0"/>
      <w:marBottom w:val="0"/>
      <w:divBdr>
        <w:top w:val="none" w:sz="0" w:space="0" w:color="auto"/>
        <w:left w:val="none" w:sz="0" w:space="0" w:color="auto"/>
        <w:bottom w:val="none" w:sz="0" w:space="0" w:color="auto"/>
        <w:right w:val="none" w:sz="0" w:space="0" w:color="auto"/>
      </w:divBdr>
    </w:div>
    <w:div w:id="1794054380">
      <w:bodyDiv w:val="1"/>
      <w:marLeft w:val="0"/>
      <w:marRight w:val="0"/>
      <w:marTop w:val="0"/>
      <w:marBottom w:val="0"/>
      <w:divBdr>
        <w:top w:val="none" w:sz="0" w:space="0" w:color="auto"/>
        <w:left w:val="none" w:sz="0" w:space="0" w:color="auto"/>
        <w:bottom w:val="none" w:sz="0" w:space="0" w:color="auto"/>
        <w:right w:val="none" w:sz="0" w:space="0" w:color="auto"/>
      </w:divBdr>
    </w:div>
    <w:div w:id="1884780248">
      <w:bodyDiv w:val="1"/>
      <w:marLeft w:val="0"/>
      <w:marRight w:val="0"/>
      <w:marTop w:val="0"/>
      <w:marBottom w:val="0"/>
      <w:divBdr>
        <w:top w:val="none" w:sz="0" w:space="0" w:color="auto"/>
        <w:left w:val="none" w:sz="0" w:space="0" w:color="auto"/>
        <w:bottom w:val="none" w:sz="0" w:space="0" w:color="auto"/>
        <w:right w:val="none" w:sz="0" w:space="0" w:color="auto"/>
      </w:divBdr>
    </w:div>
    <w:div w:id="1994747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Documento_de_Microsoft_Word.docx"/><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447</Words>
  <Characters>2548</Characters>
  <Application>Microsoft Office Word</Application>
  <DocSecurity>0</DocSecurity>
  <Lines>21</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idania vanessa flores vilchez</dc:creator>
  <cp:lastModifiedBy>Secretaría General de la Corte - Comunicaciones - Randall Orozco Salazar.</cp:lastModifiedBy>
  <cp:revision>3</cp:revision>
  <dcterms:created xsi:type="dcterms:W3CDTF">2021-06-03T19:48:00Z</dcterms:created>
  <dcterms:modified xsi:type="dcterms:W3CDTF">2021-06-07T22:23:00Z</dcterms:modified>
</cp:coreProperties>
</file>