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B79415" w14:textId="7EC3A87F" w:rsidR="00F6713A" w:rsidRPr="00F05F89" w:rsidRDefault="005A5E66" w:rsidP="000B79D2">
      <w:pPr>
        <w:shd w:val="clear" w:color="auto" w:fill="FFFFFF"/>
        <w:jc w:val="both"/>
        <w:rPr>
          <w:color w:val="000000"/>
          <w:lang w:val="es-ES"/>
        </w:rPr>
      </w:pPr>
      <w:r>
        <w:rPr>
          <w:b/>
          <w:bCs/>
          <w:color w:val="000000"/>
          <w:u w:val="single"/>
          <w:shd w:val="clear" w:color="auto" w:fill="FFFFFF"/>
          <w:lang w:val="es-ES"/>
        </w:rPr>
        <w:t>CIRCULAR No. 107</w:t>
      </w:r>
      <w:r w:rsidR="00F6713A" w:rsidRPr="00F05F89">
        <w:rPr>
          <w:b/>
          <w:bCs/>
          <w:color w:val="000000"/>
          <w:u w:val="single"/>
          <w:shd w:val="clear" w:color="auto" w:fill="FFFFFF"/>
          <w:lang w:val="es-ES"/>
        </w:rPr>
        <w:t>-202</w:t>
      </w:r>
      <w:r>
        <w:rPr>
          <w:b/>
          <w:bCs/>
          <w:color w:val="000000"/>
          <w:u w:val="single"/>
          <w:shd w:val="clear" w:color="auto" w:fill="FFFFFF"/>
          <w:lang w:val="es-ES"/>
        </w:rPr>
        <w:t>1</w:t>
      </w:r>
      <w:r w:rsidR="00F6713A" w:rsidRPr="00F05F89">
        <w:rPr>
          <w:color w:val="000000"/>
          <w:lang w:val="es-ES"/>
        </w:rPr>
        <w:t xml:space="preserve"> </w:t>
      </w:r>
    </w:p>
    <w:p w14:paraId="55E23293" w14:textId="77777777" w:rsidR="008A322E" w:rsidRPr="00F05F89" w:rsidRDefault="008A322E" w:rsidP="000B79D2">
      <w:pPr>
        <w:shd w:val="clear" w:color="auto" w:fill="FFFFFF"/>
        <w:jc w:val="both"/>
        <w:rPr>
          <w:rFonts w:eastAsiaTheme="minorHAnsi"/>
          <w:kern w:val="0"/>
          <w:lang w:val="es-ES"/>
        </w:rPr>
      </w:pPr>
    </w:p>
    <w:p w14:paraId="3CB8B130" w14:textId="4D2828F7" w:rsidR="00F6713A" w:rsidRPr="00F05F89" w:rsidRDefault="00F6713A" w:rsidP="000B79D2">
      <w:pPr>
        <w:shd w:val="clear" w:color="auto" w:fill="FFFFFF"/>
        <w:jc w:val="both"/>
        <w:rPr>
          <w:shd w:val="clear" w:color="auto" w:fill="FFFFFF"/>
          <w:lang w:val="es-ES"/>
        </w:rPr>
      </w:pPr>
      <w:r w:rsidRPr="00F05F89">
        <w:rPr>
          <w:b/>
          <w:bCs/>
          <w:color w:val="000000"/>
          <w:u w:val="single"/>
          <w:shd w:val="clear" w:color="auto" w:fill="FFFFFF"/>
          <w:lang w:val="es-ES"/>
        </w:rPr>
        <w:t>Asunto</w:t>
      </w:r>
      <w:r w:rsidRPr="00F05F89">
        <w:rPr>
          <w:color w:val="000000"/>
          <w:shd w:val="clear" w:color="auto" w:fill="FFFFFF"/>
          <w:lang w:val="es-ES"/>
        </w:rPr>
        <w:t xml:space="preserve">: </w:t>
      </w:r>
      <w:r w:rsidR="001F6E1E">
        <w:rPr>
          <w:color w:val="201F1E"/>
          <w:sz w:val="23"/>
          <w:szCs w:val="23"/>
          <w:lang w:val="es-ES"/>
        </w:rPr>
        <w:t>Disposiciones obligatorias temporales ante la situación presupuestaria actual de la Institución y las proyecciones del gasto.</w:t>
      </w:r>
    </w:p>
    <w:p w14:paraId="147243D3" w14:textId="77777777" w:rsidR="00F6713A" w:rsidRPr="00F05F89" w:rsidRDefault="00F6713A" w:rsidP="000B79D2">
      <w:pPr>
        <w:shd w:val="clear" w:color="auto" w:fill="FFFFFF"/>
        <w:jc w:val="both"/>
        <w:rPr>
          <w:lang w:val="es-ES"/>
        </w:rPr>
      </w:pPr>
    </w:p>
    <w:p w14:paraId="7EA0B0C4" w14:textId="1E6620BD" w:rsidR="00F6713A" w:rsidRPr="00F05F89" w:rsidRDefault="00F6713A" w:rsidP="000B79D2">
      <w:pPr>
        <w:shd w:val="clear" w:color="auto" w:fill="FFFFFF"/>
        <w:jc w:val="both"/>
        <w:rPr>
          <w:color w:val="000000"/>
          <w:lang w:val="es-ES"/>
        </w:rPr>
      </w:pPr>
      <w:r w:rsidRPr="00F05F89">
        <w:rPr>
          <w:b/>
          <w:bCs/>
          <w:color w:val="000000"/>
          <w:shd w:val="clear" w:color="auto" w:fill="FFFFFF"/>
          <w:lang w:val="es-ES"/>
        </w:rPr>
        <w:t>A</w:t>
      </w:r>
      <w:r w:rsidR="0072593C" w:rsidRPr="00F05F89">
        <w:rPr>
          <w:b/>
          <w:bCs/>
          <w:color w:val="000000"/>
          <w:shd w:val="clear" w:color="auto" w:fill="FFFFFF"/>
          <w:lang w:val="es-ES"/>
        </w:rPr>
        <w:t xml:space="preserve"> TODOS</w:t>
      </w:r>
      <w:r w:rsidRPr="00F05F89">
        <w:rPr>
          <w:b/>
          <w:bCs/>
          <w:color w:val="000000"/>
          <w:shd w:val="clear" w:color="auto" w:fill="FFFFFF"/>
          <w:lang w:val="es-ES"/>
        </w:rPr>
        <w:t xml:space="preserve"> LOS </w:t>
      </w:r>
      <w:r w:rsidR="0072593C" w:rsidRPr="00F05F89">
        <w:rPr>
          <w:b/>
          <w:bCs/>
          <w:color w:val="000000"/>
          <w:shd w:val="clear" w:color="auto" w:fill="FFFFFF"/>
          <w:lang w:val="es-ES"/>
        </w:rPr>
        <w:t>DESPACHOS</w:t>
      </w:r>
      <w:r w:rsidR="00325B08">
        <w:rPr>
          <w:b/>
          <w:bCs/>
          <w:color w:val="000000"/>
          <w:shd w:val="clear" w:color="auto" w:fill="FFFFFF"/>
          <w:lang w:val="es-ES"/>
        </w:rPr>
        <w:t xml:space="preserve"> JUDICIALES</w:t>
      </w:r>
      <w:bookmarkStart w:id="0" w:name="_GoBack"/>
      <w:bookmarkEnd w:id="0"/>
      <w:r w:rsidR="0072593C" w:rsidRPr="00F05F89">
        <w:rPr>
          <w:b/>
          <w:bCs/>
          <w:color w:val="000000"/>
          <w:shd w:val="clear" w:color="auto" w:fill="FFFFFF"/>
          <w:lang w:val="es-ES"/>
        </w:rPr>
        <w:t xml:space="preserve"> DEL</w:t>
      </w:r>
      <w:r w:rsidRPr="00F05F89">
        <w:rPr>
          <w:b/>
          <w:bCs/>
          <w:color w:val="000000"/>
          <w:shd w:val="clear" w:color="auto" w:fill="FFFFFF"/>
          <w:lang w:val="es-ES"/>
        </w:rPr>
        <w:t xml:space="preserve"> PAÍS</w:t>
      </w:r>
      <w:r w:rsidRPr="00F05F89">
        <w:rPr>
          <w:color w:val="000000"/>
          <w:lang w:val="es-ES"/>
        </w:rPr>
        <w:t xml:space="preserve"> </w:t>
      </w:r>
    </w:p>
    <w:p w14:paraId="1946E95C" w14:textId="77777777" w:rsidR="008A322E" w:rsidRPr="00F05F89" w:rsidRDefault="008A322E" w:rsidP="000B79D2">
      <w:pPr>
        <w:shd w:val="clear" w:color="auto" w:fill="FFFFFF"/>
        <w:jc w:val="both"/>
        <w:rPr>
          <w:lang w:val="es-ES"/>
        </w:rPr>
      </w:pPr>
    </w:p>
    <w:p w14:paraId="75AA5B77" w14:textId="54F235A5" w:rsidR="00F6713A" w:rsidRPr="00F05F89" w:rsidRDefault="00F6713A" w:rsidP="000B79D2">
      <w:pPr>
        <w:shd w:val="clear" w:color="auto" w:fill="FFFFFF"/>
        <w:jc w:val="both"/>
        <w:rPr>
          <w:color w:val="000000"/>
          <w:lang w:val="es-ES"/>
        </w:rPr>
      </w:pPr>
      <w:r w:rsidRPr="00F05F89">
        <w:rPr>
          <w:b/>
          <w:bCs/>
          <w:color w:val="000000"/>
          <w:u w:val="single"/>
          <w:shd w:val="clear" w:color="auto" w:fill="FFFFFF"/>
          <w:lang w:val="es-ES"/>
        </w:rPr>
        <w:t>SE LES HACE SABER QUE:</w:t>
      </w:r>
      <w:r w:rsidRPr="00F05F89">
        <w:rPr>
          <w:color w:val="000000"/>
          <w:lang w:val="es-ES"/>
        </w:rPr>
        <w:t xml:space="preserve"> </w:t>
      </w:r>
    </w:p>
    <w:p w14:paraId="6B00D228" w14:textId="77777777" w:rsidR="008A322E" w:rsidRPr="00F05F89" w:rsidRDefault="008A322E" w:rsidP="000B79D2">
      <w:pPr>
        <w:shd w:val="clear" w:color="auto" w:fill="FFFFFF"/>
        <w:jc w:val="both"/>
        <w:rPr>
          <w:lang w:val="es-ES"/>
        </w:rPr>
      </w:pPr>
    </w:p>
    <w:p w14:paraId="7625D7CF" w14:textId="24D6B7E1" w:rsidR="001F6E1E" w:rsidRDefault="00F6713A" w:rsidP="000B79D2">
      <w:pPr>
        <w:shd w:val="clear" w:color="auto" w:fill="FFFFFF"/>
        <w:jc w:val="both"/>
        <w:rPr>
          <w:color w:val="000000"/>
        </w:rPr>
      </w:pPr>
      <w:r w:rsidRPr="00F05F89">
        <w:rPr>
          <w:color w:val="000000"/>
          <w:shd w:val="clear" w:color="auto" w:fill="FFFFFF"/>
          <w:lang w:val="es-ES"/>
        </w:rPr>
        <w:t xml:space="preserve">El Consejo Superior del Poder Judicial en sesión N° </w:t>
      </w:r>
      <w:r w:rsidR="0072593C" w:rsidRPr="00F05F89">
        <w:rPr>
          <w:color w:val="000000"/>
          <w:shd w:val="clear" w:color="auto" w:fill="FFFFFF"/>
          <w:lang w:val="es-ES"/>
        </w:rPr>
        <w:t>39</w:t>
      </w:r>
      <w:r w:rsidR="008A322E" w:rsidRPr="00F05F89">
        <w:rPr>
          <w:color w:val="000000"/>
          <w:shd w:val="clear" w:color="auto" w:fill="FFFFFF"/>
          <w:lang w:val="es-ES"/>
        </w:rPr>
        <w:t>-202</w:t>
      </w:r>
      <w:r w:rsidR="0072593C" w:rsidRPr="00F05F89">
        <w:rPr>
          <w:color w:val="000000"/>
          <w:shd w:val="clear" w:color="auto" w:fill="FFFFFF"/>
          <w:lang w:val="es-ES"/>
        </w:rPr>
        <w:t>1</w:t>
      </w:r>
      <w:r w:rsidRPr="00F05F89">
        <w:rPr>
          <w:color w:val="000000"/>
          <w:shd w:val="clear" w:color="auto" w:fill="FFFFFF"/>
          <w:lang w:val="es-ES"/>
        </w:rPr>
        <w:t xml:space="preserve">, celebrada el </w:t>
      </w:r>
      <w:r w:rsidR="008A322E" w:rsidRPr="00F05F89">
        <w:rPr>
          <w:color w:val="000000"/>
          <w:shd w:val="clear" w:color="auto" w:fill="FFFFFF"/>
          <w:lang w:val="es-ES"/>
        </w:rPr>
        <w:t>1</w:t>
      </w:r>
      <w:r w:rsidR="0072593C" w:rsidRPr="00F05F89">
        <w:rPr>
          <w:color w:val="000000"/>
          <w:shd w:val="clear" w:color="auto" w:fill="FFFFFF"/>
          <w:lang w:val="es-ES"/>
        </w:rPr>
        <w:t xml:space="preserve">3 de mayo </w:t>
      </w:r>
      <w:r w:rsidR="008A322E" w:rsidRPr="00F05F89">
        <w:rPr>
          <w:color w:val="000000"/>
          <w:shd w:val="clear" w:color="auto" w:fill="FFFFFF"/>
          <w:lang w:val="es-ES"/>
        </w:rPr>
        <w:t xml:space="preserve">de </w:t>
      </w:r>
      <w:r w:rsidR="0072593C" w:rsidRPr="00F05F89">
        <w:rPr>
          <w:color w:val="000000"/>
          <w:shd w:val="clear" w:color="auto" w:fill="FFFFFF"/>
          <w:lang w:val="es-ES"/>
        </w:rPr>
        <w:t>2021</w:t>
      </w:r>
      <w:r w:rsidRPr="00F05F89">
        <w:rPr>
          <w:color w:val="000000"/>
          <w:shd w:val="clear" w:color="auto" w:fill="FFFFFF"/>
          <w:lang w:val="es-ES"/>
        </w:rPr>
        <w:t xml:space="preserve">, artículo </w:t>
      </w:r>
      <w:r w:rsidR="0072593C" w:rsidRPr="00F05F89">
        <w:rPr>
          <w:color w:val="000000"/>
          <w:shd w:val="clear" w:color="auto" w:fill="FFFFFF"/>
          <w:lang w:val="es-ES"/>
        </w:rPr>
        <w:t>LVII</w:t>
      </w:r>
      <w:r w:rsidR="008A322E" w:rsidRPr="00F05F89">
        <w:rPr>
          <w:color w:val="000000"/>
          <w:shd w:val="clear" w:color="auto" w:fill="FFFFFF"/>
          <w:lang w:val="es-ES"/>
        </w:rPr>
        <w:t>I</w:t>
      </w:r>
      <w:r w:rsidRPr="00F05F89">
        <w:rPr>
          <w:color w:val="000000"/>
          <w:shd w:val="clear" w:color="auto" w:fill="FFFFFF"/>
          <w:lang w:val="es-ES"/>
        </w:rPr>
        <w:t xml:space="preserve">, </w:t>
      </w:r>
      <w:r w:rsidR="001F6E1E">
        <w:rPr>
          <w:color w:val="201F1E"/>
          <w:sz w:val="23"/>
          <w:szCs w:val="23"/>
          <w:lang w:val="es-ES"/>
        </w:rPr>
        <w:t xml:space="preserve">dispuso ante </w:t>
      </w:r>
      <w:r w:rsidR="001F6E1E">
        <w:rPr>
          <w:color w:val="000000"/>
        </w:rPr>
        <w:t>la situación presupuestaria actual de la Institución y las proyecciones del gasto que reflejó el estudio realizado por la Dirección de Gestión Humana a partir de las liquidaciones del primer trimestre del año 2021, emitir las siguientes disposiciones temporales, de carácter obligatorio:</w:t>
      </w:r>
    </w:p>
    <w:p w14:paraId="73AEE51E" w14:textId="17989248" w:rsidR="00F05F89" w:rsidRPr="00F05F89" w:rsidRDefault="00F05F89" w:rsidP="000B79D2">
      <w:pPr>
        <w:shd w:val="clear" w:color="auto" w:fill="FFFFFF"/>
        <w:jc w:val="both"/>
        <w:rPr>
          <w:color w:val="000000"/>
          <w:shd w:val="clear" w:color="auto" w:fill="FFFFFF"/>
          <w:lang w:val="es-ES"/>
        </w:rPr>
      </w:pPr>
    </w:p>
    <w:p w14:paraId="5367494A" w14:textId="56BB2DCC" w:rsidR="005A5E66" w:rsidRPr="005A5E66" w:rsidRDefault="00C55660" w:rsidP="00C55660">
      <w:pPr>
        <w:pStyle w:val="Textoindependiente"/>
        <w:widowControl/>
        <w:shd w:val="clear" w:color="auto" w:fill="FFFFFF"/>
        <w:spacing w:after="0"/>
        <w:jc w:val="both"/>
        <w:rPr>
          <w:color w:val="000000"/>
          <w:shd w:val="clear" w:color="auto" w:fill="FFFFFF"/>
          <w:lang w:val="es-ES"/>
        </w:rPr>
      </w:pPr>
      <w:r w:rsidRPr="00C55660">
        <w:rPr>
          <w:b/>
          <w:color w:val="000000" w:themeColor="text1"/>
          <w:lang w:val="es-CR"/>
        </w:rPr>
        <w:t>1.)</w:t>
      </w:r>
      <w:r>
        <w:rPr>
          <w:color w:val="000000" w:themeColor="text1"/>
          <w:lang w:val="es-CR"/>
        </w:rPr>
        <w:t xml:space="preserve"> </w:t>
      </w:r>
      <w:r w:rsidR="001F6E1E" w:rsidRPr="005A5E66">
        <w:rPr>
          <w:color w:val="000000" w:themeColor="text1"/>
          <w:lang w:val="es-CR"/>
        </w:rPr>
        <w:t xml:space="preserve">Se insta a los despachos lo siguiente: </w:t>
      </w:r>
      <w:r w:rsidR="001F6E1E" w:rsidRPr="005A5E66">
        <w:rPr>
          <w:b/>
          <w:color w:val="000000" w:themeColor="text1"/>
          <w:lang w:val="es-CR"/>
        </w:rPr>
        <w:t>a.)</w:t>
      </w:r>
      <w:r w:rsidR="001F6E1E" w:rsidRPr="005A5E66">
        <w:rPr>
          <w:color w:val="000000" w:themeColor="text1"/>
          <w:lang w:val="es-CR"/>
        </w:rPr>
        <w:t xml:space="preserve"> O</w:t>
      </w:r>
      <w:r w:rsidR="00F05F89" w:rsidRPr="005A5E66">
        <w:rPr>
          <w:color w:val="000000" w:themeColor="text1"/>
          <w:lang w:val="es-CR"/>
        </w:rPr>
        <w:t>ptimizar el uso de los recursos ordinarios, realizando una revisión de tareas y redistribuyendo las funciones equitativamente dentro de los equipos de trabajo, con el fin de encontrar recursos ociosos o subutilizados.</w:t>
      </w:r>
      <w:r w:rsidR="001F6E1E" w:rsidRPr="005A5E66">
        <w:rPr>
          <w:color w:val="000000" w:themeColor="text1"/>
          <w:lang w:val="es-CR"/>
        </w:rPr>
        <w:t xml:space="preserve"> </w:t>
      </w:r>
      <w:r w:rsidR="001F6E1E" w:rsidRPr="005A5E66">
        <w:rPr>
          <w:b/>
          <w:color w:val="000000" w:themeColor="text1"/>
          <w:lang w:val="es-CR"/>
        </w:rPr>
        <w:t>b.)</w:t>
      </w:r>
      <w:r w:rsidR="001F6E1E" w:rsidRPr="005A5E66">
        <w:rPr>
          <w:color w:val="000000" w:themeColor="text1"/>
          <w:lang w:val="es-CR"/>
        </w:rPr>
        <w:t xml:space="preserve"> </w:t>
      </w:r>
      <w:r w:rsidR="00F05F89" w:rsidRPr="005A5E66">
        <w:rPr>
          <w:color w:val="000000" w:themeColor="text1"/>
          <w:lang w:val="es-CR"/>
        </w:rPr>
        <w:t>Aplicar una política conservadora y restrictiva sobre el aval de nuevos permisos con goce de salario, a su vez, tener presente que, de presentarse algún faltante durante los meses pendientes de pago producto de tener que hacer frente a otras obligaciones salariales, se deberán suspender la cantidad de permisos, para poder cubrir estas otras obligaciones</w:t>
      </w:r>
      <w:r w:rsidR="00F05F89" w:rsidRPr="005A5E66">
        <w:rPr>
          <w:b/>
          <w:color w:val="000000" w:themeColor="text1"/>
          <w:lang w:val="es-CR"/>
        </w:rPr>
        <w:t>.</w:t>
      </w:r>
      <w:r w:rsidR="001F6E1E" w:rsidRPr="005A5E66">
        <w:rPr>
          <w:b/>
          <w:color w:val="000000" w:themeColor="text1"/>
          <w:lang w:val="es-CR"/>
        </w:rPr>
        <w:t xml:space="preserve"> 2.)</w:t>
      </w:r>
      <w:r w:rsidR="001F6E1E" w:rsidRPr="005A5E66">
        <w:rPr>
          <w:color w:val="000000" w:themeColor="text1"/>
          <w:lang w:val="es-CR"/>
        </w:rPr>
        <w:t xml:space="preserve"> Deberán</w:t>
      </w:r>
      <w:r w:rsidR="00F05F89" w:rsidRPr="005A5E66">
        <w:rPr>
          <w:color w:val="000000" w:themeColor="text1"/>
          <w:lang w:val="es-CR"/>
        </w:rPr>
        <w:t xml:space="preserve"> los jefes y responsables de las oficinas a que desarrollen e implementen planes de trabajo que compensen la falta del personal en vacaciones o con permisos otorgados con la finalidad de prescindir de las sustituciones.</w:t>
      </w:r>
      <w:r w:rsidR="001F6E1E" w:rsidRPr="005A5E66">
        <w:rPr>
          <w:b/>
          <w:color w:val="000000" w:themeColor="text1"/>
          <w:lang w:val="es-CR"/>
        </w:rPr>
        <w:t xml:space="preserve"> 3.)</w:t>
      </w:r>
      <w:r w:rsidR="001F6E1E" w:rsidRPr="005A5E66">
        <w:rPr>
          <w:color w:val="000000" w:themeColor="text1"/>
          <w:lang w:val="es-CR"/>
        </w:rPr>
        <w:t xml:space="preserve"> Corresponderá</w:t>
      </w:r>
      <w:r w:rsidR="00F05F89" w:rsidRPr="005A5E66">
        <w:rPr>
          <w:color w:val="000000" w:themeColor="text1"/>
          <w:lang w:val="es-CR"/>
        </w:rPr>
        <w:t xml:space="preserve"> a las oficinas a realizar planes anuales de vacaciones para su personal, en la medida de lo posible sin que medie sustitución, para que puedan planificar oportunamente las funciones y optimizar el uso de los recursos sin afectar el servicio público</w:t>
      </w:r>
      <w:r w:rsidR="00F05F89" w:rsidRPr="005A5E66">
        <w:rPr>
          <w:b/>
          <w:color w:val="000000" w:themeColor="text1"/>
          <w:lang w:val="es-CR"/>
        </w:rPr>
        <w:t>.</w:t>
      </w:r>
      <w:r w:rsidR="001F6E1E" w:rsidRPr="005A5E66">
        <w:rPr>
          <w:b/>
          <w:color w:val="000000" w:themeColor="text1"/>
          <w:lang w:val="es-CR"/>
        </w:rPr>
        <w:t xml:space="preserve"> 4.)</w:t>
      </w:r>
      <w:r w:rsidR="001F6E1E" w:rsidRPr="005A5E66">
        <w:rPr>
          <w:color w:val="000000" w:themeColor="text1"/>
          <w:lang w:val="es-CR"/>
        </w:rPr>
        <w:t xml:space="preserve"> Las Jefaturas deberán incentivar el </w:t>
      </w:r>
      <w:r w:rsidR="00F05F89" w:rsidRPr="005A5E66">
        <w:rPr>
          <w:color w:val="000000" w:themeColor="text1"/>
          <w:lang w:val="es-CR"/>
        </w:rPr>
        <w:t xml:space="preserve">disfrute de vacaciones para los servidores judiciales en días viernes y/o lunes con el propósito de maximizar el periodo de descanso de los servidores. Según lo dispuesto por el Consejo Superior en sesión No. 96-2020, celebrada el 6 de octubre de 2020, artículo VIII, donde se propuso a las jefaturas de los despachos judiciales, promover el disfrute de vacaciones </w:t>
      </w:r>
      <w:r w:rsidR="00F05F89" w:rsidRPr="005A5E66">
        <w:rPr>
          <w:color w:val="000000" w:themeColor="text1"/>
          <w:u w:val="single"/>
          <w:lang w:val="es-CR"/>
        </w:rPr>
        <w:t>de un día sin sustitución</w:t>
      </w:r>
      <w:r w:rsidR="00F05F89" w:rsidRPr="005A5E66">
        <w:rPr>
          <w:color w:val="000000" w:themeColor="text1"/>
          <w:lang w:val="es-CR"/>
        </w:rPr>
        <w:t xml:space="preserve"> a personas servidoras judiciales, el cual podría ser lunes o viernes, sin que haya afectación del servicio público que se presta y atendiendo el interés de la persona servidora judicial, evitándose que, posteriormente se obligue a las personas a gozar de vacaciones</w:t>
      </w:r>
      <w:r w:rsidR="00F05F89" w:rsidRPr="005A5E66">
        <w:rPr>
          <w:b/>
          <w:color w:val="000000" w:themeColor="text1"/>
          <w:lang w:val="es-CR"/>
        </w:rPr>
        <w:t>.</w:t>
      </w:r>
      <w:r w:rsidR="001F6E1E" w:rsidRPr="005A5E66">
        <w:rPr>
          <w:b/>
          <w:color w:val="000000" w:themeColor="text1"/>
          <w:lang w:val="es-CR"/>
        </w:rPr>
        <w:t xml:space="preserve"> 5.)</w:t>
      </w:r>
      <w:r w:rsidR="001F6E1E" w:rsidRPr="005A5E66">
        <w:rPr>
          <w:color w:val="000000" w:themeColor="text1"/>
          <w:lang w:val="es-CR"/>
        </w:rPr>
        <w:t xml:space="preserve"> Toda solicitud d</w:t>
      </w:r>
      <w:r w:rsidR="00F05F89" w:rsidRPr="005A5E66">
        <w:rPr>
          <w:color w:val="000000" w:themeColor="text1"/>
          <w:lang w:val="es-CR"/>
        </w:rPr>
        <w:t>e reincorporaciones o adiciones de nuevas solicitudes de sustitución hasta por 1 día en el plan de vacaciones 2020-2021,</w:t>
      </w:r>
      <w:r w:rsidR="001F0DB0">
        <w:rPr>
          <w:color w:val="000000" w:themeColor="text1"/>
          <w:lang w:val="es-CR"/>
        </w:rPr>
        <w:t xml:space="preserve"> le procederá de previo un</w:t>
      </w:r>
      <w:r w:rsidR="00F05F89" w:rsidRPr="005A5E66">
        <w:rPr>
          <w:color w:val="000000" w:themeColor="text1"/>
          <w:lang w:val="es-CR"/>
        </w:rPr>
        <w:t xml:space="preserve"> análisis del impacto presupuestario</w:t>
      </w:r>
      <w:r w:rsidR="00F05F89" w:rsidRPr="005A5E66">
        <w:rPr>
          <w:b/>
          <w:color w:val="000000" w:themeColor="text1"/>
          <w:lang w:val="es-CR"/>
        </w:rPr>
        <w:t>.</w:t>
      </w:r>
      <w:r w:rsidR="001F6E1E" w:rsidRPr="005A5E66">
        <w:rPr>
          <w:b/>
          <w:color w:val="000000" w:themeColor="text1"/>
          <w:lang w:val="es-CR"/>
        </w:rPr>
        <w:t xml:space="preserve"> 6.)</w:t>
      </w:r>
      <w:r w:rsidR="001F6E1E" w:rsidRPr="005A5E66">
        <w:rPr>
          <w:color w:val="000000" w:themeColor="text1"/>
          <w:lang w:val="es-CR"/>
        </w:rPr>
        <w:t xml:space="preserve"> Se li</w:t>
      </w:r>
      <w:r w:rsidR="00F05F89" w:rsidRPr="005A5E66">
        <w:rPr>
          <w:color w:val="000000" w:themeColor="text1"/>
          <w:lang w:val="es-CR"/>
        </w:rPr>
        <w:t>mita</w:t>
      </w:r>
      <w:r w:rsidR="001F6E1E" w:rsidRPr="005A5E66">
        <w:rPr>
          <w:color w:val="000000" w:themeColor="text1"/>
          <w:lang w:val="es-CR"/>
        </w:rPr>
        <w:t>n</w:t>
      </w:r>
      <w:r w:rsidR="00F05F89" w:rsidRPr="005A5E66">
        <w:rPr>
          <w:color w:val="000000" w:themeColor="text1"/>
          <w:lang w:val="es-CR"/>
        </w:rPr>
        <w:t xml:space="preserve"> las cadenas de sustituciones a una sustitución en los casos que el titular del puesto se encuentre con incapacidad, vacaciones o con algún tipo de permiso y reiterar a las oficinas que deben cumplir con lo estipulado en el apartado 9.4 del plan de vacaciones que indica: “</w:t>
      </w:r>
      <w:r w:rsidR="00F05F89" w:rsidRPr="005A5E66">
        <w:rPr>
          <w:i/>
          <w:iCs/>
          <w:color w:val="000000" w:themeColor="text1"/>
          <w:lang w:val="es-CR"/>
        </w:rPr>
        <w:t>No podrán realizarse las sustituciones en cadena que se deriven de los puestos de excepción, señalados en el punto anterior (9.3)</w:t>
      </w:r>
      <w:r w:rsidR="00F05F89" w:rsidRPr="005A5E66">
        <w:rPr>
          <w:color w:val="000000" w:themeColor="text1"/>
          <w:lang w:val="es-CR"/>
        </w:rPr>
        <w:t>”.</w:t>
      </w:r>
      <w:r w:rsidR="005A5E66" w:rsidRPr="005A5E66">
        <w:rPr>
          <w:color w:val="000000" w:themeColor="text1"/>
          <w:lang w:val="es-CR"/>
        </w:rPr>
        <w:t xml:space="preserve"> </w:t>
      </w:r>
      <w:r w:rsidR="005A5E66" w:rsidRPr="005A5E66">
        <w:rPr>
          <w:b/>
          <w:color w:val="000000" w:themeColor="text1"/>
          <w:lang w:val="es-CR"/>
        </w:rPr>
        <w:t>7.)</w:t>
      </w:r>
      <w:r w:rsidR="005A5E66" w:rsidRPr="005A5E66">
        <w:rPr>
          <w:color w:val="000000" w:themeColor="text1"/>
          <w:lang w:val="es-CR"/>
        </w:rPr>
        <w:t xml:space="preserve"> </w:t>
      </w:r>
      <w:r w:rsidR="00F05F89" w:rsidRPr="005A5E66">
        <w:rPr>
          <w:color w:val="000000" w:themeColor="text1"/>
          <w:lang w:val="es-CR"/>
        </w:rPr>
        <w:t xml:space="preserve">Como medida transitoria por tres meses, </w:t>
      </w:r>
      <w:r w:rsidR="005A5E66" w:rsidRPr="005A5E66">
        <w:rPr>
          <w:b/>
          <w:color w:val="000000" w:themeColor="text1"/>
          <w:u w:val="single"/>
          <w:lang w:val="es-CR"/>
        </w:rPr>
        <w:t>solo se sustituirán los</w:t>
      </w:r>
      <w:r w:rsidR="00F05F89" w:rsidRPr="005A5E66">
        <w:rPr>
          <w:b/>
          <w:color w:val="000000" w:themeColor="text1"/>
          <w:u w:val="single"/>
        </w:rPr>
        <w:t xml:space="preserve"> puestos esenciales por concepto de incapacidad, permiso sin goce, suspensión sin goce, o que el titular haya pasado a otro puesto</w:t>
      </w:r>
      <w:r w:rsidR="00F05F89" w:rsidRPr="005A5E66">
        <w:rPr>
          <w:color w:val="000000" w:themeColor="text1"/>
        </w:rPr>
        <w:t xml:space="preserve">; </w:t>
      </w:r>
      <w:r w:rsidR="005A5E66" w:rsidRPr="005A5E66">
        <w:rPr>
          <w:color w:val="000000" w:themeColor="text1"/>
        </w:rPr>
        <w:t xml:space="preserve">con </w:t>
      </w:r>
      <w:r w:rsidR="00F05F89" w:rsidRPr="005A5E66">
        <w:rPr>
          <w:color w:val="000000" w:themeColor="text1"/>
        </w:rPr>
        <w:t>excep</w:t>
      </w:r>
      <w:r w:rsidR="005A5E66" w:rsidRPr="005A5E66">
        <w:rPr>
          <w:color w:val="000000" w:themeColor="text1"/>
        </w:rPr>
        <w:t>ción</w:t>
      </w:r>
      <w:r w:rsidR="00F05F89" w:rsidRPr="005A5E66">
        <w:rPr>
          <w:color w:val="000000" w:themeColor="text1"/>
        </w:rPr>
        <w:t xml:space="preserve"> </w:t>
      </w:r>
      <w:r w:rsidR="005A5E66" w:rsidRPr="005A5E66">
        <w:rPr>
          <w:color w:val="000000" w:themeColor="text1"/>
        </w:rPr>
        <w:t>de</w:t>
      </w:r>
      <w:r w:rsidR="00F05F89" w:rsidRPr="005A5E66">
        <w:rPr>
          <w:color w:val="000000" w:themeColor="text1"/>
        </w:rPr>
        <w:t xml:space="preserve"> las sustituciones para los puestos de tribunales evaluadores y especialistas de contenido</w:t>
      </w:r>
      <w:r w:rsidR="00F05F89" w:rsidRPr="005A5E66">
        <w:rPr>
          <w:b/>
          <w:color w:val="000000" w:themeColor="text1"/>
        </w:rPr>
        <w:t>.</w:t>
      </w:r>
      <w:r w:rsidR="005A5E66" w:rsidRPr="005A5E66">
        <w:rPr>
          <w:b/>
          <w:color w:val="000000" w:themeColor="text1"/>
        </w:rPr>
        <w:t xml:space="preserve"> 8.)</w:t>
      </w:r>
      <w:r w:rsidR="005A5E66" w:rsidRPr="005A5E66">
        <w:rPr>
          <w:color w:val="000000" w:themeColor="text1"/>
        </w:rPr>
        <w:t xml:space="preserve"> L</w:t>
      </w:r>
      <w:r w:rsidR="00F05F89" w:rsidRPr="005A5E66">
        <w:rPr>
          <w:color w:val="000000" w:themeColor="text1"/>
        </w:rPr>
        <w:t>as</w:t>
      </w:r>
      <w:r w:rsidR="005A5E66" w:rsidRPr="005A5E66">
        <w:rPr>
          <w:color w:val="000000" w:themeColor="text1"/>
        </w:rPr>
        <w:t xml:space="preserve"> presentes</w:t>
      </w:r>
      <w:r w:rsidR="00F05F89" w:rsidRPr="005A5E66">
        <w:rPr>
          <w:color w:val="000000" w:themeColor="text1"/>
        </w:rPr>
        <w:t xml:space="preserve"> medidas </w:t>
      </w:r>
      <w:r w:rsidR="005A5E66" w:rsidRPr="005A5E66">
        <w:rPr>
          <w:color w:val="000000"/>
        </w:rPr>
        <w:t xml:space="preserve">en general tendrán efecto a partir de la fecha de aprobación de rige sea 16 de mayo al 15 de agosto del 2021, esperando que el comportamiento del gasto se vea estabilizado en las siguientes proyecciones, teniendo presente que la última fecha posible para tramitar modificaciones externas al presupuesto está fijada para el mes de agosto. </w:t>
      </w:r>
      <w:r w:rsidR="005A5E66" w:rsidRPr="005A5E66">
        <w:rPr>
          <w:b/>
          <w:bCs/>
          <w:color w:val="000000"/>
        </w:rPr>
        <w:t>9.)</w:t>
      </w:r>
      <w:r w:rsidR="005A5E66" w:rsidRPr="005A5E66">
        <w:rPr>
          <w:color w:val="000000"/>
        </w:rPr>
        <w:t xml:space="preserve"> </w:t>
      </w:r>
      <w:r w:rsidR="005A5E66" w:rsidRPr="005A5E66">
        <w:rPr>
          <w:color w:val="201F1E"/>
          <w:lang w:val="es-ES"/>
        </w:rPr>
        <w:t xml:space="preserve">Se advierte a todas las jefaturas que en caso de que hagan nombramientos fuera de estas directrices tomadas, tendrán que asumir de su propio peculio el costo de la sustitución e incluso se expondrán a sanciones disciplinarias, ante el incumplimiento a lo ordenado por este Consejo. </w:t>
      </w:r>
    </w:p>
    <w:p w14:paraId="54ECF61E" w14:textId="77777777" w:rsidR="00F05F89" w:rsidRPr="00F05F89" w:rsidRDefault="00F05F89" w:rsidP="000B79D2">
      <w:pPr>
        <w:shd w:val="clear" w:color="auto" w:fill="FFFFFF"/>
        <w:jc w:val="both"/>
        <w:rPr>
          <w:lang w:val="es-MX"/>
        </w:rPr>
      </w:pPr>
    </w:p>
    <w:p w14:paraId="38DD21B1" w14:textId="77777777" w:rsidR="005B2A04" w:rsidRPr="00F05F89" w:rsidRDefault="005B2A04" w:rsidP="000B79D2">
      <w:pPr>
        <w:jc w:val="both"/>
        <w:rPr>
          <w:b/>
        </w:rPr>
      </w:pPr>
      <w:r w:rsidRPr="00F05F89">
        <w:rPr>
          <w:b/>
        </w:rPr>
        <w:t xml:space="preserve">De conformidad con la circular N° 67-09 emitida por la Secretaría de la Corte el 22 de junio de 2009, se le comunica que en virtud del principio de gratuidad que rige esta materia, la publicación está exenta de todo pago de derechos. </w:t>
      </w:r>
    </w:p>
    <w:p w14:paraId="16624D8F" w14:textId="77777777" w:rsidR="005B2A04" w:rsidRPr="00F05F89" w:rsidRDefault="005B2A04" w:rsidP="000B79D2">
      <w:pPr>
        <w:jc w:val="both"/>
        <w:rPr>
          <w:b/>
          <w:lang w:val="es-ES" w:eastAsia="zh-CN"/>
        </w:rPr>
      </w:pPr>
      <w:r w:rsidRPr="00F05F89">
        <w:rPr>
          <w:b/>
        </w:rPr>
        <w:t>Publíquese una sola vez en el Boletín Judicial.</w:t>
      </w:r>
    </w:p>
    <w:p w14:paraId="3781A8EE" w14:textId="77777777" w:rsidR="008A322E" w:rsidRPr="00F05F89" w:rsidRDefault="008A322E" w:rsidP="000B79D2">
      <w:pPr>
        <w:widowControl/>
        <w:suppressAutoHyphens w:val="0"/>
        <w:autoSpaceDE w:val="0"/>
        <w:autoSpaceDN w:val="0"/>
        <w:adjustRightInd w:val="0"/>
        <w:jc w:val="both"/>
        <w:rPr>
          <w:b/>
          <w:bCs/>
        </w:rPr>
      </w:pPr>
    </w:p>
    <w:p w14:paraId="207938E2" w14:textId="2A3B282B" w:rsidR="00635892" w:rsidRPr="00F05F89" w:rsidRDefault="00635892" w:rsidP="000B79D2">
      <w:pPr>
        <w:widowControl/>
        <w:suppressAutoHyphens w:val="0"/>
        <w:autoSpaceDE w:val="0"/>
        <w:autoSpaceDN w:val="0"/>
        <w:adjustRightInd w:val="0"/>
        <w:jc w:val="both"/>
        <w:rPr>
          <w:rFonts w:eastAsia="Times New Roman"/>
          <w:kern w:val="0"/>
          <w:lang w:eastAsia="es-ES"/>
        </w:rPr>
      </w:pPr>
      <w:r w:rsidRPr="00F05F89">
        <w:rPr>
          <w:b/>
          <w:bCs/>
        </w:rPr>
        <w:t xml:space="preserve">San José, </w:t>
      </w:r>
      <w:r w:rsidR="0072593C" w:rsidRPr="00F05F89">
        <w:rPr>
          <w:b/>
          <w:bCs/>
        </w:rPr>
        <w:t>14 de mayo de 2021</w:t>
      </w:r>
      <w:r w:rsidRPr="00F05F89">
        <w:rPr>
          <w:b/>
          <w:bCs/>
        </w:rPr>
        <w:t>.</w:t>
      </w:r>
    </w:p>
    <w:p w14:paraId="2DECD857" w14:textId="2066258E" w:rsidR="004B3975" w:rsidRDefault="004B3975" w:rsidP="000B79D2">
      <w:pPr>
        <w:spacing w:before="100" w:beforeAutospacing="1" w:after="100" w:afterAutospacing="1"/>
        <w:ind w:firstLine="567"/>
        <w:jc w:val="both"/>
        <w:rPr>
          <w:b/>
          <w:bCs/>
          <w:lang w:val="es-ES"/>
        </w:rPr>
      </w:pPr>
    </w:p>
    <w:p w14:paraId="536C88DA" w14:textId="77777777" w:rsidR="005A5E66" w:rsidRPr="008A174C" w:rsidRDefault="005A5E66" w:rsidP="005A5E66">
      <w:pPr>
        <w:autoSpaceDE w:val="0"/>
        <w:autoSpaceDN w:val="0"/>
        <w:ind w:firstLine="709"/>
        <w:rPr>
          <w:b/>
          <w:bCs/>
          <w:sz w:val="22"/>
          <w:szCs w:val="22"/>
        </w:rPr>
      </w:pPr>
      <w:r w:rsidRPr="008A174C">
        <w:rPr>
          <w:b/>
          <w:bCs/>
          <w:sz w:val="22"/>
          <w:szCs w:val="22"/>
        </w:rPr>
        <w:t>Lic</w:t>
      </w:r>
      <w:r>
        <w:rPr>
          <w:b/>
          <w:bCs/>
          <w:sz w:val="22"/>
          <w:szCs w:val="22"/>
        </w:rPr>
        <w:t>da. Silvia Navarro Romanini</w:t>
      </w:r>
    </w:p>
    <w:p w14:paraId="05CAF2BC" w14:textId="77777777" w:rsidR="005A5E66" w:rsidRPr="008A174C" w:rsidRDefault="005A5E66" w:rsidP="005A5E66">
      <w:pPr>
        <w:autoSpaceDE w:val="0"/>
        <w:autoSpaceDN w:val="0"/>
        <w:ind w:firstLine="709"/>
        <w:rPr>
          <w:b/>
          <w:bCs/>
          <w:sz w:val="22"/>
          <w:szCs w:val="22"/>
        </w:rPr>
      </w:pPr>
      <w:r w:rsidRPr="008A174C">
        <w:rPr>
          <w:b/>
          <w:bCs/>
          <w:sz w:val="22"/>
          <w:szCs w:val="22"/>
        </w:rPr>
        <w:t>S</w:t>
      </w:r>
      <w:r>
        <w:rPr>
          <w:b/>
          <w:bCs/>
          <w:sz w:val="22"/>
          <w:szCs w:val="22"/>
        </w:rPr>
        <w:t>ecretaria</w:t>
      </w:r>
      <w:r w:rsidRPr="008A174C">
        <w:rPr>
          <w:b/>
          <w:bCs/>
          <w:sz w:val="22"/>
          <w:szCs w:val="22"/>
        </w:rPr>
        <w:t xml:space="preserve"> General</w:t>
      </w:r>
    </w:p>
    <w:p w14:paraId="55CEBA1D" w14:textId="77777777" w:rsidR="005A5E66" w:rsidRPr="008A174C" w:rsidRDefault="005A5E66" w:rsidP="005A5E66">
      <w:pPr>
        <w:autoSpaceDE w:val="0"/>
        <w:autoSpaceDN w:val="0"/>
        <w:ind w:firstLine="709"/>
        <w:rPr>
          <w:b/>
          <w:bCs/>
          <w:sz w:val="22"/>
          <w:szCs w:val="22"/>
        </w:rPr>
      </w:pPr>
      <w:r w:rsidRPr="008A174C">
        <w:rPr>
          <w:b/>
          <w:bCs/>
          <w:sz w:val="22"/>
          <w:szCs w:val="22"/>
        </w:rPr>
        <w:t>Corte Suprema de Justicia</w:t>
      </w:r>
    </w:p>
    <w:p w14:paraId="7289E1FC" w14:textId="77777777" w:rsidR="00635892" w:rsidRPr="00F05F89" w:rsidRDefault="00635892" w:rsidP="000B79D2">
      <w:pPr>
        <w:ind w:left="142" w:right="141"/>
        <w:jc w:val="both"/>
        <w:rPr>
          <w:b/>
          <w:bCs/>
          <w:lang w:val="pt-BR"/>
        </w:rPr>
      </w:pPr>
    </w:p>
    <w:p w14:paraId="1C58A99B" w14:textId="3C12B921" w:rsidR="009C29C0" w:rsidRPr="00F05F89" w:rsidRDefault="00635892" w:rsidP="000B79D2">
      <w:pPr>
        <w:pStyle w:val="NormalWeb"/>
        <w:spacing w:before="0" w:after="0"/>
        <w:ind w:left="142" w:right="141"/>
        <w:jc w:val="both"/>
        <w:rPr>
          <w:b/>
          <w:bCs/>
          <w:i/>
          <w:lang w:val="pt-BR"/>
        </w:rPr>
      </w:pPr>
      <w:r w:rsidRPr="00F05F89">
        <w:rPr>
          <w:i/>
          <w:lang w:val="pt-BR"/>
        </w:rPr>
        <w:t xml:space="preserve">Ref.: </w:t>
      </w:r>
      <w:r w:rsidR="00F80441">
        <w:rPr>
          <w:i/>
          <w:lang w:val="pt-BR"/>
        </w:rPr>
        <w:t xml:space="preserve">11796-20, </w:t>
      </w:r>
      <w:r w:rsidR="00F05F89" w:rsidRPr="00F05F89">
        <w:rPr>
          <w:i/>
          <w:lang w:val="pt-BR"/>
        </w:rPr>
        <w:t>4643-21</w:t>
      </w:r>
      <w:r w:rsidR="008A322E" w:rsidRPr="00F05F89">
        <w:rPr>
          <w:i/>
          <w:lang w:val="pt-BR"/>
        </w:rPr>
        <w:t>/</w:t>
      </w:r>
      <w:r w:rsidR="00F05F89" w:rsidRPr="00F05F89">
        <w:rPr>
          <w:i/>
          <w:lang w:val="pt-BR"/>
        </w:rPr>
        <w:t xml:space="preserve"> Andrea</w:t>
      </w:r>
    </w:p>
    <w:sectPr w:rsidR="009C29C0" w:rsidRPr="00F05F89"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FE0DB" w14:textId="77777777" w:rsidR="007967DB" w:rsidRDefault="007967DB">
      <w:r>
        <w:separator/>
      </w:r>
    </w:p>
  </w:endnote>
  <w:endnote w:type="continuationSeparator" w:id="0">
    <w:p w14:paraId="45C50A48" w14:textId="77777777" w:rsidR="007967DB" w:rsidRDefault="0079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81B86" w14:textId="77777777" w:rsidR="007967DB" w:rsidRDefault="007967DB">
      <w:r>
        <w:separator/>
      </w:r>
    </w:p>
  </w:footnote>
  <w:footnote w:type="continuationSeparator" w:id="0">
    <w:p w14:paraId="24650BA6" w14:textId="77777777" w:rsidR="007967DB" w:rsidRDefault="0079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7933" w14:textId="51FFC1B0" w:rsidR="00D44CFE" w:rsidRDefault="00F11405">
    <w:pPr>
      <w:pStyle w:val="Encabezado"/>
      <w:tabs>
        <w:tab w:val="clear" w:pos="4986"/>
        <w:tab w:val="clear" w:pos="9972"/>
        <w:tab w:val="left" w:pos="709"/>
        <w:tab w:val="center" w:pos="4419"/>
        <w:tab w:val="right" w:pos="8838"/>
      </w:tabs>
    </w:pPr>
    <w:r>
      <w:rPr>
        <w:noProof/>
        <w:lang w:val="es-CR"/>
      </w:rPr>
      <mc:AlternateContent>
        <mc:Choice Requires="wps">
          <w:drawing>
            <wp:anchor distT="0" distB="0" distL="114935" distR="114935" simplePos="0" relativeHeight="251657728" behindDoc="1" locked="0" layoutInCell="1" allowOverlap="1" wp14:anchorId="4E673FE9" wp14:editId="3F08DC7F">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BAFB9" w14:textId="3ADA60CB" w:rsidR="00D44CFE" w:rsidRDefault="00F11405">
                          <w:r>
                            <w:rPr>
                              <w:noProof/>
                              <w:lang w:val="es-CR"/>
                            </w:rPr>
                            <w:drawing>
                              <wp:inline distT="0" distB="0" distL="0" distR="0" wp14:anchorId="07639241" wp14:editId="6B411548">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73FE9"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IofAIAAP4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" stroked="f">
              <v:textbox inset="0,0,0,0">
                <w:txbxContent>
                  <w:p w14:paraId="6A0BAFB9" w14:textId="3ADA60CB" w:rsidR="00D44CFE" w:rsidRDefault="00F11405">
                    <w:r>
                      <w:rPr>
                        <w:noProof/>
                        <w:lang w:val="es-CR"/>
                      </w:rPr>
                      <w:drawing>
                        <wp:inline distT="0" distB="0" distL="0" distR="0" wp14:anchorId="07639241" wp14:editId="6B411548">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v:textbox>
            </v:shape>
          </w:pict>
        </mc:Fallback>
      </mc:AlternateContent>
    </w:r>
  </w:p>
  <w:p w14:paraId="30E28FB1" w14:textId="77777777"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7EAF54EF" w14:textId="77777777"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322"/>
    <w:multiLevelType w:val="hybridMultilevel"/>
    <w:tmpl w:val="6F5CAA0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B28049F"/>
    <w:multiLevelType w:val="hybridMultilevel"/>
    <w:tmpl w:val="CC683F6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3F8D50F3"/>
    <w:multiLevelType w:val="hybridMultilevel"/>
    <w:tmpl w:val="961C3CBA"/>
    <w:lvl w:ilvl="0" w:tplc="F5FC90CE">
      <w:start w:val="1"/>
      <w:numFmt w:val="decimal"/>
      <w:lvlText w:val="%1.)"/>
      <w:lvlJc w:val="left"/>
      <w:pPr>
        <w:ind w:left="1429" w:hanging="360"/>
      </w:pPr>
      <w:rPr>
        <w:rFonts w:hint="default"/>
        <w:color w:val="000000" w:themeColor="text1"/>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F1"/>
    <w:rsid w:val="00005DBB"/>
    <w:rsid w:val="00010D3D"/>
    <w:rsid w:val="000405C8"/>
    <w:rsid w:val="00045081"/>
    <w:rsid w:val="00047F88"/>
    <w:rsid w:val="00064E7C"/>
    <w:rsid w:val="000702C6"/>
    <w:rsid w:val="0007249A"/>
    <w:rsid w:val="00090BD7"/>
    <w:rsid w:val="000913E8"/>
    <w:rsid w:val="0009588A"/>
    <w:rsid w:val="000A240D"/>
    <w:rsid w:val="000B174C"/>
    <w:rsid w:val="000B628E"/>
    <w:rsid w:val="000B79D2"/>
    <w:rsid w:val="000C1E97"/>
    <w:rsid w:val="000C4BB9"/>
    <w:rsid w:val="000C7EEA"/>
    <w:rsid w:val="000D3CD0"/>
    <w:rsid w:val="000E11E3"/>
    <w:rsid w:val="000E70A7"/>
    <w:rsid w:val="000F1BD9"/>
    <w:rsid w:val="000F55FD"/>
    <w:rsid w:val="0013147D"/>
    <w:rsid w:val="00136BD6"/>
    <w:rsid w:val="00146DF3"/>
    <w:rsid w:val="001479B9"/>
    <w:rsid w:val="00157B3C"/>
    <w:rsid w:val="00162DE0"/>
    <w:rsid w:val="0016722E"/>
    <w:rsid w:val="00167459"/>
    <w:rsid w:val="00167DC6"/>
    <w:rsid w:val="0018089D"/>
    <w:rsid w:val="001839FC"/>
    <w:rsid w:val="0018797B"/>
    <w:rsid w:val="00190C63"/>
    <w:rsid w:val="001A52C9"/>
    <w:rsid w:val="001B1476"/>
    <w:rsid w:val="001C044B"/>
    <w:rsid w:val="001D2DC4"/>
    <w:rsid w:val="001D7814"/>
    <w:rsid w:val="001E26DA"/>
    <w:rsid w:val="001E4215"/>
    <w:rsid w:val="001E657B"/>
    <w:rsid w:val="001E76F2"/>
    <w:rsid w:val="001F0DB0"/>
    <w:rsid w:val="001F1B22"/>
    <w:rsid w:val="001F6E1E"/>
    <w:rsid w:val="00204912"/>
    <w:rsid w:val="002131FA"/>
    <w:rsid w:val="00214880"/>
    <w:rsid w:val="00224481"/>
    <w:rsid w:val="002359A4"/>
    <w:rsid w:val="002367C2"/>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3768"/>
    <w:rsid w:val="002B4CE4"/>
    <w:rsid w:val="002C23C5"/>
    <w:rsid w:val="002C4203"/>
    <w:rsid w:val="002C7C70"/>
    <w:rsid w:val="002E2530"/>
    <w:rsid w:val="002F288C"/>
    <w:rsid w:val="002F63B8"/>
    <w:rsid w:val="002F7A6A"/>
    <w:rsid w:val="00301ADF"/>
    <w:rsid w:val="00302877"/>
    <w:rsid w:val="00307884"/>
    <w:rsid w:val="003079AF"/>
    <w:rsid w:val="00311386"/>
    <w:rsid w:val="00315EC7"/>
    <w:rsid w:val="0032088B"/>
    <w:rsid w:val="00322B4B"/>
    <w:rsid w:val="00325B08"/>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0AE7"/>
    <w:rsid w:val="003A1DC8"/>
    <w:rsid w:val="003A4EA7"/>
    <w:rsid w:val="003B60FC"/>
    <w:rsid w:val="003C11EF"/>
    <w:rsid w:val="003C6AC0"/>
    <w:rsid w:val="003C7AD1"/>
    <w:rsid w:val="003D1FC1"/>
    <w:rsid w:val="003E7067"/>
    <w:rsid w:val="003F24BA"/>
    <w:rsid w:val="003F725D"/>
    <w:rsid w:val="004000A6"/>
    <w:rsid w:val="00406BD2"/>
    <w:rsid w:val="00410E73"/>
    <w:rsid w:val="00411622"/>
    <w:rsid w:val="004157BB"/>
    <w:rsid w:val="0041588F"/>
    <w:rsid w:val="00416D48"/>
    <w:rsid w:val="00417FCE"/>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512C"/>
    <w:rsid w:val="004B2A9B"/>
    <w:rsid w:val="004B3975"/>
    <w:rsid w:val="004B6DC3"/>
    <w:rsid w:val="004C3481"/>
    <w:rsid w:val="004C416D"/>
    <w:rsid w:val="004D2E3D"/>
    <w:rsid w:val="004E73A7"/>
    <w:rsid w:val="004F00CB"/>
    <w:rsid w:val="004F31AA"/>
    <w:rsid w:val="00500CE7"/>
    <w:rsid w:val="005034C4"/>
    <w:rsid w:val="0051662F"/>
    <w:rsid w:val="00517047"/>
    <w:rsid w:val="00523C17"/>
    <w:rsid w:val="0052701A"/>
    <w:rsid w:val="00537936"/>
    <w:rsid w:val="00543B67"/>
    <w:rsid w:val="00545EB9"/>
    <w:rsid w:val="00566F6F"/>
    <w:rsid w:val="005703F6"/>
    <w:rsid w:val="00575E27"/>
    <w:rsid w:val="00577ED0"/>
    <w:rsid w:val="005A5E66"/>
    <w:rsid w:val="005B2A04"/>
    <w:rsid w:val="005C1252"/>
    <w:rsid w:val="005C21C7"/>
    <w:rsid w:val="005C48B3"/>
    <w:rsid w:val="005D18BA"/>
    <w:rsid w:val="005E4728"/>
    <w:rsid w:val="006029C0"/>
    <w:rsid w:val="00606B75"/>
    <w:rsid w:val="00615084"/>
    <w:rsid w:val="00630712"/>
    <w:rsid w:val="00635892"/>
    <w:rsid w:val="00635A1D"/>
    <w:rsid w:val="006411F3"/>
    <w:rsid w:val="006424E9"/>
    <w:rsid w:val="0064477F"/>
    <w:rsid w:val="0065178F"/>
    <w:rsid w:val="00654AAF"/>
    <w:rsid w:val="006576FF"/>
    <w:rsid w:val="00661104"/>
    <w:rsid w:val="0066360A"/>
    <w:rsid w:val="00664025"/>
    <w:rsid w:val="006716E5"/>
    <w:rsid w:val="00672C36"/>
    <w:rsid w:val="006750EE"/>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5497"/>
    <w:rsid w:val="00706138"/>
    <w:rsid w:val="00707F47"/>
    <w:rsid w:val="00713E76"/>
    <w:rsid w:val="0072593C"/>
    <w:rsid w:val="00737B25"/>
    <w:rsid w:val="007410CF"/>
    <w:rsid w:val="00755E40"/>
    <w:rsid w:val="00770362"/>
    <w:rsid w:val="00770F38"/>
    <w:rsid w:val="0079188F"/>
    <w:rsid w:val="007926AA"/>
    <w:rsid w:val="00796182"/>
    <w:rsid w:val="007967DB"/>
    <w:rsid w:val="00796D94"/>
    <w:rsid w:val="007A32F0"/>
    <w:rsid w:val="007A5005"/>
    <w:rsid w:val="007B0465"/>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236FE"/>
    <w:rsid w:val="00830831"/>
    <w:rsid w:val="0083109E"/>
    <w:rsid w:val="008314B3"/>
    <w:rsid w:val="00831EF9"/>
    <w:rsid w:val="008328D2"/>
    <w:rsid w:val="00850BDA"/>
    <w:rsid w:val="0085577A"/>
    <w:rsid w:val="008606F3"/>
    <w:rsid w:val="008641DA"/>
    <w:rsid w:val="0086607B"/>
    <w:rsid w:val="0087675D"/>
    <w:rsid w:val="00881E6E"/>
    <w:rsid w:val="00884220"/>
    <w:rsid w:val="008932BA"/>
    <w:rsid w:val="00895FE6"/>
    <w:rsid w:val="008A040C"/>
    <w:rsid w:val="008A322E"/>
    <w:rsid w:val="008A5E64"/>
    <w:rsid w:val="008A7FD2"/>
    <w:rsid w:val="008B114C"/>
    <w:rsid w:val="008B4517"/>
    <w:rsid w:val="008C0A78"/>
    <w:rsid w:val="008C0CBA"/>
    <w:rsid w:val="008C18FE"/>
    <w:rsid w:val="008C1985"/>
    <w:rsid w:val="008C7D91"/>
    <w:rsid w:val="008D3421"/>
    <w:rsid w:val="008D5F5B"/>
    <w:rsid w:val="008D71C8"/>
    <w:rsid w:val="008E26BC"/>
    <w:rsid w:val="008E6E46"/>
    <w:rsid w:val="009009F1"/>
    <w:rsid w:val="00902078"/>
    <w:rsid w:val="009023B3"/>
    <w:rsid w:val="00903D06"/>
    <w:rsid w:val="00906619"/>
    <w:rsid w:val="009366A3"/>
    <w:rsid w:val="0094130E"/>
    <w:rsid w:val="0094541C"/>
    <w:rsid w:val="00945F8B"/>
    <w:rsid w:val="009473F8"/>
    <w:rsid w:val="00950A29"/>
    <w:rsid w:val="00951B80"/>
    <w:rsid w:val="00954017"/>
    <w:rsid w:val="0095524D"/>
    <w:rsid w:val="00956815"/>
    <w:rsid w:val="00971DA1"/>
    <w:rsid w:val="00973CD9"/>
    <w:rsid w:val="00986931"/>
    <w:rsid w:val="00996707"/>
    <w:rsid w:val="009A2732"/>
    <w:rsid w:val="009A7D03"/>
    <w:rsid w:val="009B2055"/>
    <w:rsid w:val="009B341D"/>
    <w:rsid w:val="009C29C0"/>
    <w:rsid w:val="009C2A42"/>
    <w:rsid w:val="009C6D64"/>
    <w:rsid w:val="009E017C"/>
    <w:rsid w:val="009E413D"/>
    <w:rsid w:val="009F1689"/>
    <w:rsid w:val="009F1A66"/>
    <w:rsid w:val="00A02C38"/>
    <w:rsid w:val="00A0685D"/>
    <w:rsid w:val="00A13370"/>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24E"/>
    <w:rsid w:val="00AB66FF"/>
    <w:rsid w:val="00AD1340"/>
    <w:rsid w:val="00AD17FF"/>
    <w:rsid w:val="00AD54B7"/>
    <w:rsid w:val="00AE0411"/>
    <w:rsid w:val="00AE6A38"/>
    <w:rsid w:val="00AF1148"/>
    <w:rsid w:val="00AF3C2E"/>
    <w:rsid w:val="00B0260F"/>
    <w:rsid w:val="00B1647F"/>
    <w:rsid w:val="00B24B22"/>
    <w:rsid w:val="00B323B3"/>
    <w:rsid w:val="00B33076"/>
    <w:rsid w:val="00B56F9E"/>
    <w:rsid w:val="00B61A0B"/>
    <w:rsid w:val="00B760FB"/>
    <w:rsid w:val="00B77009"/>
    <w:rsid w:val="00B804DF"/>
    <w:rsid w:val="00B86100"/>
    <w:rsid w:val="00B924F9"/>
    <w:rsid w:val="00B92DE4"/>
    <w:rsid w:val="00B9482C"/>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B43"/>
    <w:rsid w:val="00BF37D6"/>
    <w:rsid w:val="00BF4A12"/>
    <w:rsid w:val="00C072BF"/>
    <w:rsid w:val="00C10890"/>
    <w:rsid w:val="00C10914"/>
    <w:rsid w:val="00C11CF4"/>
    <w:rsid w:val="00C30FCB"/>
    <w:rsid w:val="00C33748"/>
    <w:rsid w:val="00C34914"/>
    <w:rsid w:val="00C43097"/>
    <w:rsid w:val="00C4674C"/>
    <w:rsid w:val="00C51A93"/>
    <w:rsid w:val="00C55660"/>
    <w:rsid w:val="00C56B61"/>
    <w:rsid w:val="00C61DD9"/>
    <w:rsid w:val="00C62509"/>
    <w:rsid w:val="00C6690D"/>
    <w:rsid w:val="00C66C8B"/>
    <w:rsid w:val="00C706F4"/>
    <w:rsid w:val="00C72375"/>
    <w:rsid w:val="00C72EEF"/>
    <w:rsid w:val="00C76769"/>
    <w:rsid w:val="00C82F5E"/>
    <w:rsid w:val="00C87428"/>
    <w:rsid w:val="00C95ED3"/>
    <w:rsid w:val="00CA6548"/>
    <w:rsid w:val="00CB2E85"/>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4789"/>
    <w:rsid w:val="00D87B00"/>
    <w:rsid w:val="00D94569"/>
    <w:rsid w:val="00D94E2D"/>
    <w:rsid w:val="00DA1418"/>
    <w:rsid w:val="00DA4AF7"/>
    <w:rsid w:val="00DA5344"/>
    <w:rsid w:val="00DD2501"/>
    <w:rsid w:val="00DE20C0"/>
    <w:rsid w:val="00DF2C8F"/>
    <w:rsid w:val="00E0020F"/>
    <w:rsid w:val="00E05E44"/>
    <w:rsid w:val="00E17BED"/>
    <w:rsid w:val="00E24586"/>
    <w:rsid w:val="00E26C37"/>
    <w:rsid w:val="00E405F2"/>
    <w:rsid w:val="00E51021"/>
    <w:rsid w:val="00E57928"/>
    <w:rsid w:val="00E638DA"/>
    <w:rsid w:val="00E76B03"/>
    <w:rsid w:val="00E90BC5"/>
    <w:rsid w:val="00EA48CB"/>
    <w:rsid w:val="00EA5E4A"/>
    <w:rsid w:val="00EB699C"/>
    <w:rsid w:val="00EC2982"/>
    <w:rsid w:val="00ED0EB6"/>
    <w:rsid w:val="00ED7692"/>
    <w:rsid w:val="00EE1747"/>
    <w:rsid w:val="00EE4937"/>
    <w:rsid w:val="00EF6272"/>
    <w:rsid w:val="00EF6953"/>
    <w:rsid w:val="00F01A7E"/>
    <w:rsid w:val="00F04EB6"/>
    <w:rsid w:val="00F05A62"/>
    <w:rsid w:val="00F05F89"/>
    <w:rsid w:val="00F11405"/>
    <w:rsid w:val="00F136A6"/>
    <w:rsid w:val="00F1380F"/>
    <w:rsid w:val="00F24300"/>
    <w:rsid w:val="00F250C3"/>
    <w:rsid w:val="00F25932"/>
    <w:rsid w:val="00F370C6"/>
    <w:rsid w:val="00F42F63"/>
    <w:rsid w:val="00F46E7C"/>
    <w:rsid w:val="00F60D84"/>
    <w:rsid w:val="00F6713A"/>
    <w:rsid w:val="00F67287"/>
    <w:rsid w:val="00F679AA"/>
    <w:rsid w:val="00F7626C"/>
    <w:rsid w:val="00F769CA"/>
    <w:rsid w:val="00F80441"/>
    <w:rsid w:val="00F83E99"/>
    <w:rsid w:val="00F84D4F"/>
    <w:rsid w:val="00F84EB4"/>
    <w:rsid w:val="00F915D9"/>
    <w:rsid w:val="00F95382"/>
    <w:rsid w:val="00FA2E40"/>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779AD"/>
  <w15:chartTrackingRefBased/>
  <w15:docId w15:val="{33EE87C7-5005-4613-9806-BF3D470F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styleId="Textosinformato">
    <w:name w:val="Plain Text"/>
    <w:basedOn w:val="Normal"/>
    <w:link w:val="TextosinformatoCar"/>
    <w:uiPriority w:val="99"/>
    <w:unhideWhenUsed/>
    <w:rsid w:val="00F11405"/>
    <w:pPr>
      <w:widowControl/>
      <w:suppressAutoHyphens w:val="0"/>
      <w:spacing w:before="100" w:beforeAutospacing="1" w:after="100" w:afterAutospacing="1"/>
    </w:pPr>
    <w:rPr>
      <w:rFonts w:eastAsia="Times New Roman"/>
      <w:kern w:val="0"/>
      <w:lang w:val="es-CR"/>
    </w:rPr>
  </w:style>
  <w:style w:type="character" w:customStyle="1" w:styleId="TextosinformatoCar">
    <w:name w:val="Texto sin formato Car"/>
    <w:basedOn w:val="Fuentedeprrafopredeter"/>
    <w:link w:val="Textosinformato"/>
    <w:uiPriority w:val="99"/>
    <w:rsid w:val="00F11405"/>
    <w:rPr>
      <w:sz w:val="24"/>
      <w:szCs w:val="24"/>
    </w:rPr>
  </w:style>
  <w:style w:type="paragraph" w:styleId="Prrafodelista">
    <w:name w:val="List Paragraph"/>
    <w:basedOn w:val="Normal"/>
    <w:uiPriority w:val="34"/>
    <w:qFormat/>
    <w:rsid w:val="00F05F89"/>
    <w:pPr>
      <w:widowControl/>
      <w:suppressAutoHyphens w:val="0"/>
      <w:ind w:left="708"/>
    </w:pPr>
    <w:rPr>
      <w:rFonts w:ascii="Arial" w:eastAsia="Times New Roman" w:hAnsi="Arial" w:cs="Arial"/>
      <w:kern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6968798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17438457">
      <w:bodyDiv w:val="1"/>
      <w:marLeft w:val="0"/>
      <w:marRight w:val="0"/>
      <w:marTop w:val="0"/>
      <w:marBottom w:val="0"/>
      <w:divBdr>
        <w:top w:val="none" w:sz="0" w:space="0" w:color="auto"/>
        <w:left w:val="none" w:sz="0" w:space="0" w:color="auto"/>
        <w:bottom w:val="none" w:sz="0" w:space="0" w:color="auto"/>
        <w:right w:val="none" w:sz="0" w:space="0" w:color="auto"/>
      </w:divBdr>
      <w:divsChild>
        <w:div w:id="759906433">
          <w:marLeft w:val="0"/>
          <w:marRight w:val="0"/>
          <w:marTop w:val="0"/>
          <w:marBottom w:val="0"/>
          <w:divBdr>
            <w:top w:val="none" w:sz="0" w:space="0" w:color="auto"/>
            <w:left w:val="none" w:sz="0" w:space="0" w:color="auto"/>
            <w:bottom w:val="none" w:sz="0" w:space="0" w:color="auto"/>
            <w:right w:val="none" w:sz="0" w:space="0" w:color="auto"/>
          </w:divBdr>
          <w:divsChild>
            <w:div w:id="107967777">
              <w:marLeft w:val="0"/>
              <w:marRight w:val="0"/>
              <w:marTop w:val="0"/>
              <w:marBottom w:val="0"/>
              <w:divBdr>
                <w:top w:val="none" w:sz="0" w:space="0" w:color="auto"/>
                <w:left w:val="none" w:sz="0" w:space="0" w:color="auto"/>
                <w:bottom w:val="none" w:sz="0" w:space="0" w:color="auto"/>
                <w:right w:val="none" w:sz="0" w:space="0" w:color="auto"/>
              </w:divBdr>
              <w:divsChild>
                <w:div w:id="4524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763721278">
      <w:bodyDiv w:val="1"/>
      <w:marLeft w:val="0"/>
      <w:marRight w:val="0"/>
      <w:marTop w:val="0"/>
      <w:marBottom w:val="0"/>
      <w:divBdr>
        <w:top w:val="none" w:sz="0" w:space="0" w:color="auto"/>
        <w:left w:val="none" w:sz="0" w:space="0" w:color="auto"/>
        <w:bottom w:val="none" w:sz="0" w:space="0" w:color="auto"/>
        <w:right w:val="none" w:sz="0" w:space="0" w:color="auto"/>
      </w:divBdr>
    </w:div>
    <w:div w:id="908001465">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07021111">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836871898">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687</Words>
  <Characters>3783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Secretaría General de la Corte - Comunicaciones - Andrea Campos Jiménez</cp:lastModifiedBy>
  <cp:revision>6</cp:revision>
  <cp:lastPrinted>2013-02-08T15:17:00Z</cp:lastPrinted>
  <dcterms:created xsi:type="dcterms:W3CDTF">2021-05-14T21:08:00Z</dcterms:created>
  <dcterms:modified xsi:type="dcterms:W3CDTF">2021-05-14T21:34:00Z</dcterms:modified>
</cp:coreProperties>
</file>