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84F" w:rsidRPr="00692838" w:rsidRDefault="00DB584F" w:rsidP="00DB584F">
      <w:pPr>
        <w:ind w:left="851" w:right="851"/>
        <w:jc w:val="center"/>
        <w:rPr>
          <w:b/>
          <w:bCs/>
          <w:vanish/>
          <w:color w:val="000000"/>
          <w:sz w:val="22"/>
          <w:szCs w:val="22"/>
          <w:u w:val="single"/>
          <w:lang w:val="es-CR"/>
          <w:specVanish/>
        </w:rPr>
      </w:pPr>
      <w:r w:rsidRPr="00BB3414">
        <w:rPr>
          <w:b/>
          <w:bCs/>
          <w:color w:val="000000"/>
          <w:sz w:val="22"/>
          <w:szCs w:val="22"/>
          <w:u w:val="single"/>
          <w:lang w:val="es-CR"/>
        </w:rPr>
        <w:t>CIRCULAR No.</w:t>
      </w:r>
      <w:r w:rsidR="00CC5ED0">
        <w:rPr>
          <w:b/>
          <w:bCs/>
          <w:color w:val="000000"/>
          <w:sz w:val="22"/>
          <w:szCs w:val="22"/>
          <w:u w:val="single"/>
          <w:lang w:val="es-CR"/>
        </w:rPr>
        <w:t xml:space="preserve"> </w:t>
      </w:r>
      <w:r w:rsidR="00925816">
        <w:rPr>
          <w:b/>
          <w:bCs/>
          <w:color w:val="000000"/>
          <w:sz w:val="22"/>
          <w:szCs w:val="22"/>
          <w:u w:val="single"/>
          <w:lang w:val="es-CR"/>
        </w:rPr>
        <w:t>48</w:t>
      </w:r>
      <w:r w:rsidRPr="00BB3414">
        <w:rPr>
          <w:b/>
          <w:bCs/>
          <w:color w:val="000000"/>
          <w:sz w:val="22"/>
          <w:szCs w:val="22"/>
          <w:u w:val="single"/>
          <w:lang w:val="es-CR"/>
        </w:rPr>
        <w:t>-19</w:t>
      </w:r>
    </w:p>
    <w:p w:rsidR="00DB584F" w:rsidRDefault="00DB584F" w:rsidP="00DB584F">
      <w:pPr>
        <w:ind w:left="851" w:right="851" w:firstLine="709"/>
        <w:rPr>
          <w:b/>
          <w:bCs/>
          <w:sz w:val="22"/>
          <w:szCs w:val="22"/>
          <w:u w:val="single"/>
          <w:lang w:val="es-CR"/>
        </w:rPr>
      </w:pPr>
    </w:p>
    <w:p w:rsidR="00072FD3" w:rsidRPr="00BB3414" w:rsidRDefault="00072FD3" w:rsidP="00DB584F">
      <w:pPr>
        <w:ind w:left="851" w:right="851" w:firstLine="709"/>
        <w:rPr>
          <w:b/>
          <w:bCs/>
          <w:sz w:val="22"/>
          <w:szCs w:val="22"/>
          <w:u w:val="single"/>
          <w:lang w:val="es-CR"/>
        </w:rPr>
      </w:pPr>
    </w:p>
    <w:p w:rsidR="00DB584F" w:rsidRPr="00BB3414" w:rsidRDefault="00DB584F" w:rsidP="00DB584F">
      <w:pPr>
        <w:ind w:left="851" w:right="851"/>
        <w:jc w:val="both"/>
        <w:rPr>
          <w:b/>
          <w:sz w:val="22"/>
          <w:szCs w:val="22"/>
          <w:lang w:val="es-CR"/>
        </w:rPr>
      </w:pPr>
      <w:r w:rsidRPr="00BB3414">
        <w:rPr>
          <w:b/>
          <w:bCs/>
          <w:sz w:val="22"/>
          <w:szCs w:val="22"/>
          <w:u w:val="single"/>
          <w:lang w:val="es-CR"/>
        </w:rPr>
        <w:t>Asunto</w:t>
      </w:r>
      <w:r w:rsidRPr="00BB3414">
        <w:rPr>
          <w:b/>
          <w:bCs/>
          <w:sz w:val="22"/>
          <w:szCs w:val="22"/>
          <w:lang w:val="es-CR"/>
        </w:rPr>
        <w:t xml:space="preserve">: </w:t>
      </w:r>
      <w:r w:rsidRPr="00BB3414">
        <w:rPr>
          <w:sz w:val="22"/>
          <w:szCs w:val="22"/>
          <w:lang w:eastAsia="ar-SA"/>
        </w:rPr>
        <w:t>Lineamientos sobre seguridad de la información.</w:t>
      </w:r>
    </w:p>
    <w:p w:rsidR="00DB584F" w:rsidRDefault="00DB584F" w:rsidP="00632B4C">
      <w:pPr>
        <w:ind w:left="851" w:right="851" w:firstLine="709"/>
        <w:jc w:val="center"/>
        <w:rPr>
          <w:b/>
          <w:bCs/>
          <w:kern w:val="2"/>
          <w:sz w:val="22"/>
          <w:szCs w:val="22"/>
          <w:lang w:val="es-CR"/>
        </w:rPr>
      </w:pPr>
    </w:p>
    <w:p w:rsidR="00072FD3" w:rsidRPr="00BB3414" w:rsidRDefault="00072FD3" w:rsidP="00632B4C">
      <w:pPr>
        <w:ind w:left="851" w:right="851" w:firstLine="709"/>
        <w:jc w:val="center"/>
        <w:rPr>
          <w:b/>
          <w:bCs/>
          <w:kern w:val="2"/>
          <w:sz w:val="22"/>
          <w:szCs w:val="22"/>
          <w:lang w:val="es-CR"/>
        </w:rPr>
      </w:pPr>
    </w:p>
    <w:p w:rsidR="007B629E" w:rsidRPr="00BB3414" w:rsidRDefault="007B629E" w:rsidP="006B3F25">
      <w:pPr>
        <w:ind w:firstLine="709"/>
        <w:jc w:val="center"/>
        <w:rPr>
          <w:sz w:val="22"/>
          <w:szCs w:val="22"/>
        </w:rPr>
      </w:pPr>
      <w:r w:rsidRPr="00BB3414">
        <w:rPr>
          <w:b/>
          <w:bCs/>
          <w:sz w:val="22"/>
          <w:szCs w:val="22"/>
          <w:u w:val="single"/>
        </w:rPr>
        <w:t>A TODOS LOS SERVIDORES Y SERVIDORAS JUDICIALES DEL PAÍS</w:t>
      </w:r>
      <w:r w:rsidRPr="00BB3414">
        <w:rPr>
          <w:sz w:val="22"/>
          <w:szCs w:val="22"/>
        </w:rPr>
        <w:t xml:space="preserve"> </w:t>
      </w:r>
    </w:p>
    <w:p w:rsidR="007B629E" w:rsidRPr="00BB3414" w:rsidRDefault="007B629E" w:rsidP="006B3F25">
      <w:pPr>
        <w:ind w:firstLine="709"/>
        <w:jc w:val="center"/>
        <w:rPr>
          <w:sz w:val="22"/>
          <w:szCs w:val="22"/>
        </w:rPr>
      </w:pPr>
    </w:p>
    <w:p w:rsidR="006B3F25" w:rsidRPr="00BB3414" w:rsidRDefault="006B3F25" w:rsidP="006B3F25">
      <w:pPr>
        <w:ind w:firstLine="709"/>
        <w:jc w:val="center"/>
        <w:rPr>
          <w:sz w:val="22"/>
          <w:szCs w:val="22"/>
        </w:rPr>
      </w:pPr>
      <w:r w:rsidRPr="00BB3414">
        <w:rPr>
          <w:b/>
          <w:bCs/>
          <w:sz w:val="22"/>
          <w:szCs w:val="22"/>
          <w:u w:val="single"/>
        </w:rPr>
        <w:t>SE LES HACE SABER QUE</w:t>
      </w:r>
      <w:r w:rsidRPr="00BB3414">
        <w:rPr>
          <w:b/>
          <w:bCs/>
          <w:sz w:val="22"/>
          <w:szCs w:val="22"/>
        </w:rPr>
        <w:t>:</w:t>
      </w:r>
    </w:p>
    <w:p w:rsidR="000F3AA6" w:rsidRPr="00BB3414" w:rsidRDefault="000F3AA6" w:rsidP="000F3AA6">
      <w:pPr>
        <w:ind w:firstLine="709"/>
        <w:rPr>
          <w:sz w:val="22"/>
          <w:szCs w:val="22"/>
        </w:rPr>
      </w:pPr>
    </w:p>
    <w:p w:rsidR="00632B4C" w:rsidRPr="00BB3414" w:rsidRDefault="00632B4C" w:rsidP="007B629E">
      <w:pPr>
        <w:spacing w:before="120" w:after="120" w:line="480" w:lineRule="auto"/>
        <w:ind w:firstLine="709"/>
        <w:jc w:val="both"/>
        <w:rPr>
          <w:sz w:val="22"/>
          <w:szCs w:val="22"/>
          <w:lang w:eastAsia="ar-SA"/>
        </w:rPr>
      </w:pPr>
      <w:r w:rsidRPr="00BB3414">
        <w:rPr>
          <w:sz w:val="22"/>
          <w:szCs w:val="22"/>
          <w:lang w:eastAsia="ar-SA"/>
        </w:rPr>
        <w:t>Como producto de la Licitación Abreviada No.  2015LA-000020-PROV denominada “</w:t>
      </w:r>
      <w:r w:rsidRPr="00BB3414">
        <w:rPr>
          <w:i/>
          <w:sz w:val="22"/>
          <w:szCs w:val="22"/>
          <w:lang w:eastAsia="ar-SA"/>
        </w:rPr>
        <w:t>Consultoría para el Diseño e Implementación de un Sistema de Gestión de la Seguridad de la Información (SGSI), custodiada por Tecnología de Información</w:t>
      </w:r>
      <w:r w:rsidRPr="00BB3414">
        <w:rPr>
          <w:sz w:val="22"/>
          <w:szCs w:val="22"/>
          <w:lang w:eastAsia="ar-SA"/>
        </w:rPr>
        <w:t>”, la cual se enfoca en el desarrollo y aplicación de controles varios que permitan respaldar la madurez de la institución en el aseguramiento de la información, se ha desarrollado una serie de lineamientos que pretenden regular las actividades pertinentes a la seguridad de la información y su sistema de gestión (SGSI) y que permitan al Poder Judicial alcanzar sus objetivos estratégicos y cumplir con los requisitos leg</w:t>
      </w:r>
      <w:r w:rsidR="00165B54">
        <w:rPr>
          <w:sz w:val="22"/>
          <w:szCs w:val="22"/>
          <w:lang w:eastAsia="ar-SA"/>
        </w:rPr>
        <w:t>ales y regulatorios aplicables.</w:t>
      </w:r>
    </w:p>
    <w:p w:rsidR="00632B4C" w:rsidRPr="00BB3414" w:rsidRDefault="00632B4C" w:rsidP="007B629E">
      <w:pPr>
        <w:spacing w:before="120" w:after="120" w:line="480" w:lineRule="auto"/>
        <w:ind w:firstLine="709"/>
        <w:jc w:val="both"/>
        <w:rPr>
          <w:sz w:val="22"/>
          <w:szCs w:val="22"/>
          <w:lang w:eastAsia="ar-SA"/>
        </w:rPr>
      </w:pPr>
      <w:r w:rsidRPr="00BB3414">
        <w:rPr>
          <w:sz w:val="22"/>
          <w:szCs w:val="22"/>
          <w:lang w:eastAsia="ar-SA"/>
        </w:rPr>
        <w:t>Sobre el particular, en la sesión de Consejo Superior N° 80-18 celebrada el 11 de setiembre del 2018, artículo LXII, se acordó, entre otros aspectos, lo siguiente:</w:t>
      </w:r>
    </w:p>
    <w:p w:rsidR="00632B4C" w:rsidRPr="00BB3414" w:rsidRDefault="00632B4C" w:rsidP="00BB3414">
      <w:pPr>
        <w:spacing w:before="120" w:after="120" w:line="480" w:lineRule="auto"/>
        <w:ind w:left="851" w:right="851" w:firstLine="709"/>
        <w:jc w:val="both"/>
        <w:rPr>
          <w:sz w:val="22"/>
          <w:szCs w:val="22"/>
          <w:lang w:eastAsia="ar-SA"/>
        </w:rPr>
      </w:pPr>
      <w:r w:rsidRPr="00BB3414">
        <w:rPr>
          <w:i/>
          <w:sz w:val="22"/>
          <w:szCs w:val="22"/>
          <w:lang w:eastAsia="ar-SA"/>
        </w:rPr>
        <w:t>“[…] 2.) Aprobar los lineamientos de Reutilización y/o Desecho de Equipos Tecnológicos y medios de almacenamiento custodiados por Tecnología de Información y Comunicaciones del Poder Judicial” […].</w:t>
      </w:r>
    </w:p>
    <w:p w:rsidR="00632B4C" w:rsidRPr="00BB3414" w:rsidRDefault="00632B4C" w:rsidP="007B629E">
      <w:pPr>
        <w:spacing w:before="120" w:after="120" w:line="480" w:lineRule="auto"/>
        <w:ind w:firstLine="709"/>
        <w:jc w:val="both"/>
        <w:rPr>
          <w:sz w:val="22"/>
          <w:szCs w:val="22"/>
          <w:lang w:eastAsia="ar-SA"/>
        </w:rPr>
      </w:pPr>
      <w:r w:rsidRPr="00BB3414">
        <w:rPr>
          <w:sz w:val="22"/>
          <w:szCs w:val="22"/>
          <w:lang w:eastAsia="ar-SA"/>
        </w:rPr>
        <w:t>Posteriormente, en la sesión de Consejo Superior N° 92-18, celebrada el 23 de octubre del 2018, artículo XXVIII, se acordó, entre otros aspectos, lo siguiente:</w:t>
      </w:r>
    </w:p>
    <w:p w:rsidR="00632B4C" w:rsidRPr="00BB3414" w:rsidRDefault="00632B4C" w:rsidP="00BB3414">
      <w:pPr>
        <w:spacing w:before="120" w:after="120" w:line="480" w:lineRule="auto"/>
        <w:ind w:left="851" w:right="851" w:firstLine="709"/>
        <w:jc w:val="both"/>
        <w:rPr>
          <w:i/>
          <w:sz w:val="22"/>
          <w:szCs w:val="22"/>
          <w:lang w:eastAsia="ar-SA"/>
        </w:rPr>
      </w:pPr>
      <w:r w:rsidRPr="00BB3414">
        <w:rPr>
          <w:i/>
          <w:sz w:val="22"/>
          <w:szCs w:val="22"/>
          <w:lang w:eastAsia="ar-SA"/>
        </w:rPr>
        <w:t>“[…] 1.) Aprobar el Lineamiento de Seguridad y acceso a la información por</w:t>
      </w:r>
      <w:r w:rsidR="00072FD3">
        <w:rPr>
          <w:i/>
          <w:sz w:val="22"/>
          <w:szCs w:val="22"/>
          <w:lang w:eastAsia="ar-SA"/>
        </w:rPr>
        <w:t xml:space="preserve"> parte de los Proveedores […].”</w:t>
      </w:r>
    </w:p>
    <w:p w:rsidR="00632B4C" w:rsidRPr="00BB3414" w:rsidRDefault="00632B4C" w:rsidP="007B629E">
      <w:pPr>
        <w:spacing w:before="120" w:after="120" w:line="480" w:lineRule="auto"/>
        <w:ind w:firstLine="709"/>
        <w:jc w:val="both"/>
        <w:rPr>
          <w:sz w:val="22"/>
          <w:szCs w:val="22"/>
          <w:lang w:eastAsia="ar-SA"/>
        </w:rPr>
      </w:pPr>
      <w:r w:rsidRPr="00BB3414">
        <w:rPr>
          <w:sz w:val="22"/>
          <w:szCs w:val="22"/>
          <w:lang w:eastAsia="ar-SA"/>
        </w:rPr>
        <w:t xml:space="preserve">Finalmente, en sesión de Consejo Superior N° 92-18 celebrada el 23 de octubre del 2018, </w:t>
      </w:r>
      <w:r w:rsidRPr="00BB3414">
        <w:rPr>
          <w:sz w:val="22"/>
          <w:szCs w:val="22"/>
          <w:lang w:eastAsia="ar-SA"/>
        </w:rPr>
        <w:lastRenderedPageBreak/>
        <w:t>artículo XXIX, se acordó también, entre otros aspectos, lo siguiente:</w:t>
      </w:r>
    </w:p>
    <w:p w:rsidR="00632B4C" w:rsidRPr="00BB3414" w:rsidRDefault="00632B4C" w:rsidP="00BB3414">
      <w:pPr>
        <w:spacing w:before="120" w:after="120" w:line="480" w:lineRule="auto"/>
        <w:ind w:left="851" w:right="851" w:firstLine="709"/>
        <w:jc w:val="both"/>
        <w:rPr>
          <w:sz w:val="22"/>
          <w:szCs w:val="22"/>
          <w:lang w:eastAsia="ar-SA"/>
        </w:rPr>
      </w:pPr>
      <w:r w:rsidRPr="00BB3414">
        <w:rPr>
          <w:i/>
          <w:sz w:val="22"/>
          <w:szCs w:val="22"/>
          <w:lang w:eastAsia="ar-SA"/>
        </w:rPr>
        <w:t>“[…] 1.) Aprobar los lineamientos, resultado del proyecto denominado Sistema de Gestión de la Seguridad de la Información […]”</w:t>
      </w:r>
      <w:r w:rsidRPr="00BB3414">
        <w:rPr>
          <w:sz w:val="22"/>
          <w:szCs w:val="22"/>
          <w:lang w:eastAsia="ar-SA"/>
        </w:rPr>
        <w:t>.</w:t>
      </w:r>
    </w:p>
    <w:p w:rsidR="00632B4C" w:rsidRPr="00BB3414" w:rsidRDefault="00632B4C" w:rsidP="007B629E">
      <w:pPr>
        <w:spacing w:before="120" w:after="120" w:line="480" w:lineRule="auto"/>
        <w:ind w:firstLine="709"/>
        <w:jc w:val="both"/>
        <w:rPr>
          <w:sz w:val="22"/>
          <w:szCs w:val="22"/>
          <w:lang w:eastAsia="ar-SA"/>
        </w:rPr>
      </w:pPr>
      <w:r w:rsidRPr="00BB3414">
        <w:rPr>
          <w:sz w:val="22"/>
          <w:szCs w:val="22"/>
          <w:lang w:eastAsia="ar-SA"/>
        </w:rPr>
        <w:t>En virtud de lo anterior, se comunica a todas las personas que laboran para el Poder Judicial</w:t>
      </w:r>
      <w:r w:rsidR="00FF33B0" w:rsidRPr="00BB3414">
        <w:rPr>
          <w:sz w:val="22"/>
          <w:szCs w:val="22"/>
          <w:lang w:eastAsia="ar-SA"/>
        </w:rPr>
        <w:t xml:space="preserve">, que el Consejo Superior, en sesión número </w:t>
      </w:r>
      <w:r w:rsidR="00FF33B0" w:rsidRPr="00BB3414">
        <w:rPr>
          <w:iCs/>
          <w:sz w:val="22"/>
          <w:szCs w:val="22"/>
          <w:lang w:val="es-ES" w:eastAsia="ar-SA"/>
        </w:rPr>
        <w:t>26-19,</w:t>
      </w:r>
      <w:r w:rsidR="00FF33B0" w:rsidRPr="00BB3414">
        <w:rPr>
          <w:b/>
          <w:bCs/>
          <w:iCs/>
          <w:sz w:val="22"/>
          <w:szCs w:val="22"/>
          <w:lang w:val="es-ES" w:eastAsia="ar-SA"/>
        </w:rPr>
        <w:t xml:space="preserve"> </w:t>
      </w:r>
      <w:r w:rsidR="00FF33B0" w:rsidRPr="00BB3414">
        <w:rPr>
          <w:bCs/>
          <w:iCs/>
          <w:sz w:val="22"/>
          <w:szCs w:val="22"/>
          <w:lang w:val="es-ES" w:eastAsia="ar-SA"/>
        </w:rPr>
        <w:t>celebrada el</w:t>
      </w:r>
      <w:r w:rsidR="00FF33B0" w:rsidRPr="00BB3414">
        <w:rPr>
          <w:iCs/>
          <w:sz w:val="22"/>
          <w:szCs w:val="22"/>
          <w:lang w:val="es-ES" w:eastAsia="ar-SA"/>
        </w:rPr>
        <w:t xml:space="preserve"> 21 de marzo de 2019</w:t>
      </w:r>
      <w:r w:rsidR="00FF33B0" w:rsidRPr="00BB3414">
        <w:rPr>
          <w:bCs/>
          <w:iCs/>
          <w:sz w:val="22"/>
          <w:szCs w:val="22"/>
          <w:lang w:val="es-ES" w:eastAsia="ar-SA"/>
        </w:rPr>
        <w:t xml:space="preserve">, artículo </w:t>
      </w:r>
      <w:bookmarkStart w:id="0" w:name="_Toc3810247"/>
      <w:r w:rsidR="00FF33B0" w:rsidRPr="00BB3414">
        <w:rPr>
          <w:bCs/>
          <w:sz w:val="22"/>
          <w:szCs w:val="22"/>
          <w:lang w:val="es-ES" w:eastAsia="ar-SA"/>
        </w:rPr>
        <w:t>XXXIII</w:t>
      </w:r>
      <w:bookmarkEnd w:id="0"/>
      <w:r w:rsidR="00FF33B0" w:rsidRPr="00BB3414">
        <w:rPr>
          <w:bCs/>
          <w:sz w:val="22"/>
          <w:szCs w:val="22"/>
          <w:lang w:val="es-ES" w:eastAsia="ar-SA"/>
        </w:rPr>
        <w:t xml:space="preserve">, acordó comunicarles </w:t>
      </w:r>
      <w:r w:rsidRPr="00BB3414">
        <w:rPr>
          <w:sz w:val="22"/>
          <w:szCs w:val="22"/>
          <w:lang w:eastAsia="ar-SA"/>
        </w:rPr>
        <w:t>la necesidad de acatar lo indicado en los lineamientos que se detallan a continuación:</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Uso de controles criptográficos</w:t>
      </w:r>
    </w:p>
    <w:p w:rsidR="00632B4C" w:rsidRPr="00BB3414" w:rsidRDefault="00BB3414" w:rsidP="007B629E">
      <w:pPr>
        <w:numPr>
          <w:ilvl w:val="0"/>
          <w:numId w:val="6"/>
        </w:numPr>
        <w:ind w:left="0" w:firstLine="709"/>
        <w:contextualSpacing/>
        <w:jc w:val="both"/>
        <w:rPr>
          <w:sz w:val="22"/>
          <w:szCs w:val="22"/>
          <w:lang w:eastAsia="ar-SA"/>
        </w:rPr>
      </w:pPr>
      <w:r w:rsidRPr="00BB3414">
        <w:rPr>
          <w:sz w:val="22"/>
          <w:szCs w:val="22"/>
          <w:lang w:eastAsia="ar-SA"/>
        </w:rPr>
        <w:t>L</w:t>
      </w:r>
      <w:r w:rsidR="00632B4C" w:rsidRPr="00BB3414">
        <w:rPr>
          <w:sz w:val="22"/>
          <w:szCs w:val="22"/>
          <w:lang w:eastAsia="ar-SA"/>
        </w:rPr>
        <w:t>ineamiento de control de acceso</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desarrollo seguro</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gestión de cambios</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gestión de respaldos</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clasificación de la Información.</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escritorio limpio.</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dispositivos móviles.</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uso aceptable.</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reutilización y desecho de equipos tecnológicos.</w:t>
      </w:r>
    </w:p>
    <w:p w:rsidR="00632B4C" w:rsidRPr="00BB3414" w:rsidRDefault="00632B4C" w:rsidP="007B629E">
      <w:pPr>
        <w:numPr>
          <w:ilvl w:val="0"/>
          <w:numId w:val="6"/>
        </w:numPr>
        <w:ind w:left="0" w:firstLine="709"/>
        <w:contextualSpacing/>
        <w:jc w:val="both"/>
        <w:rPr>
          <w:sz w:val="22"/>
          <w:szCs w:val="22"/>
          <w:lang w:eastAsia="ar-SA"/>
        </w:rPr>
      </w:pPr>
      <w:r w:rsidRPr="00BB3414">
        <w:rPr>
          <w:sz w:val="22"/>
          <w:szCs w:val="22"/>
          <w:lang w:eastAsia="ar-SA"/>
        </w:rPr>
        <w:t>Lineamiento de seguridad y acceso a la información por parte de los Proveedores.</w:t>
      </w:r>
    </w:p>
    <w:p w:rsidR="00632B4C" w:rsidRPr="00BB3414" w:rsidRDefault="00632B4C" w:rsidP="007B629E">
      <w:pPr>
        <w:ind w:firstLine="709"/>
        <w:jc w:val="both"/>
        <w:rPr>
          <w:sz w:val="22"/>
          <w:szCs w:val="22"/>
          <w:lang w:eastAsia="ar-SA"/>
        </w:rPr>
      </w:pPr>
    </w:p>
    <w:p w:rsidR="00632B4C" w:rsidRPr="00BB3414" w:rsidRDefault="00632B4C" w:rsidP="00BB3414">
      <w:pPr>
        <w:spacing w:before="120" w:after="120" w:line="480" w:lineRule="auto"/>
        <w:ind w:firstLine="709"/>
        <w:jc w:val="both"/>
        <w:rPr>
          <w:sz w:val="22"/>
          <w:szCs w:val="22"/>
          <w:lang w:eastAsia="ar-SA"/>
        </w:rPr>
      </w:pPr>
      <w:r w:rsidRPr="00BB3414">
        <w:rPr>
          <w:sz w:val="22"/>
          <w:szCs w:val="22"/>
          <w:lang w:eastAsia="ar-SA"/>
        </w:rPr>
        <w:t>Es importante reiterar que el cumplimiento de lo señalado en esta circular es de acatamiento obligatorio y, como parte de las actividades propias del control interno de esta Institución, se revisará oportunamente su cumplim</w:t>
      </w:r>
      <w:r w:rsidR="00F37259">
        <w:rPr>
          <w:sz w:val="22"/>
          <w:szCs w:val="22"/>
          <w:lang w:eastAsia="ar-SA"/>
        </w:rPr>
        <w:t>iento.</w:t>
      </w:r>
    </w:p>
    <w:p w:rsidR="006B3F25" w:rsidRPr="00BB3414" w:rsidRDefault="003735D7" w:rsidP="00BB3414">
      <w:pPr>
        <w:jc w:val="both"/>
        <w:rPr>
          <w:sz w:val="22"/>
          <w:szCs w:val="22"/>
          <w:lang w:val="es-ES"/>
        </w:rPr>
      </w:pPr>
      <w:r w:rsidRPr="00BB3414">
        <w:rPr>
          <w:b/>
          <w:bCs/>
          <w:sz w:val="22"/>
          <w:szCs w:val="22"/>
        </w:rPr>
        <w:t>San José, 28</w:t>
      </w:r>
      <w:r w:rsidR="006B3F25" w:rsidRPr="00BB3414">
        <w:rPr>
          <w:b/>
          <w:bCs/>
          <w:sz w:val="22"/>
          <w:szCs w:val="22"/>
        </w:rPr>
        <w:t xml:space="preserve"> de </w:t>
      </w:r>
      <w:r w:rsidRPr="00BB3414">
        <w:rPr>
          <w:b/>
          <w:bCs/>
          <w:sz w:val="22"/>
          <w:szCs w:val="22"/>
        </w:rPr>
        <w:t>marzo de 2019</w:t>
      </w:r>
      <w:r w:rsidR="006B3F25" w:rsidRPr="00BB3414">
        <w:rPr>
          <w:b/>
          <w:bCs/>
          <w:sz w:val="22"/>
          <w:szCs w:val="22"/>
        </w:rPr>
        <w:t>.</w:t>
      </w:r>
      <w:r w:rsidR="006B3F25" w:rsidRPr="00BB3414">
        <w:rPr>
          <w:sz w:val="22"/>
          <w:szCs w:val="22"/>
        </w:rPr>
        <w:t xml:space="preserve"> </w:t>
      </w:r>
    </w:p>
    <w:p w:rsidR="006B3F25" w:rsidRPr="00BB3414" w:rsidRDefault="006B3F25" w:rsidP="006B3F25">
      <w:pPr>
        <w:ind w:firstLine="709"/>
        <w:jc w:val="both"/>
        <w:rPr>
          <w:sz w:val="22"/>
          <w:szCs w:val="22"/>
          <w:lang w:val="es-ES"/>
        </w:rPr>
      </w:pPr>
    </w:p>
    <w:p w:rsidR="006B3F25" w:rsidRPr="00BB3414" w:rsidRDefault="006B3F25" w:rsidP="006B3F25">
      <w:pPr>
        <w:ind w:firstLine="709"/>
        <w:jc w:val="both"/>
        <w:rPr>
          <w:sz w:val="22"/>
          <w:szCs w:val="22"/>
          <w:lang w:val="es-ES"/>
        </w:rPr>
      </w:pPr>
    </w:p>
    <w:p w:rsidR="006B3F25" w:rsidRPr="00BB3414" w:rsidRDefault="006B3F25" w:rsidP="006B3F25">
      <w:pPr>
        <w:ind w:firstLine="709"/>
        <w:jc w:val="both"/>
        <w:rPr>
          <w:sz w:val="22"/>
          <w:szCs w:val="22"/>
          <w:lang w:val="es-ES"/>
        </w:rPr>
      </w:pPr>
    </w:p>
    <w:p w:rsidR="006B3F25" w:rsidRPr="00BB3414" w:rsidRDefault="006B3F25" w:rsidP="006B3F25">
      <w:pPr>
        <w:ind w:firstLine="709"/>
        <w:jc w:val="both"/>
        <w:rPr>
          <w:sz w:val="22"/>
          <w:szCs w:val="22"/>
          <w:lang w:val="es-ES"/>
        </w:rPr>
      </w:pPr>
    </w:p>
    <w:p w:rsidR="006B3F25" w:rsidRPr="00BB3414" w:rsidRDefault="006B3F25" w:rsidP="006B3F25">
      <w:pPr>
        <w:ind w:firstLine="709"/>
        <w:jc w:val="center"/>
        <w:rPr>
          <w:b/>
          <w:bCs/>
          <w:sz w:val="22"/>
          <w:szCs w:val="22"/>
          <w:lang w:val="pt-BR"/>
        </w:rPr>
      </w:pPr>
      <w:r w:rsidRPr="00BB3414">
        <w:rPr>
          <w:b/>
          <w:bCs/>
          <w:sz w:val="22"/>
          <w:szCs w:val="22"/>
          <w:lang w:val="pt-BR"/>
        </w:rPr>
        <w:t xml:space="preserve">Lic. Carlos T. Mora </w:t>
      </w:r>
      <w:proofErr w:type="gramStart"/>
      <w:r w:rsidRPr="00BB3414">
        <w:rPr>
          <w:b/>
          <w:bCs/>
          <w:sz w:val="22"/>
          <w:szCs w:val="22"/>
          <w:lang w:val="pt-BR"/>
        </w:rPr>
        <w:t>Rodríguez</w:t>
      </w:r>
      <w:proofErr w:type="gramEnd"/>
    </w:p>
    <w:p w:rsidR="006B3F25" w:rsidRPr="00BB3414" w:rsidRDefault="006B3F25" w:rsidP="006B3F25">
      <w:pPr>
        <w:ind w:firstLine="709"/>
        <w:jc w:val="center"/>
        <w:rPr>
          <w:sz w:val="22"/>
          <w:szCs w:val="22"/>
          <w:lang w:val="es-ES"/>
        </w:rPr>
      </w:pPr>
      <w:r w:rsidRPr="00BB3414">
        <w:rPr>
          <w:b/>
          <w:bCs/>
          <w:sz w:val="22"/>
          <w:szCs w:val="22"/>
          <w:lang w:val="pt-BR"/>
        </w:rPr>
        <w:t>Subsecretario General interino</w:t>
      </w:r>
    </w:p>
    <w:p w:rsidR="006B3F25" w:rsidRPr="00FF33B0" w:rsidRDefault="006B3F25" w:rsidP="006B3F25">
      <w:pPr>
        <w:ind w:firstLine="709"/>
        <w:jc w:val="center"/>
        <w:rPr>
          <w:lang w:val="es-ES"/>
        </w:rPr>
      </w:pPr>
      <w:r w:rsidRPr="00BB3414">
        <w:rPr>
          <w:b/>
          <w:bCs/>
          <w:sz w:val="22"/>
          <w:szCs w:val="22"/>
          <w:lang w:val="pt-BR"/>
        </w:rPr>
        <w:t>Corte Suprema de Justicia</w:t>
      </w:r>
      <w:r w:rsidRPr="00FF33B0">
        <w:rPr>
          <w:lang w:val="pt-BR"/>
        </w:rPr>
        <w:t xml:space="preserve"> </w:t>
      </w:r>
    </w:p>
    <w:p w:rsidR="006B3F25" w:rsidRDefault="006B3F25" w:rsidP="006B3F25">
      <w:pPr>
        <w:ind w:firstLine="709"/>
        <w:jc w:val="center"/>
        <w:rPr>
          <w:sz w:val="26"/>
          <w:szCs w:val="26"/>
          <w:lang w:val="es-ES"/>
        </w:rPr>
      </w:pPr>
    </w:p>
    <w:p w:rsidR="006B3F25" w:rsidRPr="00F37259" w:rsidRDefault="003735D7" w:rsidP="006B3F25">
      <w:pPr>
        <w:rPr>
          <w:i/>
          <w:sz w:val="20"/>
          <w:szCs w:val="20"/>
        </w:rPr>
      </w:pPr>
      <w:proofErr w:type="gramStart"/>
      <w:r w:rsidRPr="00F37259">
        <w:rPr>
          <w:i/>
          <w:sz w:val="20"/>
          <w:szCs w:val="20"/>
          <w:lang w:val="pt-BR"/>
        </w:rPr>
        <w:t>Ref</w:t>
      </w:r>
      <w:r w:rsidR="00F37259" w:rsidRPr="00F37259">
        <w:rPr>
          <w:i/>
          <w:sz w:val="20"/>
          <w:szCs w:val="20"/>
          <w:lang w:val="pt-BR"/>
        </w:rPr>
        <w:t>s</w:t>
      </w:r>
      <w:r w:rsidRPr="00F37259">
        <w:rPr>
          <w:i/>
          <w:sz w:val="20"/>
          <w:szCs w:val="20"/>
          <w:lang w:val="pt-BR"/>
        </w:rPr>
        <w:t>:</w:t>
      </w:r>
      <w:proofErr w:type="gramEnd"/>
      <w:r w:rsidR="00F37259" w:rsidRPr="009D5CF6">
        <w:rPr>
          <w:i/>
          <w:sz w:val="20"/>
          <w:szCs w:val="20"/>
          <w:lang w:val="es-ES"/>
        </w:rPr>
        <w:t>12128-18</w:t>
      </w:r>
      <w:r w:rsidR="00F37259" w:rsidRPr="00F37259">
        <w:rPr>
          <w:b/>
          <w:i/>
          <w:sz w:val="20"/>
          <w:szCs w:val="20"/>
          <w:lang w:val="es-ES"/>
        </w:rPr>
        <w:t xml:space="preserve"> / 3072-19.</w:t>
      </w:r>
    </w:p>
    <w:p w:rsidR="009B274D" w:rsidRPr="00F37259" w:rsidRDefault="003735D7" w:rsidP="00F37259">
      <w:pPr>
        <w:rPr>
          <w:i/>
          <w:sz w:val="20"/>
          <w:szCs w:val="20"/>
          <w:lang w:val="pt-BR"/>
        </w:rPr>
      </w:pPr>
      <w:r w:rsidRPr="003735D7">
        <w:rPr>
          <w:i/>
          <w:sz w:val="20"/>
          <w:szCs w:val="20"/>
          <w:lang w:val="pt-BR"/>
        </w:rPr>
        <w:t>Jonnathan Aguilar Gómez.</w:t>
      </w:r>
    </w:p>
    <w:sectPr w:rsidR="009B274D" w:rsidRPr="00F37259"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860" w:rsidRDefault="00565860">
      <w:r>
        <w:separator/>
      </w:r>
    </w:p>
  </w:endnote>
  <w:endnote w:type="continuationSeparator" w:id="0">
    <w:p w:rsidR="00565860" w:rsidRDefault="005658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860" w:rsidRDefault="00565860">
      <w:r>
        <w:separator/>
      </w:r>
    </w:p>
  </w:footnote>
  <w:footnote w:type="continuationSeparator" w:id="0">
    <w:p w:rsidR="00565860" w:rsidRDefault="00565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FE" w:rsidRDefault="00BB590F">
    <w:pPr>
      <w:pStyle w:val="Encabezado"/>
      <w:tabs>
        <w:tab w:val="clear" w:pos="4986"/>
        <w:tab w:val="clear" w:pos="9972"/>
        <w:tab w:val="left" w:pos="709"/>
        <w:tab w:val="center" w:pos="4419"/>
        <w:tab w:val="right" w:pos="8838"/>
      </w:tabs>
    </w:pPr>
    <w:r w:rsidRPr="00BB590F">
      <w:pict>
        <v:shapetype id="_x0000_t202" coordsize="21600,21600" o:spt="202" path="m,l,21600r21600,l21600,xe">
          <v:stroke joinstyle="miter"/>
          <v:path gradientshapeok="t" o:connecttype="rect"/>
        </v:shapetype>
        <v:shape id="_x0000_s2049" type="#_x0000_t202" style="position:absolute;margin-left:0;margin-top:-.55pt;width:52.2pt;height:58.7pt;z-index:-251658752;mso-wrap-distance-left:9.05pt;mso-wrap-distance-right:9.05pt" stroked="f">
          <v:fill color2="black"/>
          <v:textbox style="mso-next-textbox:#_x0000_s2049" inset="0,0,0,0">
            <w:txbxContent>
              <w:p w:rsidR="00D44CFE" w:rsidRDefault="00632B4C">
                <w:r>
                  <w:rPr>
                    <w:noProof/>
                    <w:lang w:val="es-CR"/>
                  </w:rPr>
                  <w:drawing>
                    <wp:inline distT="0" distB="0" distL="0" distR="0">
                      <wp:extent cx="675005" cy="75819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5005" cy="758190"/>
                              </a:xfrm>
                              <a:prstGeom prst="rect">
                                <a:avLst/>
                              </a:prstGeom>
                              <a:solidFill>
                                <a:srgbClr val="FFFFFF"/>
                              </a:solidFill>
                              <a:ln w="9525">
                                <a:noFill/>
                                <a:miter lim="800000"/>
                                <a:headEnd/>
                                <a:tailEnd/>
                              </a:ln>
                            </pic:spPr>
                          </pic:pic>
                        </a:graphicData>
                      </a:graphic>
                    </wp:inline>
                  </w:drawing>
                </w:r>
              </w:p>
            </w:txbxContent>
          </v:textbox>
        </v:shape>
      </w:pict>
    </w:r>
  </w:p>
  <w:p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rsidR="00D44CFE" w:rsidRDefault="00D44CFE">
    <w:pPr>
      <w:rPr>
        <w:b/>
        <w:bCs/>
        <w:i/>
        <w:iCs/>
      </w:rPr>
    </w:pPr>
    <w:r>
      <w:rPr>
        <w:b/>
        <w:bCs/>
        <w:i/>
        <w:iCs/>
      </w:rPr>
      <w:t xml:space="preserve">                           Secretaría General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3D3B3647"/>
    <w:multiLevelType w:val="hybridMultilevel"/>
    <w:tmpl w:val="E8A8FDEE"/>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9009F1"/>
    <w:rsid w:val="00005DBB"/>
    <w:rsid w:val="00010D3D"/>
    <w:rsid w:val="00023975"/>
    <w:rsid w:val="000405C8"/>
    <w:rsid w:val="00042CBB"/>
    <w:rsid w:val="00045081"/>
    <w:rsid w:val="00047416"/>
    <w:rsid w:val="00047F88"/>
    <w:rsid w:val="00064E7C"/>
    <w:rsid w:val="000702C6"/>
    <w:rsid w:val="0007249A"/>
    <w:rsid w:val="00072FD3"/>
    <w:rsid w:val="000913E8"/>
    <w:rsid w:val="0009588A"/>
    <w:rsid w:val="000A240D"/>
    <w:rsid w:val="000A3D6A"/>
    <w:rsid w:val="000B174C"/>
    <w:rsid w:val="000B628E"/>
    <w:rsid w:val="000C1E97"/>
    <w:rsid w:val="000C4BB9"/>
    <w:rsid w:val="000C7EEA"/>
    <w:rsid w:val="000E11E3"/>
    <w:rsid w:val="000E70A7"/>
    <w:rsid w:val="000F1BD9"/>
    <w:rsid w:val="000F3AA6"/>
    <w:rsid w:val="000F55FD"/>
    <w:rsid w:val="0013147D"/>
    <w:rsid w:val="00136BD6"/>
    <w:rsid w:val="00146DF3"/>
    <w:rsid w:val="001479B9"/>
    <w:rsid w:val="00157B3C"/>
    <w:rsid w:val="00162DE0"/>
    <w:rsid w:val="00165B54"/>
    <w:rsid w:val="0016722E"/>
    <w:rsid w:val="00167459"/>
    <w:rsid w:val="00167DC6"/>
    <w:rsid w:val="0018089D"/>
    <w:rsid w:val="001839FC"/>
    <w:rsid w:val="0018797B"/>
    <w:rsid w:val="00190C63"/>
    <w:rsid w:val="001958F2"/>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404AE"/>
    <w:rsid w:val="0024558D"/>
    <w:rsid w:val="00246CE0"/>
    <w:rsid w:val="002538FF"/>
    <w:rsid w:val="00254CF0"/>
    <w:rsid w:val="0025527E"/>
    <w:rsid w:val="002634A2"/>
    <w:rsid w:val="00263914"/>
    <w:rsid w:val="00277268"/>
    <w:rsid w:val="00281F04"/>
    <w:rsid w:val="002825D7"/>
    <w:rsid w:val="00283AB3"/>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D24AE"/>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35D7"/>
    <w:rsid w:val="0037610C"/>
    <w:rsid w:val="003769AA"/>
    <w:rsid w:val="003817E2"/>
    <w:rsid w:val="00392B19"/>
    <w:rsid w:val="00395CBA"/>
    <w:rsid w:val="003964FD"/>
    <w:rsid w:val="003A1DC8"/>
    <w:rsid w:val="003A4EA7"/>
    <w:rsid w:val="003B60FC"/>
    <w:rsid w:val="003C11EF"/>
    <w:rsid w:val="003C6AC0"/>
    <w:rsid w:val="003C7AD1"/>
    <w:rsid w:val="003D1FC1"/>
    <w:rsid w:val="003E0092"/>
    <w:rsid w:val="003E7067"/>
    <w:rsid w:val="003F24BA"/>
    <w:rsid w:val="003F725D"/>
    <w:rsid w:val="004000A6"/>
    <w:rsid w:val="0040621E"/>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512C"/>
    <w:rsid w:val="004B2A9B"/>
    <w:rsid w:val="004B46FA"/>
    <w:rsid w:val="004B6DC3"/>
    <w:rsid w:val="004C3481"/>
    <w:rsid w:val="004C416D"/>
    <w:rsid w:val="004D2E3D"/>
    <w:rsid w:val="004E41E6"/>
    <w:rsid w:val="004E73A7"/>
    <w:rsid w:val="004F00CB"/>
    <w:rsid w:val="004F31AA"/>
    <w:rsid w:val="00500CE7"/>
    <w:rsid w:val="005034C4"/>
    <w:rsid w:val="0050359B"/>
    <w:rsid w:val="0051662F"/>
    <w:rsid w:val="00517047"/>
    <w:rsid w:val="005233DA"/>
    <w:rsid w:val="00523C17"/>
    <w:rsid w:val="0052701A"/>
    <w:rsid w:val="00537936"/>
    <w:rsid w:val="00543B67"/>
    <w:rsid w:val="00565860"/>
    <w:rsid w:val="00566F6F"/>
    <w:rsid w:val="005703F6"/>
    <w:rsid w:val="00575E27"/>
    <w:rsid w:val="00577ED0"/>
    <w:rsid w:val="005C1252"/>
    <w:rsid w:val="005C21C7"/>
    <w:rsid w:val="005C48B3"/>
    <w:rsid w:val="005D18BA"/>
    <w:rsid w:val="005D19B9"/>
    <w:rsid w:val="005E4728"/>
    <w:rsid w:val="006029C0"/>
    <w:rsid w:val="00606B75"/>
    <w:rsid w:val="00615084"/>
    <w:rsid w:val="00630712"/>
    <w:rsid w:val="00632B4C"/>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86172"/>
    <w:rsid w:val="006870DD"/>
    <w:rsid w:val="00692838"/>
    <w:rsid w:val="0069455D"/>
    <w:rsid w:val="00695EA1"/>
    <w:rsid w:val="00697398"/>
    <w:rsid w:val="006A1B90"/>
    <w:rsid w:val="006A6CE9"/>
    <w:rsid w:val="006B01ED"/>
    <w:rsid w:val="006B3F25"/>
    <w:rsid w:val="006B7178"/>
    <w:rsid w:val="006C641F"/>
    <w:rsid w:val="006D0A32"/>
    <w:rsid w:val="006E2656"/>
    <w:rsid w:val="006E4124"/>
    <w:rsid w:val="006F0D7A"/>
    <w:rsid w:val="006F5497"/>
    <w:rsid w:val="00707F47"/>
    <w:rsid w:val="00713E76"/>
    <w:rsid w:val="00737B25"/>
    <w:rsid w:val="007410CF"/>
    <w:rsid w:val="00755E40"/>
    <w:rsid w:val="00770362"/>
    <w:rsid w:val="00770F38"/>
    <w:rsid w:val="0079188F"/>
    <w:rsid w:val="007926AA"/>
    <w:rsid w:val="00796182"/>
    <w:rsid w:val="00796D94"/>
    <w:rsid w:val="007A32F0"/>
    <w:rsid w:val="007A5005"/>
    <w:rsid w:val="007B0465"/>
    <w:rsid w:val="007B629E"/>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9009F1"/>
    <w:rsid w:val="00902078"/>
    <w:rsid w:val="009023B3"/>
    <w:rsid w:val="00903D06"/>
    <w:rsid w:val="00906619"/>
    <w:rsid w:val="00925816"/>
    <w:rsid w:val="009366A3"/>
    <w:rsid w:val="0094130E"/>
    <w:rsid w:val="0094541C"/>
    <w:rsid w:val="00945F8B"/>
    <w:rsid w:val="009473F8"/>
    <w:rsid w:val="00950A29"/>
    <w:rsid w:val="00951B80"/>
    <w:rsid w:val="00954017"/>
    <w:rsid w:val="0095524D"/>
    <w:rsid w:val="009556A5"/>
    <w:rsid w:val="00956815"/>
    <w:rsid w:val="00971DA1"/>
    <w:rsid w:val="00973CD9"/>
    <w:rsid w:val="00986931"/>
    <w:rsid w:val="00996707"/>
    <w:rsid w:val="009A2732"/>
    <w:rsid w:val="009A7D03"/>
    <w:rsid w:val="009B2055"/>
    <w:rsid w:val="009B274D"/>
    <w:rsid w:val="009B341D"/>
    <w:rsid w:val="009C29C0"/>
    <w:rsid w:val="009C2A42"/>
    <w:rsid w:val="009C6D64"/>
    <w:rsid w:val="009D5CF6"/>
    <w:rsid w:val="009E017C"/>
    <w:rsid w:val="009E413D"/>
    <w:rsid w:val="009F1689"/>
    <w:rsid w:val="009F1A66"/>
    <w:rsid w:val="00A060C1"/>
    <w:rsid w:val="00A0685D"/>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1694"/>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1225"/>
    <w:rsid w:val="00B323B3"/>
    <w:rsid w:val="00B33076"/>
    <w:rsid w:val="00B56713"/>
    <w:rsid w:val="00B56F9E"/>
    <w:rsid w:val="00B61A0B"/>
    <w:rsid w:val="00B760FB"/>
    <w:rsid w:val="00B77009"/>
    <w:rsid w:val="00B804DF"/>
    <w:rsid w:val="00B86100"/>
    <w:rsid w:val="00B924F9"/>
    <w:rsid w:val="00B92DE4"/>
    <w:rsid w:val="00B96AE2"/>
    <w:rsid w:val="00BA7FAF"/>
    <w:rsid w:val="00BB045C"/>
    <w:rsid w:val="00BB3414"/>
    <w:rsid w:val="00BB590F"/>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3748"/>
    <w:rsid w:val="00C34914"/>
    <w:rsid w:val="00C43097"/>
    <w:rsid w:val="00C4674C"/>
    <w:rsid w:val="00C51A93"/>
    <w:rsid w:val="00C61DD9"/>
    <w:rsid w:val="00C62509"/>
    <w:rsid w:val="00C6690D"/>
    <w:rsid w:val="00C66C8B"/>
    <w:rsid w:val="00C706F4"/>
    <w:rsid w:val="00C72375"/>
    <w:rsid w:val="00C76769"/>
    <w:rsid w:val="00C82F5E"/>
    <w:rsid w:val="00C87428"/>
    <w:rsid w:val="00C95ED3"/>
    <w:rsid w:val="00CA6548"/>
    <w:rsid w:val="00CB2E85"/>
    <w:rsid w:val="00CC069C"/>
    <w:rsid w:val="00CC5ED0"/>
    <w:rsid w:val="00CE2E60"/>
    <w:rsid w:val="00CE564D"/>
    <w:rsid w:val="00CF5C21"/>
    <w:rsid w:val="00D00380"/>
    <w:rsid w:val="00D0229A"/>
    <w:rsid w:val="00D03F35"/>
    <w:rsid w:val="00D112B6"/>
    <w:rsid w:val="00D21239"/>
    <w:rsid w:val="00D22DBE"/>
    <w:rsid w:val="00D23AAB"/>
    <w:rsid w:val="00D26196"/>
    <w:rsid w:val="00D26434"/>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B584F"/>
    <w:rsid w:val="00DD2501"/>
    <w:rsid w:val="00DE20C0"/>
    <w:rsid w:val="00DF2C8F"/>
    <w:rsid w:val="00E0020F"/>
    <w:rsid w:val="00E05E44"/>
    <w:rsid w:val="00E17BED"/>
    <w:rsid w:val="00E26C37"/>
    <w:rsid w:val="00E405F2"/>
    <w:rsid w:val="00E51021"/>
    <w:rsid w:val="00E57928"/>
    <w:rsid w:val="00E638DA"/>
    <w:rsid w:val="00E76B03"/>
    <w:rsid w:val="00E86963"/>
    <w:rsid w:val="00E90BC5"/>
    <w:rsid w:val="00EA48CB"/>
    <w:rsid w:val="00EA5E4A"/>
    <w:rsid w:val="00EC2982"/>
    <w:rsid w:val="00ED0EB6"/>
    <w:rsid w:val="00ED7692"/>
    <w:rsid w:val="00EE1747"/>
    <w:rsid w:val="00EE4937"/>
    <w:rsid w:val="00EE6DD9"/>
    <w:rsid w:val="00EF0070"/>
    <w:rsid w:val="00EF6272"/>
    <w:rsid w:val="00F01A7E"/>
    <w:rsid w:val="00F04EB6"/>
    <w:rsid w:val="00F05A62"/>
    <w:rsid w:val="00F136A6"/>
    <w:rsid w:val="00F1380F"/>
    <w:rsid w:val="00F24300"/>
    <w:rsid w:val="00F250C3"/>
    <w:rsid w:val="00F25932"/>
    <w:rsid w:val="00F370C6"/>
    <w:rsid w:val="00F37259"/>
    <w:rsid w:val="00F42F63"/>
    <w:rsid w:val="00F46E7C"/>
    <w:rsid w:val="00F60D84"/>
    <w:rsid w:val="00F67287"/>
    <w:rsid w:val="00F679AA"/>
    <w:rsid w:val="00F7626C"/>
    <w:rsid w:val="00F769CA"/>
    <w:rsid w:val="00F83E99"/>
    <w:rsid w:val="00F84EB4"/>
    <w:rsid w:val="00F915D9"/>
    <w:rsid w:val="00F95382"/>
    <w:rsid w:val="00FA2E40"/>
    <w:rsid w:val="00FC1143"/>
    <w:rsid w:val="00FD6425"/>
    <w:rsid w:val="00FF239E"/>
    <w:rsid w:val="00FF33B0"/>
    <w:rsid w:val="00FF49D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070"/>
    <w:pPr>
      <w:widowControl w:val="0"/>
      <w:suppressAutoHyphens/>
    </w:pPr>
    <w:rPr>
      <w:rFonts w:eastAsia="Arial Unicode MS"/>
      <w:kern w:val="1"/>
      <w:sz w:val="24"/>
      <w:szCs w:val="24"/>
      <w:lang w:val="es-ES_tradnl"/>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EF0070"/>
  </w:style>
  <w:style w:type="character" w:customStyle="1" w:styleId="WW-Absatz-Standardschriftart">
    <w:name w:val="WW-Absatz-Standardschriftart"/>
    <w:rsid w:val="00EF0070"/>
  </w:style>
  <w:style w:type="character" w:customStyle="1" w:styleId="WW-Absatz-Standardschriftart1">
    <w:name w:val="WW-Absatz-Standardschriftart1"/>
    <w:rsid w:val="00EF0070"/>
  </w:style>
  <w:style w:type="character" w:customStyle="1" w:styleId="Fuentedeprrafopredeter2">
    <w:name w:val="Fuente de párrafo predeter.2"/>
    <w:rsid w:val="00EF0070"/>
  </w:style>
  <w:style w:type="character" w:customStyle="1" w:styleId="WW-Absatz-Standardschriftart11">
    <w:name w:val="WW-Absatz-Standardschriftart11"/>
    <w:rsid w:val="00EF0070"/>
  </w:style>
  <w:style w:type="character" w:customStyle="1" w:styleId="Fuentedeprrafopredeter1">
    <w:name w:val="Fuente de párrafo predeter.1"/>
    <w:rsid w:val="00EF0070"/>
  </w:style>
  <w:style w:type="character" w:styleId="Hipervnculo">
    <w:name w:val="Hyperlink"/>
    <w:basedOn w:val="Fuentedeprrafopredeter1"/>
    <w:rsid w:val="00EF0070"/>
    <w:rPr>
      <w:color w:val="0000FF"/>
      <w:u w:val="single"/>
    </w:rPr>
  </w:style>
  <w:style w:type="paragraph" w:customStyle="1" w:styleId="Encabezado2">
    <w:name w:val="Encabezado2"/>
    <w:basedOn w:val="Normal"/>
    <w:next w:val="Textoindependiente"/>
    <w:rsid w:val="00EF0070"/>
    <w:pPr>
      <w:keepNext/>
      <w:spacing w:before="240" w:after="120"/>
    </w:pPr>
    <w:rPr>
      <w:rFonts w:ascii="Arial" w:hAnsi="Arial" w:cs="Tahoma"/>
      <w:sz w:val="28"/>
      <w:szCs w:val="28"/>
    </w:rPr>
  </w:style>
  <w:style w:type="paragraph" w:styleId="Textoindependiente">
    <w:name w:val="Body Text"/>
    <w:basedOn w:val="Normal"/>
    <w:rsid w:val="00EF0070"/>
    <w:pPr>
      <w:spacing w:after="120"/>
    </w:pPr>
  </w:style>
  <w:style w:type="paragraph" w:styleId="Lista">
    <w:name w:val="List"/>
    <w:basedOn w:val="Textoindependiente"/>
    <w:rsid w:val="00EF0070"/>
    <w:rPr>
      <w:rFonts w:cs="Tahoma"/>
    </w:rPr>
  </w:style>
  <w:style w:type="paragraph" w:customStyle="1" w:styleId="Etiqueta">
    <w:name w:val="Etiqueta"/>
    <w:basedOn w:val="Normal"/>
    <w:rsid w:val="00EF0070"/>
    <w:pPr>
      <w:suppressLineNumbers/>
      <w:spacing w:before="120" w:after="120"/>
    </w:pPr>
    <w:rPr>
      <w:rFonts w:cs="Tahoma"/>
      <w:i/>
      <w:iCs/>
    </w:rPr>
  </w:style>
  <w:style w:type="paragraph" w:customStyle="1" w:styleId="ndice">
    <w:name w:val="Índice"/>
    <w:basedOn w:val="Normal"/>
    <w:rsid w:val="00EF0070"/>
    <w:pPr>
      <w:suppressLineNumbers/>
    </w:pPr>
    <w:rPr>
      <w:rFonts w:cs="Tahoma"/>
    </w:rPr>
  </w:style>
  <w:style w:type="paragraph" w:customStyle="1" w:styleId="Encabezado1">
    <w:name w:val="Encabezado1"/>
    <w:basedOn w:val="Normal"/>
    <w:next w:val="Textoindependiente"/>
    <w:rsid w:val="00EF0070"/>
    <w:pPr>
      <w:keepNext/>
      <w:spacing w:before="240" w:after="120"/>
    </w:pPr>
    <w:rPr>
      <w:rFonts w:ascii="Arial" w:hAnsi="Arial" w:cs="Tahoma"/>
      <w:sz w:val="28"/>
      <w:szCs w:val="28"/>
    </w:rPr>
  </w:style>
  <w:style w:type="paragraph" w:styleId="NormalWeb">
    <w:name w:val="Normal (Web)"/>
    <w:basedOn w:val="Normal"/>
    <w:rsid w:val="00EF0070"/>
    <w:pPr>
      <w:spacing w:before="100" w:after="100"/>
    </w:pPr>
  </w:style>
  <w:style w:type="paragraph" w:styleId="Ttulo">
    <w:name w:val="Title"/>
    <w:basedOn w:val="Normal"/>
    <w:next w:val="Subttulo"/>
    <w:qFormat/>
    <w:rsid w:val="00EF0070"/>
    <w:pPr>
      <w:tabs>
        <w:tab w:val="center" w:pos="4680"/>
      </w:tabs>
      <w:jc w:val="center"/>
    </w:pPr>
    <w:rPr>
      <w:b/>
      <w:spacing w:val="-3"/>
      <w:u w:val="single"/>
    </w:rPr>
  </w:style>
  <w:style w:type="paragraph" w:styleId="Subttulo">
    <w:name w:val="Subtitle"/>
    <w:basedOn w:val="Encabezado1"/>
    <w:next w:val="Textoindependiente"/>
    <w:qFormat/>
    <w:rsid w:val="00EF0070"/>
    <w:pPr>
      <w:jc w:val="center"/>
    </w:pPr>
    <w:rPr>
      <w:i/>
      <w:iCs/>
    </w:rPr>
  </w:style>
  <w:style w:type="paragraph" w:styleId="Encabezado">
    <w:name w:val="header"/>
    <w:basedOn w:val="Normal"/>
    <w:rsid w:val="00EF0070"/>
    <w:pPr>
      <w:suppressLineNumbers/>
      <w:tabs>
        <w:tab w:val="center" w:pos="4986"/>
        <w:tab w:val="right" w:pos="9972"/>
      </w:tabs>
    </w:pPr>
  </w:style>
  <w:style w:type="paragraph" w:customStyle="1" w:styleId="Contenidodelmarco">
    <w:name w:val="Contenido del marco"/>
    <w:basedOn w:val="Textoindependiente"/>
    <w:rsid w:val="00EF0070"/>
  </w:style>
  <w:style w:type="paragraph" w:customStyle="1" w:styleId="Car">
    <w:name w:val="Car"/>
    <w:basedOn w:val="Normal"/>
    <w:rsid w:val="00EF0070"/>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rsid w:val="00EF0070"/>
    <w:pPr>
      <w:suppressLineNumbers/>
    </w:pPr>
  </w:style>
  <w:style w:type="paragraph" w:customStyle="1" w:styleId="Encabezadodelatabla">
    <w:name w:val="Encabezado de la tabla"/>
    <w:basedOn w:val="Contenidodelatabla"/>
    <w:rsid w:val="00EF0070"/>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s>
</file>

<file path=word/webSettings.xml><?xml version="1.0" encoding="utf-8"?>
<w:webSettings xmlns:r="http://schemas.openxmlformats.org/officeDocument/2006/relationships" xmlns:w="http://schemas.openxmlformats.org/wordprocessingml/2006/main">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50380918">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575286091">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creator>usuario1</dc:creator>
  <cp:lastModifiedBy>jaguilarg</cp:lastModifiedBy>
  <cp:revision>4</cp:revision>
  <cp:lastPrinted>2013-02-08T15:17:00Z</cp:lastPrinted>
  <dcterms:created xsi:type="dcterms:W3CDTF">2019-03-28T17:37:00Z</dcterms:created>
  <dcterms:modified xsi:type="dcterms:W3CDTF">2019-03-29T13:40:00Z</dcterms:modified>
</cp:coreProperties>
</file>